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tabs>
          <w:tab w:leader="none" w:pos="46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640" w:right="3679" w:hanging="632"/>
        <w:spacing w:after="0" w:line="236" w:lineRule="auto"/>
        <w:tabs>
          <w:tab w:leader="none" w:pos="42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 FOR THE QUARTERLY PERIOD ENDED MARCH 31, 1995</w:t>
      </w:r>
    </w:p>
    <w:p>
      <w:pPr>
        <w:spacing w:after="0" w:line="203"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640" w:right="3579" w:hanging="632"/>
        <w:spacing w:after="0" w:line="268" w:lineRule="auto"/>
        <w:tabs>
          <w:tab w:leader="none" w:pos="21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 FOR THE TRANSITION PERIOD</w:t>
      </w:r>
    </w:p>
    <w:p>
      <w:pPr>
        <w:ind w:left="640"/>
        <w:spacing w:after="0"/>
        <w:tabs>
          <w:tab w:leader="none" w:pos="3140" w:val="left"/>
          <w:tab w:leader="none" w:pos="5260" w:val="left"/>
        </w:tabs>
        <w:rPr>
          <w:sz w:val="20"/>
          <w:szCs w:val="20"/>
          <w:color w:val="auto"/>
        </w:rPr>
      </w:pPr>
      <w:r>
        <w:rPr>
          <w:rFonts w:ascii="Courier New" w:cs="Courier New" w:eastAsia="Courier New" w:hAnsi="Courier New"/>
          <w:sz w:val="18"/>
          <w:szCs w:val="18"/>
          <w:color w:val="auto"/>
        </w:rPr>
        <w:t>FROM</w:t>
      </w:r>
      <w:r>
        <w:rPr>
          <w:sz w:val="20"/>
          <w:szCs w:val="20"/>
          <w:color w:val="auto"/>
        </w:rPr>
        <w:tab/>
      </w: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No. 1-10410</w:t>
      </w:r>
    </w:p>
    <w:p>
      <w:pPr>
        <w:spacing w:after="0" w:line="201"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THE PROMUS COMPANIES INCORPORATED</w:t>
      </w:r>
    </w:p>
    <w:p>
      <w:pPr>
        <w:spacing w:after="0" w:line="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53"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3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right="234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right"/>
        <w:ind w:right="2319"/>
        <w:spacing w:after="0"/>
        <w:tabs>
          <w:tab w:leader="none" w:pos="1440" w:val="left"/>
        </w:tabs>
        <w:rPr>
          <w:sz w:val="20"/>
          <w:szCs w:val="20"/>
          <w:color w:val="auto"/>
        </w:rPr>
      </w:pPr>
      <w:r>
        <w:rPr>
          <w:rFonts w:ascii="Courier New" w:cs="Courier New" w:eastAsia="Courier New" w:hAnsi="Courier New"/>
          <w:sz w:val="18"/>
          <w:szCs w:val="18"/>
          <w:color w:val="auto"/>
        </w:rPr>
        <w:t>I.R.S.</w:t>
      </w:r>
      <w:r>
        <w:rPr>
          <w:sz w:val="20"/>
          <w:szCs w:val="20"/>
          <w:color w:val="auto"/>
        </w:rPr>
        <w:tab/>
      </w:r>
      <w:r>
        <w:rPr>
          <w:rFonts w:ascii="Courier New" w:cs="Courier New" w:eastAsia="Courier New" w:hAnsi="Courier New"/>
          <w:sz w:val="16"/>
          <w:szCs w:val="16"/>
          <w:color w:val="auto"/>
        </w:rPr>
        <w:t>No. 62-1411755</w:t>
      </w:r>
    </w:p>
    <w:p>
      <w:pPr>
        <w:jc w:val="right"/>
        <w:ind w:right="2319"/>
        <w:spacing w:after="0"/>
        <w:tabs>
          <w:tab w:leader="none" w:pos="820" w:val="left"/>
        </w:tabs>
        <w:rPr>
          <w:sz w:val="20"/>
          <w:szCs w:val="20"/>
          <w:color w:val="auto"/>
        </w:rPr>
      </w:pPr>
      <w:r>
        <w:rPr>
          <w:rFonts w:ascii="Courier New" w:cs="Courier New" w:eastAsia="Courier New" w:hAnsi="Courier New"/>
          <w:sz w:val="18"/>
          <w:szCs w:val="18"/>
          <w:color w:val="auto"/>
        </w:rPr>
        <w:t>(I.R.S.</w:t>
      </w:r>
      <w:r>
        <w:rPr>
          <w:sz w:val="20"/>
          <w:szCs w:val="20"/>
          <w:color w:val="auto"/>
        </w:rPr>
        <w:tab/>
      </w:r>
      <w:r>
        <w:rPr>
          <w:rFonts w:ascii="Courier New" w:cs="Courier New" w:eastAsia="Courier New" w:hAnsi="Courier New"/>
          <w:sz w:val="16"/>
          <w:szCs w:val="16"/>
          <w:color w:val="auto"/>
        </w:rPr>
        <w:t>Employer</w:t>
      </w:r>
    </w:p>
    <w:p>
      <w:pPr>
        <w:jc w:val="right"/>
        <w:ind w:right="2319"/>
        <w:spacing w:after="0"/>
        <w:tabs>
          <w:tab w:leader="none" w:pos="400" w:val="left"/>
        </w:tabs>
        <w:rPr>
          <w:sz w:val="20"/>
          <w:szCs w:val="20"/>
          <w:color w:val="auto"/>
        </w:rPr>
      </w:pPr>
      <w:r>
        <w:rPr>
          <w:rFonts w:ascii="Courier New" w:cs="Courier New" w:eastAsia="Courier New" w:hAnsi="Courier New"/>
          <w:sz w:val="18"/>
          <w:szCs w:val="18"/>
          <w:color w:val="auto"/>
        </w:rPr>
        <w:t>Identification</w:t>
      </w:r>
      <w:r>
        <w:rPr>
          <w:sz w:val="20"/>
          <w:szCs w:val="20"/>
          <w:color w:val="auto"/>
        </w:rPr>
        <w:tab/>
      </w:r>
      <w:r>
        <w:rPr>
          <w:rFonts w:ascii="Courier New" w:cs="Courier New" w:eastAsia="Courier New" w:hAnsi="Courier New"/>
          <w:sz w:val="16"/>
          <w:szCs w:val="16"/>
          <w:color w:val="auto"/>
        </w:rPr>
        <w:t>No.)</w:t>
      </w:r>
    </w:p>
    <w:p>
      <w:pPr>
        <w:spacing w:after="0" w:line="200" w:lineRule="exact"/>
        <w:rPr>
          <w:sz w:val="24"/>
          <w:szCs w:val="24"/>
          <w:color w:val="auto"/>
        </w:rPr>
      </w:pPr>
    </w:p>
    <w:p>
      <w:pPr>
        <w:sectPr>
          <w:pgSz w:w="11900" w:h="16853" w:orient="portrait"/>
          <w:cols w:equalWidth="0" w:num="2">
            <w:col w:w="4880" w:space="720"/>
            <w:col w:w="4619"/>
          </w:cols>
          <w:pgMar w:left="240" w:top="447" w:right="1440" w:bottom="0" w:gutter="0" w:footer="0" w:header="0"/>
          <w:type w:val="continuous"/>
        </w:sectPr>
      </w:pPr>
    </w:p>
    <w:p>
      <w:pPr>
        <w:spacing w:after="0" w:line="20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1023 Cherry Road</w:t>
      </w:r>
    </w:p>
    <w:p>
      <w:pPr>
        <w:jc w:val="center"/>
        <w:ind w:right="2199"/>
        <w:spacing w:after="0" w:line="238" w:lineRule="auto"/>
        <w:rPr>
          <w:sz w:val="20"/>
          <w:szCs w:val="20"/>
          <w:color w:val="auto"/>
        </w:rPr>
      </w:pPr>
      <w:r>
        <w:rPr>
          <w:rFonts w:ascii="Courier New" w:cs="Courier New" w:eastAsia="Courier New" w:hAnsi="Courier New"/>
          <w:sz w:val="18"/>
          <w:szCs w:val="18"/>
          <w:color w:val="auto"/>
        </w:rPr>
        <w:t>Memphis, Tennessee 38117</w:t>
      </w:r>
    </w:p>
    <w:p>
      <w:pPr>
        <w:jc w:val="center"/>
        <w:ind w:right="2199"/>
        <w:spacing w:after="0"/>
        <w:rPr>
          <w:sz w:val="20"/>
          <w:szCs w:val="20"/>
          <w:color w:val="auto"/>
        </w:rPr>
      </w:pPr>
      <w:r>
        <w:rPr>
          <w:rFonts w:ascii="Courier New" w:cs="Courier New" w:eastAsia="Courier New" w:hAnsi="Courier New"/>
          <w:sz w:val="18"/>
          <w:szCs w:val="18"/>
          <w:color w:val="auto"/>
        </w:rPr>
        <w:t>(Address of principal executive offices)</w:t>
      </w:r>
    </w:p>
    <w:p>
      <w:pPr>
        <w:jc w:val="center"/>
        <w:ind w:right="2199"/>
        <w:spacing w:after="0" w:line="237" w:lineRule="auto"/>
        <w:rPr>
          <w:sz w:val="20"/>
          <w:szCs w:val="20"/>
          <w:color w:val="auto"/>
        </w:rPr>
      </w:pPr>
      <w:r>
        <w:rPr>
          <w:rFonts w:ascii="Courier New" w:cs="Courier New" w:eastAsia="Courier New" w:hAnsi="Courier New"/>
          <w:sz w:val="18"/>
          <w:szCs w:val="18"/>
          <w:color w:val="auto"/>
        </w:rPr>
        <w:t>(901) 762-8600</w:t>
      </w:r>
    </w:p>
    <w:p>
      <w:pPr>
        <w:jc w:val="center"/>
        <w:ind w:right="219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10" w:lineRule="exact"/>
        <w:rPr>
          <w:sz w:val="24"/>
          <w:szCs w:val="24"/>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53" w:orient="portrait"/>
          <w:cols w:equalWidth="0" w:num="1">
            <w:col w:w="10219"/>
          </w:cols>
          <w:pgMar w:left="240" w:top="447" w:right="1440" w:bottom="0" w:gutter="0" w:footer="0" w:header="0"/>
          <w:type w:val="continuous"/>
        </w:sectPr>
      </w:pPr>
    </w:p>
    <w:p>
      <w:pPr>
        <w:spacing w:after="0" w:line="209" w:lineRule="exact"/>
        <w:rPr>
          <w:sz w:val="24"/>
          <w:szCs w:val="24"/>
          <w:color w:val="auto"/>
        </w:rPr>
      </w:pPr>
    </w:p>
    <w:p>
      <w:pPr>
        <w:ind w:left="212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4" w:lineRule="exact"/>
        <w:rPr>
          <w:sz w:val="24"/>
          <w:szCs w:val="24"/>
          <w:color w:val="auto"/>
        </w:rPr>
      </w:pPr>
    </w:p>
    <w:p>
      <w:pPr>
        <w:sectPr>
          <w:pgSz w:w="11900" w:h="16853" w:orient="portrait"/>
          <w:cols w:equalWidth="0" w:num="3">
            <w:col w:w="2660" w:space="720"/>
            <w:col w:w="220" w:space="720"/>
            <w:col w:w="5899"/>
          </w:cols>
          <w:pgMar w:left="240" w:top="447" w:right="1440" w:bottom="0" w:gutter="0" w:footer="0" w:header="0"/>
          <w:type w:val="continuous"/>
        </w:sect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3" w:orient="portrait"/>
          <w:cols w:equalWidth="0" w:num="2">
            <w:col w:w="4560" w:space="720"/>
            <w:col w:w="4939"/>
          </w:cols>
          <w:pgMar w:left="240" w:top="447" w:right="1440" w:bottom="0" w:gutter="0" w:footer="0" w:header="0"/>
          <w:type w:val="continuous"/>
        </w:sectPr>
      </w:pPr>
    </w:p>
    <w:p>
      <w:pPr>
        <w:spacing w:after="0" w:line="24" w:lineRule="exact"/>
        <w:rPr>
          <w:sz w:val="24"/>
          <w:szCs w:val="24"/>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At March 31, 1995, there were outstanding 102,518,639 shares of the Company's Common Stock.</w:t>
      </w:r>
    </w:p>
    <w:p>
      <w:pPr>
        <w:spacing w:after="0" w:line="200" w:lineRule="exact"/>
        <w:rPr>
          <w:sz w:val="24"/>
          <w:szCs w:val="24"/>
          <w:color w:val="auto"/>
        </w:rPr>
      </w:pPr>
    </w:p>
    <w:p>
      <w:pPr>
        <w:spacing w:after="0" w:line="205"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50</w:t>
      </w:r>
    </w:p>
    <w:p>
      <w:pPr>
        <w:ind w:left="2860"/>
        <w:spacing w:after="0" w:line="238" w:lineRule="auto"/>
        <w:rPr>
          <w:sz w:val="20"/>
          <w:szCs w:val="20"/>
          <w:color w:val="auto"/>
        </w:rPr>
      </w:pPr>
      <w:r>
        <w:rPr>
          <w:rFonts w:ascii="Courier New" w:cs="Courier New" w:eastAsia="Courier New" w:hAnsi="Courier New"/>
          <w:sz w:val="18"/>
          <w:szCs w:val="18"/>
          <w:color w:val="auto"/>
        </w:rPr>
        <w:t>Exhibit Index Page 37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PART I - FINANCIAL INFORMATION</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ind w:left="2540"/>
        <w:spacing w:after="0"/>
        <w:rPr>
          <w:sz w:val="20"/>
          <w:szCs w:val="20"/>
          <w:color w:val="auto"/>
        </w:rPr>
      </w:pPr>
      <w:r>
        <w:rPr>
          <w:rFonts w:ascii="Courier New" w:cs="Courier New" w:eastAsia="Courier New" w:hAnsi="Courier New"/>
          <w:sz w:val="18"/>
          <w:szCs w:val="18"/>
          <w:color w:val="auto"/>
        </w:rPr>
        <w:t>Item 1. Financial Statements</w:t>
      </w:r>
    </w:p>
    <w:p>
      <w:pPr>
        <w:ind w:left="254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The accompanying unaudited consolidated condensed financial statements of The Promus Companies Incorporated (Promus or the Company), a Delaware corporation, have been prepared in accordance with the instructions to Form 10-Q, and therefore do not include all information and notes necessary for complete financial statements in conformity with generally accepted accounting principles. The results for the periods indicated are unaudited, but reflect all adjustments (consisting only of normal recurring adjustments) which management considers necessary for a fair presentation of operating results. Results of operations for interim periods are not necessarily indicative of a full year of operations. These consolidated condensed financial statements should be read in conjunction with the consolidated financial statements and notes thereto included in Promus' 1994 Annual Report to Stockholders.</w:t>
      </w:r>
    </w:p>
    <w:p>
      <w:pPr>
        <w:spacing w:after="0" w:line="207" w:lineRule="exact"/>
        <w:rPr>
          <w:sz w:val="24"/>
          <w:szCs w:val="24"/>
          <w:color w:val="auto"/>
        </w:rPr>
      </w:pPr>
    </w:p>
    <w:p>
      <w:pPr>
        <w:ind w:right="2319" w:firstLine="632"/>
        <w:spacing w:after="0" w:line="275" w:lineRule="auto"/>
        <w:rPr>
          <w:sz w:val="20"/>
          <w:szCs w:val="20"/>
          <w:color w:val="auto"/>
        </w:rPr>
      </w:pPr>
      <w:r>
        <w:rPr>
          <w:rFonts w:ascii="Courier New" w:cs="Courier New" w:eastAsia="Courier New" w:hAnsi="Courier New"/>
          <w:sz w:val="16"/>
          <w:szCs w:val="16"/>
          <w:color w:val="auto"/>
        </w:rPr>
        <w:t>As discussed in Notes 1 and 2, on January 30, 1995, Promus announced a planned spin-off, expected to be completed by the end of second quarter 1995, that will split the Company into two independent public corporations, one for conducting its casino entertainment business and one for conducting</w:t>
      </w:r>
    </w:p>
    <w:p>
      <w:pPr>
        <w:sectPr>
          <w:pgSz w:w="11900" w:h="16853" w:orient="portrait"/>
          <w:cols w:equalWidth="0" w:num="1">
            <w:col w:w="10219"/>
          </w:cols>
          <w:pgMar w:left="240" w:top="447" w:right="1440" w:bottom="0" w:gutter="0" w:footer="0" w:header="0"/>
          <w:type w:val="continuous"/>
        </w:sectPr>
      </w:pPr>
    </w:p>
    <w:bookmarkStart w:id="1" w:name="page2"/>
    <w:bookmarkEnd w:id="1"/>
    <w:p>
      <w:pPr>
        <w:jc w:val="both"/>
        <w:ind w:right="2519"/>
        <w:spacing w:after="0" w:line="236" w:lineRule="auto"/>
        <w:rPr>
          <w:sz w:val="20"/>
          <w:szCs w:val="20"/>
          <w:color w:val="auto"/>
        </w:rPr>
      </w:pPr>
      <w:r>
        <w:rPr>
          <w:rFonts w:ascii="Courier New" w:cs="Courier New" w:eastAsia="Courier New" w:hAnsi="Courier New"/>
          <w:sz w:val="18"/>
          <w:szCs w:val="18"/>
          <w:color w:val="auto"/>
        </w:rPr>
        <w:t>its hotel business. As a result of this announcement, these consolidated condensed financial statements reflect the hotel business as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7220" w:type="dxa"/>
            <w:vAlign w:val="bottom"/>
            <w:gridSpan w:val="3"/>
          </w:tcPr>
          <w:p>
            <w:pPr>
              <w:jc w:val="center"/>
              <w:ind w:left="2492"/>
              <w:spacing w:after="0"/>
              <w:rPr>
                <w:sz w:val="20"/>
                <w:szCs w:val="20"/>
                <w:color w:val="auto"/>
              </w:rPr>
            </w:pPr>
            <w:r>
              <w:rPr>
                <w:rFonts w:ascii="Courier New" w:cs="Courier New" w:eastAsia="Courier New" w:hAnsi="Courier New"/>
                <w:sz w:val="18"/>
                <w:szCs w:val="18"/>
                <w:color w:val="auto"/>
                <w:w w:val="97"/>
              </w:rPr>
              <w:t>THE PROMUS COMPANIES INCORPORATED</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7220" w:type="dxa"/>
            <w:vAlign w:val="bottom"/>
            <w:gridSpan w:val="3"/>
          </w:tcPr>
          <w:p>
            <w:pPr>
              <w:jc w:val="center"/>
              <w:ind w:left="2512"/>
              <w:spacing w:after="0" w:line="203" w:lineRule="exact"/>
              <w:rPr>
                <w:sz w:val="20"/>
                <w:szCs w:val="20"/>
                <w:color w:val="auto"/>
              </w:rPr>
            </w:pPr>
            <w:r>
              <w:rPr>
                <w:rFonts w:ascii="Courier New" w:cs="Courier New" w:eastAsia="Courier New" w:hAnsi="Courier New"/>
                <w:sz w:val="18"/>
                <w:szCs w:val="18"/>
                <w:color w:val="auto"/>
                <w:w w:val="97"/>
              </w:rPr>
              <w:t>CONSOLIDATED CONDENSED BALANCE SHEETS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740" w:type="dxa"/>
            <w:vAlign w:val="bottom"/>
          </w:tcPr>
          <w:p>
            <w:pPr>
              <w:jc w:val="center"/>
              <w:ind w:left="397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 31,</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 except share amounts)</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1995</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71,200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84,968</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Receivables, including notes receivable of</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$658 and $528, less allowance for doubtful</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of $10,417 and $9,460</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40,932</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33,051</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19,363</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18,979</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Supplies</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11,194</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11,463</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Prepayments and other</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23,059</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23,374</w:t>
            </w:r>
          </w:p>
        </w:tc>
      </w:tr>
      <w:tr>
        <w:trPr>
          <w:trHeight w:val="203"/>
        </w:trPr>
        <w:tc>
          <w:tcPr>
            <w:tcW w:w="574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165,748</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171,835</w:t>
            </w:r>
          </w:p>
        </w:tc>
      </w:tr>
      <w:tr>
        <w:trPr>
          <w:trHeight w:val="203"/>
        </w:trPr>
        <w:tc>
          <w:tcPr>
            <w:tcW w:w="574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Land, buildings, riverboats and equipment</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1,621,398</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1,602,620</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3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(489,919)</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(472,779)</w:t>
            </w:r>
          </w:p>
        </w:tc>
      </w:tr>
      <w:tr>
        <w:trPr>
          <w:trHeight w:val="203"/>
        </w:trPr>
        <w:tc>
          <w:tcPr>
            <w:tcW w:w="574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1,131,479</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1,129,841</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 of discontinued hotel operations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(Notes 1 and 2)</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160,332</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143,008</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in and advances to</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nonconsolidated affiliates</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111,499</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116,932</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costs and other</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174,034</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176,349</w:t>
            </w:r>
          </w:p>
        </w:tc>
      </w:tr>
      <w:tr>
        <w:trPr>
          <w:trHeight w:val="203"/>
        </w:trPr>
        <w:tc>
          <w:tcPr>
            <w:tcW w:w="574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$1,743,092</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$1,737,965</w:t>
            </w:r>
          </w:p>
        </w:tc>
      </w:tr>
      <w:tr>
        <w:trPr>
          <w:trHeight w:val="203"/>
        </w:trPr>
        <w:tc>
          <w:tcPr>
            <w:tcW w:w="574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56,563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54,621</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litigation settlement and related</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costs (Note 8)</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1,873</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72,101</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Construction payables</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2,589</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10,879</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167,321</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156,446</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1,330</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1,036</w:t>
            </w:r>
          </w:p>
        </w:tc>
      </w:tr>
      <w:tr>
        <w:trPr>
          <w:trHeight w:val="203"/>
        </w:trPr>
        <w:tc>
          <w:tcPr>
            <w:tcW w:w="574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229,676</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295,083</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758,150</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727,493</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credits and other</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73,259</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66,735</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8,792</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7,138</w:t>
            </w:r>
          </w:p>
        </w:tc>
      </w:tr>
      <w:tr>
        <w:trPr>
          <w:trHeight w:val="203"/>
        </w:trPr>
        <w:tc>
          <w:tcPr>
            <w:tcW w:w="574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1,069,877</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1,096,449</w:t>
            </w:r>
          </w:p>
        </w:tc>
      </w:tr>
      <w:tr>
        <w:trPr>
          <w:trHeight w:val="203"/>
        </w:trPr>
        <w:tc>
          <w:tcPr>
            <w:tcW w:w="574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interests</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20,002</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18,079</w:t>
            </w:r>
          </w:p>
        </w:tc>
      </w:tr>
      <w:tr>
        <w:trPr>
          <w:trHeight w:val="203"/>
        </w:trPr>
        <w:tc>
          <w:tcPr>
            <w:tcW w:w="574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 (Notes 7 and 8)</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$0.10 par value,</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authorized - 360,000,000 shares,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outstanding - 102,518,639 and 102,402,619</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shares (net of 20,060 and 37,172 shares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held in treasury)</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10,252</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10,240</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surplus</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358,456</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350,196</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288,676</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265,574</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compensation related to</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restricted stock</w:t>
            </w:r>
          </w:p>
        </w:tc>
        <w:tc>
          <w:tcPr>
            <w:tcW w:w="3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(4,171)</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(2,573)</w:t>
            </w:r>
          </w:p>
        </w:tc>
      </w:tr>
      <w:tr>
        <w:trPr>
          <w:trHeight w:val="203"/>
        </w:trPr>
        <w:tc>
          <w:tcPr>
            <w:tcW w:w="574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653,213</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623,437</w:t>
            </w:r>
          </w:p>
        </w:tc>
      </w:tr>
      <w:tr>
        <w:trPr>
          <w:trHeight w:val="203"/>
        </w:trPr>
        <w:tc>
          <w:tcPr>
            <w:tcW w:w="574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$1,743,092</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$1,737,965</w:t>
            </w:r>
          </w:p>
        </w:tc>
      </w:tr>
      <w:tr>
        <w:trPr>
          <w:trHeight w:val="203"/>
        </w:trPr>
        <w:tc>
          <w:tcPr>
            <w:tcW w:w="5740" w:type="dxa"/>
            <w:vAlign w:val="bottom"/>
          </w:tcPr>
          <w:p>
            <w:pPr>
              <w:spacing w:after="0"/>
              <w:rPr>
                <w:sz w:val="17"/>
                <w:szCs w:val="17"/>
                <w:color w:val="auto"/>
              </w:rPr>
            </w:pP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Condensed Financial Statements.</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1679"/>
        <w:spacing w:after="0"/>
        <w:rPr>
          <w:sz w:val="20"/>
          <w:szCs w:val="20"/>
          <w:color w:val="auto"/>
        </w:rPr>
      </w:pPr>
      <w:r>
        <w:rPr>
          <w:rFonts w:ascii="Courier New" w:cs="Courier New" w:eastAsia="Courier New" w:hAnsi="Courier New"/>
          <w:sz w:val="18"/>
          <w:szCs w:val="18"/>
          <w:color w:val="auto"/>
        </w:rPr>
        <w:t>THE PROMUS COMPANIES INCORPORATED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CONDENSED STATEMENTS OF INCOME</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w w:val="96"/>
              </w:rPr>
              <w:t>First Quarter Ended</w:t>
            </w:r>
          </w:p>
        </w:tc>
      </w:tr>
      <w:tr>
        <w:trPr>
          <w:trHeight w:val="203"/>
        </w:trPr>
        <w:tc>
          <w:tcPr>
            <w:tcW w:w="5900" w:type="dxa"/>
            <w:vAlign w:val="bottom"/>
          </w:tcPr>
          <w:p>
            <w:pPr>
              <w:spacing w:after="0"/>
              <w:rPr>
                <w:sz w:val="17"/>
                <w:szCs w:val="17"/>
                <w:color w:val="auto"/>
              </w:rPr>
            </w:pPr>
          </w:p>
        </w:tc>
        <w:tc>
          <w:tcPr>
            <w:tcW w:w="1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March 31,</w:t>
            </w:r>
          </w:p>
        </w:tc>
        <w:tc>
          <w:tcPr>
            <w:tcW w:w="1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6"/>
              </w:rPr>
              <w:t>March 31,</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 except per share amounts)</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Casino</w:t>
            </w: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$298,532</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$243,010</w:t>
            </w: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Food and beverage</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41,885</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36,415</w:t>
            </w: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Rooms</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24,654</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23,779</w:t>
            </w: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Management fees</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2,977</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258</w:t>
            </w: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23,390</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15,768</w:t>
            </w: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casino promotional allowances</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(34,957)</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(28,998)</w:t>
            </w:r>
          </w:p>
        </w:tc>
      </w:tr>
      <w:tr>
        <w:trPr>
          <w:trHeight w:val="203"/>
        </w:trPr>
        <w:tc>
          <w:tcPr>
            <w:tcW w:w="5900" w:type="dxa"/>
            <w:vAlign w:val="bottom"/>
          </w:tcPr>
          <w:p>
            <w:pPr>
              <w:spacing w:after="0"/>
              <w:rPr>
                <w:sz w:val="17"/>
                <w:szCs w:val="17"/>
                <w:color w:val="auto"/>
              </w:rPr>
            </w:pP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revenues</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356,481</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290,232</w:t>
            </w:r>
          </w:p>
        </w:tc>
      </w:tr>
      <w:tr>
        <w:trPr>
          <w:trHeight w:val="203"/>
        </w:trPr>
        <w:tc>
          <w:tcPr>
            <w:tcW w:w="5900" w:type="dxa"/>
            <w:vAlign w:val="bottom"/>
          </w:tcPr>
          <w:p>
            <w:pPr>
              <w:spacing w:after="0"/>
              <w:rPr>
                <w:sz w:val="17"/>
                <w:szCs w:val="17"/>
                <w:color w:val="auto"/>
              </w:rPr>
            </w:pP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Casino</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144,550</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112,634</w:t>
            </w: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Food and beverage</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18,942</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18,324</w:t>
            </w: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Rooms</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7,640</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8,063</w:t>
            </w: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of buildings, riverboats and equipment</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18,249</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15,872</w:t>
            </w: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Development costs</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4,248</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3,624</w:t>
            </w: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85,049</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64,785</w:t>
            </w:r>
          </w:p>
        </w:tc>
      </w:tr>
      <w:tr>
        <w:trPr>
          <w:trHeight w:val="203"/>
        </w:trPr>
        <w:tc>
          <w:tcPr>
            <w:tcW w:w="5900" w:type="dxa"/>
            <w:vAlign w:val="bottom"/>
          </w:tcPr>
          <w:p>
            <w:pPr>
              <w:spacing w:after="0"/>
              <w:rPr>
                <w:sz w:val="17"/>
                <w:szCs w:val="17"/>
                <w:color w:val="auto"/>
              </w:rPr>
            </w:pP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278,678</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223,302</w:t>
            </w:r>
          </w:p>
        </w:tc>
      </w:tr>
      <w:tr>
        <w:trPr>
          <w:trHeight w:val="203"/>
        </w:trPr>
        <w:tc>
          <w:tcPr>
            <w:tcW w:w="5900" w:type="dxa"/>
            <w:vAlign w:val="bottom"/>
          </w:tcPr>
          <w:p>
            <w:pPr>
              <w:spacing w:after="0"/>
              <w:rPr>
                <w:sz w:val="17"/>
                <w:szCs w:val="17"/>
                <w:color w:val="auto"/>
              </w:rPr>
            </w:pP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profit before corporate expense</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77,803</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66,930</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 expense</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(5,382)</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(4,892)</w:t>
            </w:r>
          </w:p>
        </w:tc>
      </w:tr>
      <w:tr>
        <w:trPr>
          <w:trHeight w:val="203"/>
        </w:trPr>
        <w:tc>
          <w:tcPr>
            <w:tcW w:w="5900" w:type="dxa"/>
            <w:vAlign w:val="bottom"/>
          </w:tcPr>
          <w:p>
            <w:pPr>
              <w:spacing w:after="0"/>
              <w:rPr>
                <w:sz w:val="17"/>
                <w:szCs w:val="17"/>
                <w:color w:val="auto"/>
              </w:rPr>
            </w:pP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72,421</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62,038</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 net of interest capitalized</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(18,328)</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(18,037)</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 net, from nonconsolidated affiliates</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(3,736)</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settlement of litigation and related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costs (Note 8)</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(646)</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and other income</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2,033</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404</w:t>
            </w:r>
          </w:p>
        </w:tc>
      </w:tr>
      <w:tr>
        <w:trPr>
          <w:trHeight w:val="203"/>
        </w:trPr>
        <w:tc>
          <w:tcPr>
            <w:tcW w:w="5900" w:type="dxa"/>
            <w:vAlign w:val="bottom"/>
          </w:tcPr>
          <w:p>
            <w:pPr>
              <w:spacing w:after="0"/>
              <w:rPr>
                <w:sz w:val="17"/>
                <w:szCs w:val="17"/>
                <w:color w:val="auto"/>
              </w:rPr>
            </w:pP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 and minority interest</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52,390</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43,759</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(20,357)</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(16,951)</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interests</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(3,337)</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(4,723)</w:t>
            </w:r>
          </w:p>
        </w:tc>
      </w:tr>
      <w:tr>
        <w:trPr>
          <w:trHeight w:val="203"/>
        </w:trPr>
        <w:tc>
          <w:tcPr>
            <w:tcW w:w="5900" w:type="dxa"/>
            <w:vAlign w:val="bottom"/>
          </w:tcPr>
          <w:p>
            <w:pPr>
              <w:spacing w:after="0"/>
              <w:rPr>
                <w:sz w:val="17"/>
                <w:szCs w:val="17"/>
                <w:color w:val="auto"/>
              </w:rPr>
            </w:pP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28,696</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22,085</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Earnings from hotel operations, net of tax provision</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$6,983 and $5,936  (Note 2)</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9,604</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6,131</w:t>
            </w: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Spin-off transaction expenses, net of tax benefit</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$3,552</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(15,198)</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rPr>
                <w:sz w:val="17"/>
                <w:szCs w:val="17"/>
                <w:color w:val="auto"/>
              </w:rPr>
            </w:pP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cumulative effect of change in</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accounting policy</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23,102</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28,216</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 change in accounting</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policy, net of tax benefit of $4,317</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(7,932)</w:t>
            </w:r>
          </w:p>
        </w:tc>
      </w:tr>
      <w:tr>
        <w:trPr>
          <w:trHeight w:val="203"/>
        </w:trPr>
        <w:tc>
          <w:tcPr>
            <w:tcW w:w="5900" w:type="dxa"/>
            <w:vAlign w:val="bottom"/>
          </w:tcPr>
          <w:p>
            <w:pPr>
              <w:spacing w:after="0"/>
              <w:rPr>
                <w:sz w:val="17"/>
                <w:szCs w:val="17"/>
                <w:color w:val="auto"/>
              </w:rPr>
            </w:pP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$ 23,102</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$ 20,284</w:t>
            </w:r>
          </w:p>
        </w:tc>
      </w:tr>
      <w:tr>
        <w:trPr>
          <w:trHeight w:val="203"/>
        </w:trPr>
        <w:tc>
          <w:tcPr>
            <w:tcW w:w="5900" w:type="dxa"/>
            <w:vAlign w:val="bottom"/>
          </w:tcPr>
          <w:p>
            <w:pPr>
              <w:spacing w:after="0"/>
              <w:rPr>
                <w:sz w:val="17"/>
                <w:szCs w:val="17"/>
                <w:color w:val="auto"/>
              </w:rPr>
            </w:pP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Continuing operations</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0.28</w:t>
            </w:r>
          </w:p>
        </w:tc>
        <w:tc>
          <w:tcPr>
            <w:tcW w:w="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0.21</w:t>
            </w: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Earnings of hotel operations, net</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0.09</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0.07</w:t>
            </w: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Spin-off transaction expenses, net</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(0.15)</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Cumulative effect of change in accounting</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policy, net</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(0.08)</w:t>
            </w:r>
          </w:p>
        </w:tc>
      </w:tr>
      <w:tr>
        <w:trPr>
          <w:trHeight w:val="203"/>
        </w:trPr>
        <w:tc>
          <w:tcPr>
            <w:tcW w:w="5900" w:type="dxa"/>
            <w:vAlign w:val="bottom"/>
          </w:tcPr>
          <w:p>
            <w:pPr>
              <w:spacing w:after="0"/>
              <w:rPr>
                <w:sz w:val="17"/>
                <w:szCs w:val="17"/>
                <w:color w:val="auto"/>
              </w:rPr>
            </w:pP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0.22</w:t>
            </w:r>
          </w:p>
        </w:tc>
        <w:tc>
          <w:tcPr>
            <w:tcW w:w="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0.20</w:t>
            </w:r>
          </w:p>
        </w:tc>
      </w:tr>
      <w:tr>
        <w:trPr>
          <w:trHeight w:val="203"/>
        </w:trPr>
        <w:tc>
          <w:tcPr>
            <w:tcW w:w="5900" w:type="dxa"/>
            <w:vAlign w:val="bottom"/>
          </w:tcPr>
          <w:p>
            <w:pPr>
              <w:spacing w:after="0"/>
              <w:rPr>
                <w:sz w:val="17"/>
                <w:szCs w:val="17"/>
                <w:color w:val="auto"/>
              </w:rPr>
            </w:pP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common shares outstanding</w:t>
            </w:r>
          </w:p>
        </w:tc>
        <w:tc>
          <w:tcPr>
            <w:tcW w:w="32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103,014</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102,907</w:t>
            </w:r>
          </w:p>
        </w:tc>
      </w:tr>
      <w:tr>
        <w:trPr>
          <w:trHeight w:val="203"/>
        </w:trPr>
        <w:tc>
          <w:tcPr>
            <w:tcW w:w="5900" w:type="dxa"/>
            <w:vAlign w:val="bottom"/>
          </w:tcPr>
          <w:p>
            <w:pPr>
              <w:spacing w:after="0"/>
              <w:rPr>
                <w:sz w:val="17"/>
                <w:szCs w:val="17"/>
                <w:color w:val="auto"/>
              </w:rPr>
            </w:pP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Condensed Financial Statements.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19" w:right="1440" w:bottom="362" w:gutter="0" w:footer="0" w:header="0"/>
        </w:sectPr>
      </w:pPr>
    </w:p>
    <w:bookmarkStart w:id="4" w:name="page5"/>
    <w:bookmarkEnd w:id="4"/>
    <w:p>
      <w:pPr>
        <w:jc w:val="center"/>
        <w:ind w:right="819"/>
        <w:spacing w:after="0"/>
        <w:rPr>
          <w:sz w:val="20"/>
          <w:szCs w:val="20"/>
          <w:color w:val="auto"/>
        </w:rPr>
      </w:pPr>
      <w:r>
        <w:rPr>
          <w:rFonts w:ascii="Courier New" w:cs="Courier New" w:eastAsia="Courier New" w:hAnsi="Courier New"/>
          <w:sz w:val="18"/>
          <w:szCs w:val="18"/>
          <w:color w:val="auto"/>
        </w:rPr>
        <w:t>THE PROMUS COMPANIES INCORPORATED</w:t>
      </w:r>
    </w:p>
    <w:p>
      <w:pPr>
        <w:jc w:val="center"/>
        <w:ind w:right="819"/>
        <w:spacing w:after="0" w:line="238" w:lineRule="auto"/>
        <w:rPr>
          <w:sz w:val="20"/>
          <w:szCs w:val="20"/>
          <w:color w:val="auto"/>
        </w:rPr>
      </w:pPr>
      <w:r>
        <w:rPr>
          <w:rFonts w:ascii="Courier New" w:cs="Courier New" w:eastAsia="Courier New" w:hAnsi="Courier New"/>
          <w:sz w:val="18"/>
          <w:szCs w:val="18"/>
          <w:color w:val="auto"/>
        </w:rPr>
        <w:t>CONSOLIDATED CONDENSED STATEMENTS OF CASH FLOWS</w:t>
      </w:r>
    </w:p>
    <w:p>
      <w:pPr>
        <w:jc w:val="center"/>
        <w:ind w:right="81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rPr>
              <w:t>First Quarter Ended</w:t>
            </w:r>
          </w:p>
        </w:tc>
      </w:tr>
      <w:tr>
        <w:trPr>
          <w:trHeight w:val="203"/>
        </w:trPr>
        <w:tc>
          <w:tcPr>
            <w:tcW w:w="5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March 31,</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March 31,</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1995</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23,102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20,284</w:t>
            </w: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 cash flows from operating activities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Earnings from hotel operations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(9,604)</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(6,131)</w:t>
            </w: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Spin-off transaction expenses, before income</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taxes</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18,750</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Cumulative effect of change in accounting</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policy, before income taxes</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12,249</w:t>
            </w:r>
          </w:p>
        </w:tc>
      </w:tr>
      <w:tr>
        <w:trPr>
          <w:trHeight w:val="203"/>
        </w:trPr>
        <w:tc>
          <w:tcPr>
            <w:tcW w:w="5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22,302</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19,717</w:t>
            </w:r>
          </w:p>
        </w:tc>
      </w:tr>
      <w:tr>
        <w:trPr>
          <w:trHeight w:val="203"/>
        </w:trPr>
        <w:tc>
          <w:tcPr>
            <w:tcW w:w="5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 noncash items</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5,620</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(2,903)</w:t>
            </w:r>
          </w:p>
        </w:tc>
      </w:tr>
      <w:tr>
        <w:trPr>
          <w:trHeight w:val="203"/>
        </w:trPr>
        <w:tc>
          <w:tcPr>
            <w:tcW w:w="5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Minority interests share of net income</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3,337</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4,723</w:t>
            </w:r>
          </w:p>
        </w:tc>
      </w:tr>
      <w:tr>
        <w:trPr>
          <w:trHeight w:val="203"/>
        </w:trPr>
        <w:tc>
          <w:tcPr>
            <w:tcW w:w="5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Equity in and distributions of (earnings)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losses of nonconsolidated affiliates</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6,503</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3,982</w:t>
            </w:r>
          </w:p>
        </w:tc>
      </w:tr>
      <w:tr>
        <w:trPr>
          <w:trHeight w:val="203"/>
        </w:trPr>
        <w:tc>
          <w:tcPr>
            <w:tcW w:w="5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(gains) losses from asset sales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(1,650)</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change in long-term accounts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(6,015)</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w:t>
            </w:r>
          </w:p>
        </w:tc>
      </w:tr>
      <w:tr>
        <w:trPr>
          <w:trHeight w:val="203"/>
        </w:trPr>
        <w:tc>
          <w:tcPr>
            <w:tcW w:w="5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change in working capital accounts</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11,436</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14,763</w:t>
            </w:r>
          </w:p>
        </w:tc>
      </w:tr>
      <w:tr>
        <w:trPr>
          <w:trHeight w:val="203"/>
        </w:trPr>
        <w:tc>
          <w:tcPr>
            <w:tcW w:w="5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change in accrued litigation settlement</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9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and related costs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(42,228)</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Tax indemnification payments to Bass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(28,000)</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(4,282)</w:t>
            </w:r>
          </w:p>
        </w:tc>
      </w:tr>
      <w:tr>
        <w:trPr>
          <w:trHeight w:val="203"/>
        </w:trPr>
        <w:tc>
          <w:tcPr>
            <w:tcW w:w="590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Cash flows provided by operating</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90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activities</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3,553</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62,027</w:t>
            </w:r>
          </w:p>
        </w:tc>
      </w:tr>
      <w:tr>
        <w:trPr>
          <w:trHeight w:val="203"/>
        </w:trPr>
        <w:tc>
          <w:tcPr>
            <w:tcW w:w="590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 buildings, riverboats and equipment</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additions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(26,622)</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(41,813)</w:t>
            </w: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 in and advances to</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nonconsolidated affiliates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(5,089)</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(12,645)</w:t>
            </w: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 in construction payables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(8,290)</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(18,110)</w:t>
            </w: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asset sales</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3,437</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(4,278)</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(2,913)</w:t>
            </w:r>
          </w:p>
        </w:tc>
      </w:tr>
      <w:tr>
        <w:trPr>
          <w:trHeight w:val="203"/>
        </w:trPr>
        <w:tc>
          <w:tcPr>
            <w:tcW w:w="590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Cash flows used in investing activities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(40,842)</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(75,481)</w:t>
            </w:r>
          </w:p>
        </w:tc>
      </w:tr>
      <w:tr>
        <w:trPr>
          <w:trHeight w:val="203"/>
        </w:trPr>
        <w:tc>
          <w:tcPr>
            <w:tcW w:w="590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borrowings under Revolving Credit Facility</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53,150</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Debt retirements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(766)</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(760)</w:t>
            </w: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Minority interest distributions, net of contributions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(974)</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(2,334)</w:t>
            </w:r>
          </w:p>
        </w:tc>
      </w:tr>
      <w:tr>
        <w:trPr>
          <w:trHeight w:val="203"/>
        </w:trPr>
        <w:tc>
          <w:tcPr>
            <w:tcW w:w="590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Cash flows provided by financing</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90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activities</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51,410</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11,906</w:t>
            </w:r>
          </w:p>
        </w:tc>
      </w:tr>
      <w:tr>
        <w:trPr>
          <w:trHeight w:val="203"/>
        </w:trPr>
        <w:tc>
          <w:tcPr>
            <w:tcW w:w="590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discontinued hotel operations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Net transfers to (from) discontinued hotel operations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(25,371)</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(4,125)</w:t>
            </w: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Payment of spin-off transaction expenses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(2,518)</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Cash flows used in discontinued operations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(27,889)</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(4,125)</w:t>
            </w:r>
          </w:p>
        </w:tc>
      </w:tr>
      <w:tr>
        <w:trPr>
          <w:trHeight w:val="203"/>
        </w:trPr>
        <w:tc>
          <w:tcPr>
            <w:tcW w:w="590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cash and cash equivalents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(13,768)</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(5,673)</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beginning of period</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84,968</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58,309</w:t>
            </w:r>
          </w:p>
        </w:tc>
      </w:tr>
      <w:tr>
        <w:trPr>
          <w:trHeight w:val="203"/>
        </w:trPr>
        <w:tc>
          <w:tcPr>
            <w:tcW w:w="590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end of period</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71,200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52,636</w:t>
            </w:r>
          </w:p>
        </w:tc>
      </w:tr>
      <w:tr>
        <w:trPr>
          <w:trHeight w:val="203"/>
        </w:trPr>
        <w:tc>
          <w:tcPr>
            <w:tcW w:w="590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38" w:lineRule="auto"/>
        <w:rPr>
          <w:sz w:val="20"/>
          <w:szCs w:val="20"/>
          <w:color w:val="auto"/>
        </w:rPr>
      </w:pPr>
      <w:r>
        <w:rPr>
          <w:rFonts w:ascii="Courier New" w:cs="Courier New" w:eastAsia="Courier New" w:hAnsi="Courier New"/>
          <w:sz w:val="18"/>
          <w:szCs w:val="18"/>
          <w:color w:val="auto"/>
        </w:rPr>
        <w:t>See accompanying Notes to Consolidated Condensed Financial Statements.</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5" w:name="page6"/>
    <w:bookmarkEnd w:id="5"/>
    <w:p>
      <w:pPr>
        <w:ind w:left="2220"/>
        <w:spacing w:after="0"/>
        <w:rPr>
          <w:sz w:val="20"/>
          <w:szCs w:val="20"/>
          <w:color w:val="auto"/>
        </w:rPr>
      </w:pPr>
      <w:r>
        <w:rPr>
          <w:rFonts w:ascii="Courier New" w:cs="Courier New" w:eastAsia="Courier New" w:hAnsi="Courier New"/>
          <w:sz w:val="18"/>
          <w:szCs w:val="18"/>
          <w:color w:val="auto"/>
        </w:rPr>
        <w:t>THE PROMUS COMPANIES INCORPORATED</w:t>
      </w:r>
    </w:p>
    <w:p>
      <w:pPr>
        <w:ind w:left="1280"/>
        <w:spacing w:after="0" w:line="238" w:lineRule="auto"/>
        <w:rPr>
          <w:sz w:val="20"/>
          <w:szCs w:val="20"/>
          <w:color w:val="auto"/>
        </w:rPr>
      </w:pPr>
      <w:r>
        <w:rPr>
          <w:rFonts w:ascii="Courier New" w:cs="Courier New" w:eastAsia="Courier New" w:hAnsi="Courier New"/>
          <w:sz w:val="18"/>
          <w:szCs w:val="18"/>
          <w:color w:val="auto"/>
        </w:rPr>
        <w:t>NOTES TO CONSOLIDATED CONDENSED FINANCIAL STATEMENTS</w:t>
      </w:r>
    </w:p>
    <w:p>
      <w:pPr>
        <w:ind w:left="3280"/>
        <w:spacing w:after="0"/>
        <w:rPr>
          <w:sz w:val="20"/>
          <w:szCs w:val="20"/>
          <w:color w:val="auto"/>
        </w:rPr>
      </w:pPr>
      <w:r>
        <w:rPr>
          <w:rFonts w:ascii="Courier New" w:cs="Courier New" w:eastAsia="Courier New" w:hAnsi="Courier New"/>
          <w:sz w:val="18"/>
          <w:szCs w:val="18"/>
          <w:color w:val="auto"/>
        </w:rPr>
        <w:t>MARCH 31, 1995</w:t>
      </w:r>
    </w:p>
    <w:p>
      <w:pPr>
        <w:ind w:left="3380"/>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 Basis of Presentation and Organization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2419" w:firstLine="421"/>
        <w:spacing w:after="0" w:line="269" w:lineRule="auto"/>
        <w:rPr>
          <w:sz w:val="20"/>
          <w:szCs w:val="20"/>
          <w:color w:val="auto"/>
        </w:rPr>
      </w:pPr>
      <w:r>
        <w:rPr>
          <w:rFonts w:ascii="Courier New" w:cs="Courier New" w:eastAsia="Courier New" w:hAnsi="Courier New"/>
          <w:sz w:val="16"/>
          <w:szCs w:val="16"/>
          <w:color w:val="auto"/>
        </w:rPr>
        <w:t>The Promus Companies Incorporated (Promus), a Delaware corporation, is a hospitality company with two primary business segments: casino entertainment and hotels. On January 30, 1995, Promus announced a planned spin-off, expected to be completed by the end of second quarter 1995, that will split the Company into two independent public corporations, one for conducting its casino entertainment business and one for conducting its hotel business. Promus, which will be renamed Harrah's Entertainment, Inc., will retain ownership of the casino entertainment business. Promus' hotel operations, which include the Embassy Suites, Hampton Inn and Homewood Suites hotel brands, will be transferred to a new entity, named Promus Hotel Corporation (PHC), the stock of which is to be distributed to Promus' stockholders on a one-for-two basis (the PHC Spin-off). As a result of this announcement, Promus' historical financial statements reflect the hotel business as discontinued operations (see Note 2). The PHC Spin-off is subject to a number of conditions, including regulatory, bondholder, bank lender and other third party approvals, receipt of an opinion from outside legal counsel regarding the tax-free status of the transaction, market conditions, final approval of the Board of Directors and stockholder approval.</w:t>
      </w:r>
    </w:p>
    <w:p>
      <w:pPr>
        <w:spacing w:after="0" w:line="200" w:lineRule="exact"/>
        <w:rPr>
          <w:sz w:val="20"/>
          <w:szCs w:val="20"/>
          <w:color w:val="auto"/>
        </w:rPr>
      </w:pPr>
    </w:p>
    <w:p>
      <w:pPr>
        <w:spacing w:after="0" w:line="398"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The consolidated condensed financial statements include the accounts of Promus and its subsidiaries after elimination of all significant intercompany accounts and transactions. Investments in 50% or less owned companies and joint ventures over which Promus has the ability to exercise significant influence are accounted for using the equity method. Promus reflects its share of income before interest expense of these nonconsolidated affiliates in revenues. Promus' proportionate share of interest expense of such nonconsolidated affiliates is included in interest expense, net, from nonconsolidated affiliates. (See Note 9.)</w:t>
      </w:r>
    </w:p>
    <w:p>
      <w:pPr>
        <w:spacing w:after="0" w:line="214" w:lineRule="exact"/>
        <w:rPr>
          <w:sz w:val="20"/>
          <w:szCs w:val="20"/>
          <w:color w:val="auto"/>
        </w:rPr>
      </w:pPr>
    </w:p>
    <w:p>
      <w:pPr>
        <w:jc w:val="both"/>
        <w:ind w:right="2519" w:firstLine="421"/>
        <w:spacing w:after="0" w:line="236" w:lineRule="auto"/>
        <w:rPr>
          <w:sz w:val="20"/>
          <w:szCs w:val="20"/>
          <w:color w:val="auto"/>
        </w:rPr>
      </w:pPr>
      <w:r>
        <w:rPr>
          <w:rFonts w:ascii="Courier New" w:cs="Courier New" w:eastAsia="Courier New" w:hAnsi="Courier New"/>
          <w:sz w:val="18"/>
          <w:szCs w:val="18"/>
          <w:color w:val="auto"/>
        </w:rPr>
        <w:t>Certain amounts for the first quarter ended March 31, 1994, have been reclassified to conform with the presentation for the first quarter ended March 31, 1995.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 Discontinued Operations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As discussed in Note 1, on January 30, 1995, Promus announced a planned spin-off of its hotel operations. Accordingly, the financial position, results of operations and cash flows of Promus' hotel business have been reported as discontinued operations for all periods presented in the consolidated condensed financial statements. Summarized financial information of the discontinued operations is presented in the following tables:</w:t>
      </w: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19" w:right="1440" w:bottom="1440" w:gutter="0" w:footer="0" w:header="0"/>
        </w:sectPr>
      </w:pPr>
    </w:p>
    <w:bookmarkStart w:id="6" w:name="page7"/>
    <w:bookmarkEnd w:id="6"/>
    <w:p>
      <w:pPr>
        <w:ind w:left="2220"/>
        <w:spacing w:after="0"/>
        <w:rPr>
          <w:sz w:val="20"/>
          <w:szCs w:val="20"/>
          <w:color w:val="auto"/>
        </w:rPr>
      </w:pPr>
      <w:r>
        <w:rPr>
          <w:rFonts w:ascii="Courier New" w:cs="Courier New" w:eastAsia="Courier New" w:hAnsi="Courier New"/>
          <w:sz w:val="18"/>
          <w:szCs w:val="18"/>
          <w:color w:val="auto"/>
        </w:rPr>
        <w:t>THE PROMUS COMPANIES INCORPORATED</w:t>
      </w:r>
    </w:p>
    <w:p>
      <w:pPr>
        <w:ind w:left="420"/>
        <w:spacing w:after="0" w:line="238" w:lineRule="auto"/>
        <w:rPr>
          <w:sz w:val="20"/>
          <w:szCs w:val="20"/>
          <w:color w:val="auto"/>
        </w:rPr>
      </w:pPr>
      <w:r>
        <w:rPr>
          <w:rFonts w:ascii="Courier New" w:cs="Courier New" w:eastAsia="Courier New" w:hAnsi="Courier New"/>
          <w:sz w:val="18"/>
          <w:szCs w:val="18"/>
          <w:color w:val="auto"/>
        </w:rPr>
        <w:t>NOTES TO CONSOLIDATED CONDENSED FINANCIAL STATEMENTS (CONTINUED)</w:t>
      </w:r>
    </w:p>
    <w:p>
      <w:pPr>
        <w:ind w:left="3280"/>
        <w:spacing w:after="0"/>
        <w:rPr>
          <w:sz w:val="20"/>
          <w:szCs w:val="20"/>
          <w:color w:val="auto"/>
        </w:rPr>
      </w:pPr>
      <w:r>
        <w:rPr>
          <w:rFonts w:ascii="Courier New" w:cs="Courier New" w:eastAsia="Courier New" w:hAnsi="Courier New"/>
          <w:sz w:val="18"/>
          <w:szCs w:val="18"/>
          <w:color w:val="auto"/>
        </w:rPr>
        <w:t>MARCH 31, 1995</w:t>
      </w:r>
    </w:p>
    <w:p>
      <w:pPr>
        <w:ind w:left="3380"/>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20" w:type="dxa"/>
            <w:vAlign w:val="bottom"/>
          </w:tcPr>
          <w:p>
            <w:pPr>
              <w:spacing w:after="0"/>
              <w:rPr>
                <w:sz w:val="20"/>
                <w:szCs w:val="20"/>
                <w:color w:val="auto"/>
              </w:rPr>
            </w:pPr>
            <w:r>
              <w:rPr>
                <w:rFonts w:ascii="Courier New" w:cs="Courier New" w:eastAsia="Courier New" w:hAnsi="Courier New"/>
                <w:sz w:val="18"/>
                <w:szCs w:val="18"/>
                <w:color w:val="auto"/>
              </w:rPr>
              <w:t>Note 2 - Discontinued Operations (Continued)</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assets of discontinued hotel operations:</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March 31,</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 31,</w:t>
            </w:r>
          </w:p>
        </w:tc>
      </w:tr>
      <w:tr>
        <w:trPr>
          <w:trHeight w:val="203"/>
        </w:trPr>
        <w:tc>
          <w:tcPr>
            <w:tcW w:w="5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31,375</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25,565</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3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(32,870)</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(34,461)</w:t>
            </w:r>
          </w:p>
        </w:tc>
      </w:tr>
      <w:tr>
        <w:trPr>
          <w:trHeight w:val="203"/>
        </w:trPr>
        <w:tc>
          <w:tcPr>
            <w:tcW w:w="532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current liabilities</w:t>
            </w:r>
          </w:p>
        </w:tc>
        <w:tc>
          <w:tcPr>
            <w:tcW w:w="3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(1,495)</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(8,896)</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Land, buildings and equipment, net</w:t>
            </w:r>
          </w:p>
        </w:tc>
        <w:tc>
          <w:tcPr>
            <w:tcW w:w="3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346,507</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322,140</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3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79,948</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72,860</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including allocated debt</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 8)</w:t>
            </w:r>
          </w:p>
        </w:tc>
        <w:tc>
          <w:tcPr>
            <w:tcW w:w="3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(211,458)</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(189,943)</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liabilities and deferred taxes</w:t>
            </w:r>
          </w:p>
        </w:tc>
        <w:tc>
          <w:tcPr>
            <w:tcW w:w="3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(53,170)</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(53,153)</w:t>
            </w:r>
          </w:p>
        </w:tc>
      </w:tr>
      <w:tr>
        <w:trPr>
          <w:trHeight w:val="203"/>
        </w:trPr>
        <w:tc>
          <w:tcPr>
            <w:tcW w:w="532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assets of discontinued hotel</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operations</w:t>
            </w: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$ 160,332</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$ 143,008</w:t>
            </w:r>
          </w:p>
        </w:tc>
      </w:tr>
      <w:tr>
        <w:trPr>
          <w:trHeight w:val="203"/>
        </w:trPr>
        <w:tc>
          <w:tcPr>
            <w:tcW w:w="532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Earnings from discontinued hotel operations:</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First Quarter Ended</w:t>
            </w:r>
          </w:p>
        </w:tc>
      </w:tr>
      <w:tr>
        <w:trPr>
          <w:trHeight w:val="203"/>
        </w:trPr>
        <w:tc>
          <w:tcPr>
            <w:tcW w:w="5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March 31,</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March 31,</w:t>
            </w:r>
          </w:p>
        </w:tc>
      </w:tr>
      <w:tr>
        <w:trPr>
          <w:trHeight w:val="203"/>
        </w:trPr>
        <w:tc>
          <w:tcPr>
            <w:tcW w:w="5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63,218</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55,555</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3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(38,275)</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(35,815)</w:t>
            </w:r>
          </w:p>
        </w:tc>
      </w:tr>
      <w:tr>
        <w:trPr>
          <w:trHeight w:val="203"/>
        </w:trPr>
        <w:tc>
          <w:tcPr>
            <w:tcW w:w="532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3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24,943</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19,740</w:t>
            </w: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38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(8,407)</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(7,700)</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expense</w:t>
            </w:r>
          </w:p>
        </w:tc>
        <w:tc>
          <w:tcPr>
            <w:tcW w:w="3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532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3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16,587</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12,067</w:t>
            </w: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38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(6,983)</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(5,936)</w:t>
            </w:r>
          </w:p>
        </w:tc>
      </w:tr>
      <w:tr>
        <w:trPr>
          <w:trHeight w:val="203"/>
        </w:trPr>
        <w:tc>
          <w:tcPr>
            <w:tcW w:w="532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from discontinued hotel operations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9,604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6,131</w:t>
            </w:r>
          </w:p>
        </w:tc>
      </w:tr>
      <w:tr>
        <w:trPr>
          <w:trHeight w:val="203"/>
        </w:trPr>
        <w:tc>
          <w:tcPr>
            <w:tcW w:w="532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right="2839" w:firstLine="421"/>
        <w:spacing w:after="0" w:line="237" w:lineRule="auto"/>
        <w:rPr>
          <w:sz w:val="20"/>
          <w:szCs w:val="20"/>
          <w:color w:val="auto"/>
        </w:rPr>
      </w:pPr>
      <w:r>
        <w:rPr>
          <w:rFonts w:ascii="Courier New" w:cs="Courier New" w:eastAsia="Courier New" w:hAnsi="Courier New"/>
          <w:sz w:val="18"/>
          <w:szCs w:val="18"/>
          <w:color w:val="auto"/>
        </w:rPr>
        <w:t>In addition to the earnings of its discontinued hotel operations, Promus' first quarter 1995 operating results also include a charge of $15.2 million, net of tax, to accrue the estimated expenses of the PHC Spin-off transaction.</w:t>
      </w:r>
    </w:p>
    <w:p>
      <w:pPr>
        <w:spacing w:after="0" w:line="207" w:lineRule="exact"/>
        <w:rPr>
          <w:sz w:val="20"/>
          <w:szCs w:val="20"/>
          <w:color w:val="auto"/>
        </w:rPr>
      </w:pPr>
    </w:p>
    <w:p>
      <w:pPr>
        <w:ind w:right="2419" w:firstLine="421"/>
        <w:spacing w:after="0" w:line="268" w:lineRule="auto"/>
        <w:rPr>
          <w:sz w:val="20"/>
          <w:szCs w:val="20"/>
          <w:color w:val="auto"/>
        </w:rPr>
      </w:pPr>
      <w:r>
        <w:rPr>
          <w:rFonts w:ascii="Courier New" w:cs="Courier New" w:eastAsia="Courier New" w:hAnsi="Courier New"/>
          <w:sz w:val="16"/>
          <w:szCs w:val="16"/>
          <w:color w:val="auto"/>
        </w:rPr>
        <w:t>In anticipation of the PHC Spin-off, Embassy Suites, Inc. (Embassy), a wholly-owned subsidiary of Promus is negotiating a new $350 million bank facility (Hotel Facility), to be secured by the stock of PHC's material subsidiaries. Immediately prior to the PHC spin-off, Embassy will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draw approximately $210 million on the Hotel Facility and retire a portion</w:t>
      </w:r>
    </w:p>
    <w:p>
      <w:pPr>
        <w:spacing w:after="0" w:line="16" w:lineRule="exact"/>
        <w:rPr>
          <w:sz w:val="20"/>
          <w:szCs w:val="20"/>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of Promus' existing corporate debt.</w:t>
      </w:r>
      <w:r>
        <w:rPr>
          <w:sz w:val="20"/>
          <w:szCs w:val="20"/>
          <w:color w:val="auto"/>
        </w:rPr>
        <w:tab/>
      </w:r>
      <w:r>
        <w:rPr>
          <w:rFonts w:ascii="Courier New" w:cs="Courier New" w:eastAsia="Courier New" w:hAnsi="Courier New"/>
          <w:sz w:val="16"/>
          <w:szCs w:val="16"/>
          <w:color w:val="auto"/>
        </w:rPr>
        <w:t>Upon consummation of the PHC Spin-off,</w:t>
      </w:r>
    </w:p>
    <w:p>
      <w:pPr>
        <w:spacing w:after="0" w:line="238" w:lineRule="auto"/>
        <w:rPr>
          <w:sz w:val="20"/>
          <w:szCs w:val="20"/>
          <w:color w:val="auto"/>
        </w:rPr>
      </w:pPr>
      <w:r>
        <w:rPr>
          <w:rFonts w:ascii="Courier New" w:cs="Courier New" w:eastAsia="Courier New" w:hAnsi="Courier New"/>
          <w:sz w:val="18"/>
          <w:szCs w:val="18"/>
          <w:color w:val="auto"/>
        </w:rPr>
        <w:t>the Hotel Facility will be assumed by PHC, and Embassy will be released</w:t>
      </w:r>
    </w:p>
    <w:p>
      <w:pPr>
        <w:spacing w:after="0"/>
        <w:tabs>
          <w:tab w:leader="none" w:pos="1780" w:val="left"/>
        </w:tabs>
        <w:rPr>
          <w:sz w:val="20"/>
          <w:szCs w:val="20"/>
          <w:color w:val="auto"/>
        </w:rPr>
      </w:pPr>
      <w:r>
        <w:rPr>
          <w:rFonts w:ascii="Courier New" w:cs="Courier New" w:eastAsia="Courier New" w:hAnsi="Courier New"/>
          <w:sz w:val="18"/>
          <w:szCs w:val="18"/>
          <w:color w:val="auto"/>
        </w:rPr>
        <w:t>from liability.</w:t>
      </w:r>
      <w:r>
        <w:rPr>
          <w:sz w:val="20"/>
          <w:szCs w:val="20"/>
          <w:color w:val="auto"/>
        </w:rPr>
        <w:tab/>
      </w:r>
      <w:r>
        <w:rPr>
          <w:rFonts w:ascii="Courier New" w:cs="Courier New" w:eastAsia="Courier New" w:hAnsi="Courier New"/>
          <w:sz w:val="16"/>
          <w:szCs w:val="16"/>
          <w:color w:val="auto"/>
        </w:rPr>
        <w:t>In addition, it is expected that PHC will assume two of</w:t>
      </w:r>
    </w:p>
    <w:p>
      <w:pPr>
        <w:spacing w:after="0" w:line="237" w:lineRule="auto"/>
        <w:rPr>
          <w:sz w:val="20"/>
          <w:szCs w:val="20"/>
          <w:color w:val="auto"/>
        </w:rPr>
      </w:pPr>
      <w:r>
        <w:rPr>
          <w:rFonts w:ascii="Courier New" w:cs="Courier New" w:eastAsia="Courier New" w:hAnsi="Courier New"/>
          <w:sz w:val="18"/>
          <w:szCs w:val="18"/>
          <w:color w:val="auto"/>
        </w:rPr>
        <w:t>Promus' existing interest rate swaps, with a total notional amount of</w:t>
      </w:r>
    </w:p>
    <w:p>
      <w:pPr>
        <w:spacing w:after="0" w:line="238" w:lineRule="auto"/>
        <w:rPr>
          <w:sz w:val="20"/>
          <w:szCs w:val="20"/>
          <w:color w:val="auto"/>
        </w:rPr>
      </w:pPr>
      <w:r>
        <w:rPr>
          <w:rFonts w:ascii="Courier New" w:cs="Courier New" w:eastAsia="Courier New" w:hAnsi="Courier New"/>
          <w:sz w:val="18"/>
          <w:szCs w:val="18"/>
          <w:color w:val="auto"/>
        </w:rPr>
        <w:t>$100 million, converting that amount of variable rate debt which will be</w:t>
      </w:r>
    </w:p>
    <w:p>
      <w:pPr>
        <w:spacing w:after="0"/>
        <w:rPr>
          <w:sz w:val="20"/>
          <w:szCs w:val="20"/>
          <w:color w:val="auto"/>
        </w:rPr>
      </w:pPr>
      <w:r>
        <w:rPr>
          <w:rFonts w:ascii="Courier New" w:cs="Courier New" w:eastAsia="Courier New" w:hAnsi="Courier New"/>
          <w:sz w:val="18"/>
          <w:szCs w:val="18"/>
          <w:color w:val="auto"/>
        </w:rPr>
        <w:t>outstanding under the Hotel Facility to a fixed rate.</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19" w:right="1440" w:bottom="1440" w:gutter="0" w:footer="0" w:header="0"/>
        </w:sectPr>
      </w:pPr>
    </w:p>
    <w:bookmarkStart w:id="7" w:name="page8"/>
    <w:bookmarkEnd w:id="7"/>
    <w:p>
      <w:pPr>
        <w:ind w:left="2440"/>
        <w:spacing w:after="0"/>
        <w:rPr>
          <w:sz w:val="20"/>
          <w:szCs w:val="20"/>
          <w:color w:val="auto"/>
        </w:rPr>
      </w:pPr>
      <w:r>
        <w:rPr>
          <w:rFonts w:ascii="Courier New" w:cs="Courier New" w:eastAsia="Courier New" w:hAnsi="Courier New"/>
          <w:sz w:val="18"/>
          <w:szCs w:val="18"/>
          <w:color w:val="auto"/>
        </w:rPr>
        <w:t>THE PROMUS COMPANIES INCORPORATED</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NOTES TO CONSOLIDATED CONDENSED FINANCIAL STATEMENTS (CONTINUED)</w:t>
      </w:r>
    </w:p>
    <w:p>
      <w:pPr>
        <w:spacing w:after="0" w:line="1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MARCH 31, 1995</w:t>
      </w:r>
    </w:p>
    <w:p>
      <w:pPr>
        <w:ind w:left="338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 Discontinued Operations (Continued)</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2319" w:firstLine="421"/>
        <w:spacing w:after="0" w:line="270" w:lineRule="auto"/>
        <w:rPr>
          <w:sz w:val="20"/>
          <w:szCs w:val="20"/>
          <w:color w:val="auto"/>
        </w:rPr>
      </w:pPr>
      <w:r>
        <w:rPr>
          <w:rFonts w:ascii="Courier New" w:cs="Courier New" w:eastAsia="Courier New" w:hAnsi="Courier New"/>
          <w:sz w:val="16"/>
          <w:szCs w:val="16"/>
          <w:color w:val="auto"/>
        </w:rPr>
        <w:t>Promus' corporate debt is not specifically related to either its casino entertainment or hotel segment. However, corporate debt service requirements have been met using cash flows provided by both segments. Therefore, in anticipation of the PHC Spin-off, a portion of Promus' corporate debt balance, unamortized deferred finance charges and interest expense has been allocated to discontinued hotel operations for the periods presented based on the percentage of Promus' existing corporate debt expected to be retired using proceeds from the Hotel Facility. The corporate debt allocated to discontinued hotel operations of $209.3 million and $187.8 million at March 31, 1995 and December 31, 1994, respectively, together with debt specifically related to PHC of $3.2 million and</w:t>
      </w:r>
    </w:p>
    <w:p>
      <w:pPr>
        <w:spacing w:after="0" w:line="18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$3.3 million at March 31, 1995, and December 31, 1994, respectively, are included in net assets of discontinued hotel operations in the accompanying Consolidated Condensed Balance Sheets. In addition, unamortized deferred finance charges of $3.2 million at March 31, 1995 and December 31, 1994, and interest expense of $5.0 million and $4.6 million for the first quarter ended March 31, 1995 and 1994, respectively, have been allocated to discontinued hotel operations.</w:t>
      </w:r>
    </w:p>
    <w:p>
      <w:pPr>
        <w:spacing w:after="0" w:line="211" w:lineRule="exact"/>
        <w:rPr>
          <w:sz w:val="20"/>
          <w:szCs w:val="20"/>
          <w:color w:val="auto"/>
        </w:rPr>
      </w:pPr>
    </w:p>
    <w:p>
      <w:pPr>
        <w:jc w:val="both"/>
        <w:ind w:right="2619" w:firstLine="421"/>
        <w:spacing w:after="0" w:line="268" w:lineRule="auto"/>
        <w:rPr>
          <w:sz w:val="20"/>
          <w:szCs w:val="20"/>
          <w:color w:val="auto"/>
        </w:rPr>
      </w:pPr>
      <w:r>
        <w:rPr>
          <w:rFonts w:ascii="Courier New" w:cs="Courier New" w:eastAsia="Courier New" w:hAnsi="Courier New"/>
          <w:sz w:val="16"/>
          <w:szCs w:val="16"/>
          <w:color w:val="auto"/>
        </w:rPr>
        <w:t>In connection with its hotel business, Promus manages certain hotels for others under agreements that provide for payments/loans to the hotel owners if stipulated levels of financial performance are not maintained.</w:t>
      </w:r>
    </w:p>
    <w:p>
      <w:pPr>
        <w:spacing w:after="0" w:line="1" w:lineRule="exact"/>
        <w:rPr>
          <w:sz w:val="20"/>
          <w:szCs w:val="20"/>
          <w:color w:val="auto"/>
        </w:rPr>
      </w:pPr>
    </w:p>
    <w:p>
      <w:pPr>
        <w:ind w:right="2319"/>
        <w:spacing w:after="0" w:line="271" w:lineRule="auto"/>
        <w:rPr>
          <w:sz w:val="20"/>
          <w:szCs w:val="20"/>
          <w:color w:val="auto"/>
        </w:rPr>
      </w:pPr>
      <w:r>
        <w:rPr>
          <w:rFonts w:ascii="Courier New" w:cs="Courier New" w:eastAsia="Courier New" w:hAnsi="Courier New"/>
          <w:sz w:val="16"/>
          <w:szCs w:val="16"/>
          <w:color w:val="auto"/>
        </w:rPr>
        <w:t>In addition, Promus is liable under certain lease agreements where it has assigned the direct obligation to third party interests. Promus believes the likelihood is remote that material payments will be required under these agreements. Promus' estimated maximum exposure under such agreements is currently less than $37 million over the next 30 years. It is expected that PHC will assume these commitments upon consummation of the PHC Spin-off, at which time Promus will be released from any obligation.</w:t>
      </w:r>
    </w:p>
    <w:p>
      <w:pPr>
        <w:spacing w:after="0" w:line="188" w:lineRule="exact"/>
        <w:rPr>
          <w:sz w:val="20"/>
          <w:szCs w:val="20"/>
          <w:color w:val="auto"/>
        </w:rPr>
      </w:pPr>
    </w:p>
    <w:p>
      <w:pPr>
        <w:ind w:right="2419" w:firstLine="316"/>
        <w:spacing w:after="0" w:line="275" w:lineRule="auto"/>
        <w:rPr>
          <w:sz w:val="20"/>
          <w:szCs w:val="20"/>
          <w:color w:val="auto"/>
        </w:rPr>
      </w:pPr>
      <w:r>
        <w:rPr>
          <w:rFonts w:ascii="Courier New" w:cs="Courier New" w:eastAsia="Courier New" w:hAnsi="Courier New"/>
          <w:sz w:val="16"/>
          <w:szCs w:val="16"/>
          <w:color w:val="auto"/>
        </w:rPr>
        <w:t>As part of the planned public offering of common stock of a real estate investment trust (REIT) which is a franchisee, Embassy has committed to invest up to $25 million in a partnership owned by the REIT. Upon completion of the PHC Spin-off, this commitment will be assigned to PHC.</w:t>
      </w:r>
    </w:p>
    <w:p>
      <w:pPr>
        <w:spacing w:after="0" w:line="37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19" w:right="1440" w:bottom="1440" w:gutter="0" w:footer="0" w:header="0"/>
        </w:sectPr>
      </w:pPr>
    </w:p>
    <w:bookmarkStart w:id="8" w:name="page9"/>
    <w:bookmarkEnd w:id="8"/>
    <w:p>
      <w:pPr>
        <w:ind w:left="2320"/>
        <w:spacing w:after="0"/>
        <w:rPr>
          <w:sz w:val="20"/>
          <w:szCs w:val="20"/>
          <w:color w:val="auto"/>
        </w:rPr>
      </w:pPr>
      <w:r>
        <w:rPr>
          <w:rFonts w:ascii="Courier New" w:cs="Courier New" w:eastAsia="Courier New" w:hAnsi="Courier New"/>
          <w:sz w:val="18"/>
          <w:szCs w:val="18"/>
          <w:color w:val="auto"/>
        </w:rPr>
        <w:t>THE PROMUS COMPANIES INCORPORATED</w:t>
      </w:r>
    </w:p>
    <w:p>
      <w:pPr>
        <w:ind w:left="960"/>
        <w:spacing w:after="0" w:line="238" w:lineRule="auto"/>
        <w:rPr>
          <w:sz w:val="20"/>
          <w:szCs w:val="20"/>
          <w:color w:val="auto"/>
        </w:rPr>
      </w:pPr>
      <w:r>
        <w:rPr>
          <w:rFonts w:ascii="Courier New" w:cs="Courier New" w:eastAsia="Courier New" w:hAnsi="Courier New"/>
          <w:sz w:val="18"/>
          <w:szCs w:val="18"/>
          <w:color w:val="auto"/>
        </w:rPr>
        <w:t>NOTES TO CONSOLIDATED CONDENSED FINANCIAL STATEMENTS (CONTINUED)</w:t>
      </w:r>
    </w:p>
    <w:p>
      <w:pPr>
        <w:ind w:left="3280"/>
        <w:spacing w:after="0"/>
        <w:rPr>
          <w:sz w:val="20"/>
          <w:szCs w:val="20"/>
          <w:color w:val="auto"/>
        </w:rPr>
      </w:pPr>
      <w:r>
        <w:rPr>
          <w:rFonts w:ascii="Courier New" w:cs="Courier New" w:eastAsia="Courier New" w:hAnsi="Courier New"/>
          <w:sz w:val="18"/>
          <w:szCs w:val="18"/>
          <w:color w:val="auto"/>
        </w:rPr>
        <w:t>MARCH 31, 1995</w:t>
      </w:r>
    </w:p>
    <w:p>
      <w:pPr>
        <w:ind w:left="3380"/>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 Change in Accounting Policy</w:t>
      </w:r>
    </w:p>
    <w:p>
      <w:pPr>
        <w:spacing w:after="0" w:line="238" w:lineRule="auto"/>
        <w:rPr>
          <w:sz w:val="20"/>
          <w:szCs w:val="20"/>
          <w:color w:val="auto"/>
        </w:rPr>
      </w:pPr>
      <w:r>
        <w:rPr>
          <w:rFonts w:ascii="Courier New" w:cs="Courier New" w:eastAsia="Courier New" w:hAnsi="Courier New"/>
          <w:sz w:val="18"/>
          <w:szCs w:val="18"/>
          <w:color w:val="auto"/>
        </w:rPr>
        <w:t>- ------------------------------------</w:t>
      </w:r>
    </w:p>
    <w:p>
      <w:pPr>
        <w:ind w:left="420"/>
        <w:spacing w:after="0"/>
        <w:rPr>
          <w:sz w:val="20"/>
          <w:szCs w:val="20"/>
          <w:color w:val="auto"/>
        </w:rPr>
      </w:pPr>
      <w:r>
        <w:rPr>
          <w:rFonts w:ascii="Courier New" w:cs="Courier New" w:eastAsia="Courier New" w:hAnsi="Courier New"/>
          <w:sz w:val="18"/>
          <w:szCs w:val="18"/>
          <w:color w:val="auto"/>
        </w:rPr>
        <w:t>On October 3, 1994, Promus changed its accounting policy effective</w:t>
      </w:r>
    </w:p>
    <w:p>
      <w:pPr>
        <w:spacing w:after="0" w:line="237" w:lineRule="auto"/>
        <w:rPr>
          <w:sz w:val="20"/>
          <w:szCs w:val="20"/>
          <w:color w:val="auto"/>
        </w:rPr>
      </w:pPr>
      <w:r>
        <w:rPr>
          <w:rFonts w:ascii="Courier New" w:cs="Courier New" w:eastAsia="Courier New" w:hAnsi="Courier New"/>
          <w:sz w:val="18"/>
          <w:szCs w:val="18"/>
          <w:color w:val="auto"/>
        </w:rPr>
        <w:t>January 1, 1994, relating to preopening costs to capitalize such costs as</w:t>
      </w:r>
    </w:p>
    <w:p>
      <w:pPr>
        <w:spacing w:after="0" w:line="238" w:lineRule="auto"/>
        <w:rPr>
          <w:sz w:val="20"/>
          <w:szCs w:val="20"/>
          <w:color w:val="auto"/>
        </w:rPr>
      </w:pPr>
      <w:r>
        <w:rPr>
          <w:rFonts w:ascii="Courier New" w:cs="Courier New" w:eastAsia="Courier New" w:hAnsi="Courier New"/>
          <w:sz w:val="18"/>
          <w:szCs w:val="18"/>
          <w:color w:val="auto"/>
        </w:rPr>
        <w:t>incurred prior to opening and to expense them upon opening of each project.</w:t>
      </w:r>
    </w:p>
    <w:p>
      <w:pPr>
        <w:spacing w:after="0"/>
        <w:rPr>
          <w:sz w:val="20"/>
          <w:szCs w:val="20"/>
          <w:color w:val="auto"/>
        </w:rPr>
      </w:pPr>
      <w:r>
        <w:rPr>
          <w:rFonts w:ascii="Courier New" w:cs="Courier New" w:eastAsia="Courier New" w:hAnsi="Courier New"/>
          <w:sz w:val="18"/>
          <w:szCs w:val="18"/>
          <w:color w:val="auto"/>
        </w:rPr>
        <w:t>Previously, Promus had capitalized preopening costs and amortized them to</w:t>
      </w:r>
    </w:p>
    <w:p>
      <w:pPr>
        <w:spacing w:after="0" w:line="237" w:lineRule="auto"/>
        <w:rPr>
          <w:sz w:val="20"/>
          <w:szCs w:val="20"/>
          <w:color w:val="auto"/>
        </w:rPr>
      </w:pPr>
      <w:r>
        <w:rPr>
          <w:rFonts w:ascii="Courier New" w:cs="Courier New" w:eastAsia="Courier New" w:hAnsi="Courier New"/>
          <w:sz w:val="18"/>
          <w:szCs w:val="18"/>
          <w:color w:val="auto"/>
        </w:rPr>
        <w:t>expense over 36 months from the date of opening. As a result of this</w:t>
      </w:r>
    </w:p>
    <w:p>
      <w:pPr>
        <w:spacing w:after="0"/>
        <w:rPr>
          <w:sz w:val="20"/>
          <w:szCs w:val="20"/>
          <w:color w:val="auto"/>
        </w:rPr>
      </w:pPr>
      <w:r>
        <w:rPr>
          <w:rFonts w:ascii="Courier New" w:cs="Courier New" w:eastAsia="Courier New" w:hAnsi="Courier New"/>
          <w:sz w:val="18"/>
          <w:szCs w:val="18"/>
          <w:color w:val="auto"/>
        </w:rPr>
        <w:t>change, operating results for the first quarter ended March 31, 1994,</w:t>
      </w:r>
    </w:p>
    <w:p>
      <w:pPr>
        <w:spacing w:after="0" w:line="237" w:lineRule="auto"/>
        <w:rPr>
          <w:sz w:val="20"/>
          <w:szCs w:val="20"/>
          <w:color w:val="auto"/>
        </w:rPr>
      </w:pPr>
      <w:r>
        <w:rPr>
          <w:rFonts w:ascii="Courier New" w:cs="Courier New" w:eastAsia="Courier New" w:hAnsi="Courier New"/>
          <w:sz w:val="18"/>
          <w:szCs w:val="18"/>
          <w:color w:val="auto"/>
        </w:rPr>
        <w:t>reflect the cumulative charge against earnings, net of income taxes, of</w:t>
      </w:r>
    </w:p>
    <w:p>
      <w:pPr>
        <w:spacing w:after="0"/>
        <w:rPr>
          <w:sz w:val="20"/>
          <w:szCs w:val="20"/>
          <w:color w:val="auto"/>
        </w:rPr>
      </w:pPr>
      <w:r>
        <w:rPr>
          <w:rFonts w:ascii="Courier New" w:cs="Courier New" w:eastAsia="Courier New" w:hAnsi="Courier New"/>
          <w:sz w:val="18"/>
          <w:szCs w:val="18"/>
          <w:color w:val="auto"/>
        </w:rPr>
        <w:t>$7.9 million, or $0.08 per share, to write off the unamortized preopening</w:t>
      </w:r>
    </w:p>
    <w:p>
      <w:pPr>
        <w:spacing w:after="0" w:line="237" w:lineRule="auto"/>
        <w:rPr>
          <w:sz w:val="20"/>
          <w:szCs w:val="20"/>
          <w:color w:val="auto"/>
        </w:rPr>
      </w:pPr>
      <w:r>
        <w:rPr>
          <w:rFonts w:ascii="Courier New" w:cs="Courier New" w:eastAsia="Courier New" w:hAnsi="Courier New"/>
          <w:sz w:val="18"/>
          <w:szCs w:val="18"/>
          <w:color w:val="auto"/>
        </w:rPr>
        <w:t>costs balances related to projects opened in prior years.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 Long-Term Debt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During second quarter 1995, Promus announced its intention to redeem the approximately $18.1 million principal amount outstanding of the 11% Subordinated Debentures due 1999 of Embassy. The cost of this redemption is not material.</w:t>
      </w:r>
    </w:p>
    <w:p>
      <w:pPr>
        <w:spacing w:after="0" w:line="207"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Promus is negotiating amendments to the current bank facility in connection with the PHC Spin-off which include, among other things, an adjustment in its borrowing capacity and modifications to certain financial covenants.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Agreements</w:t>
      </w:r>
    </w:p>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0" w:type="dxa"/>
        <w:tblCellMar>
          <w:top w:w="0" w:type="dxa"/>
          <w:left w:w="0" w:type="dxa"/>
          <w:bottom w:w="0" w:type="dxa"/>
          <w:right w:w="0" w:type="dxa"/>
        </w:tblCellMar>
      </w:tblPr>
      <w:tr>
        <w:trPr>
          <w:trHeight w:val="203"/>
        </w:trPr>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rPr>
              <w:t>To manage the relative mix</w:t>
            </w:r>
          </w:p>
        </w:tc>
        <w:tc>
          <w:tcPr>
            <w:tcW w:w="1280" w:type="dxa"/>
            <w:vAlign w:val="bottom"/>
          </w:tcPr>
          <w:p>
            <w:pPr>
              <w:ind w:left="60"/>
              <w:spacing w:after="0"/>
              <w:rPr>
                <w:sz w:val="20"/>
                <w:szCs w:val="20"/>
                <w:color w:val="auto"/>
              </w:rPr>
            </w:pPr>
            <w:r>
              <w:rPr>
                <w:rFonts w:ascii="Courier New" w:cs="Courier New" w:eastAsia="Courier New" w:hAnsi="Courier New"/>
                <w:sz w:val="18"/>
                <w:szCs w:val="18"/>
                <w:color w:val="auto"/>
              </w:rPr>
              <w:t>of its debt</w:t>
            </w:r>
          </w:p>
        </w:tc>
        <w:tc>
          <w:tcPr>
            <w:tcW w:w="1880" w:type="dxa"/>
            <w:vAlign w:val="bottom"/>
          </w:tcPr>
          <w:p>
            <w:pPr>
              <w:ind w:left="40"/>
              <w:spacing w:after="0"/>
              <w:rPr>
                <w:sz w:val="20"/>
                <w:szCs w:val="20"/>
                <w:color w:val="auto"/>
              </w:rPr>
            </w:pPr>
            <w:r>
              <w:rPr>
                <w:rFonts w:ascii="Courier New" w:cs="Courier New" w:eastAsia="Courier New" w:hAnsi="Courier New"/>
                <w:sz w:val="18"/>
                <w:szCs w:val="18"/>
                <w:color w:val="auto"/>
                <w:w w:val="99"/>
              </w:rPr>
              <w:t>between fixed and</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variable rate</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instruments, Promus enters into</w:t>
            </w:r>
          </w:p>
        </w:tc>
        <w:tc>
          <w:tcPr>
            <w:tcW w:w="3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interest rate swap agreements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 modify</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interest characteristics of its</w:t>
            </w:r>
          </w:p>
        </w:tc>
        <w:tc>
          <w:tcPr>
            <w:tcW w:w="1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outstanding</w:t>
            </w:r>
          </w:p>
        </w:tc>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debt without an exchange of</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r>
    </w:tbl>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underlying principal amount. As of March 31, 1995 and 1994, Promus was a party to the following interest rate swap agreements pursuant to which it pays a variable interest rate in exchange for receiving a fixed interest rate. The average variable rate paid by Promus was 6.4% and 3.4% at March 31, 1995 and 1994, respectively, and the average fixed interest rate received was 5.9% at both dates. The impact of these interest rate swap agreements on the effective interest rates of the associated debt was as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Effective</w:t>
            </w:r>
          </w:p>
        </w:tc>
        <w:tc>
          <w:tcPr>
            <w:tcW w:w="1800" w:type="dxa"/>
            <w:vAlign w:val="bottom"/>
          </w:tcPr>
          <w:p>
            <w:pPr>
              <w:ind w:left="320"/>
              <w:spacing w:after="0"/>
              <w:rPr>
                <w:sz w:val="20"/>
                <w:szCs w:val="20"/>
                <w:color w:val="auto"/>
              </w:rPr>
            </w:pPr>
            <w:r>
              <w:rPr>
                <w:rFonts w:ascii="Courier New" w:cs="Courier New" w:eastAsia="Courier New" w:hAnsi="Courier New"/>
                <w:sz w:val="18"/>
                <w:szCs w:val="18"/>
                <w:color w:val="auto"/>
              </w:rPr>
              <w:t>Next Semi-</w:t>
            </w:r>
          </w:p>
        </w:tc>
        <w:tc>
          <w:tcPr>
            <w:tcW w:w="168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Swap</w:t>
            </w:r>
          </w:p>
        </w:tc>
        <w:tc>
          <w:tcPr>
            <w:tcW w:w="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Rate</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at</w:t>
            </w: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Annual Rate</w:t>
            </w:r>
          </w:p>
        </w:tc>
        <w:tc>
          <w:tcPr>
            <w:tcW w:w="16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Associated</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Rate</w:t>
            </w:r>
          </w:p>
        </w:tc>
        <w:tc>
          <w:tcPr>
            <w:tcW w:w="1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March 31,</w:t>
            </w: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Adjustment</w:t>
            </w:r>
          </w:p>
        </w:tc>
        <w:tc>
          <w:tcPr>
            <w:tcW w:w="168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Debt</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(LIBOR+)</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1995</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w:t>
            </w: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Date</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Swap Maturity</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10 7/8% Notes</w:t>
            </w: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$200 million</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4.73%</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10.68%</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8.14%</w:t>
            </w: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April 15</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October 1997</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8 3/4% Notes</w:t>
            </w: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$50 million</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3.42%</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9.58%</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6.93%</w:t>
            </w: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May 15</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May 1998</w:t>
            </w: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$50 million</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3.22%</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10.01%</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8.69%</w:t>
            </w: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July 15</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July 1998</w:t>
            </w:r>
          </w:p>
        </w:tc>
      </w:tr>
    </w:tbl>
    <w:p>
      <w:pPr>
        <w:spacing w:after="0" w:line="200" w:lineRule="exact"/>
        <w:rPr>
          <w:sz w:val="20"/>
          <w:szCs w:val="20"/>
          <w:color w:val="auto"/>
        </w:rPr>
      </w:pPr>
    </w:p>
    <w:p>
      <w:pPr>
        <w:spacing w:after="0" w:line="209" w:lineRule="exact"/>
        <w:rPr>
          <w:sz w:val="20"/>
          <w:szCs w:val="20"/>
          <w:color w:val="auto"/>
        </w:rPr>
      </w:pPr>
    </w:p>
    <w:p>
      <w:pPr>
        <w:jc w:val="both"/>
        <w:ind w:right="2419" w:firstLine="421"/>
        <w:spacing w:after="0" w:line="236" w:lineRule="auto"/>
        <w:rPr>
          <w:sz w:val="20"/>
          <w:szCs w:val="20"/>
          <w:color w:val="auto"/>
        </w:rPr>
      </w:pPr>
      <w:r>
        <w:rPr>
          <w:rFonts w:ascii="Courier New" w:cs="Courier New" w:eastAsia="Courier New" w:hAnsi="Courier New"/>
          <w:sz w:val="18"/>
          <w:szCs w:val="18"/>
          <w:color w:val="auto"/>
        </w:rPr>
        <w:t>In accordance with the terms of the interest rate swap agreements, the effective interest rate on the $200 million 10 7/8% Notes was adjusted on April 15, 1995, to 11.26%.</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19" w:right="1440" w:bottom="1440" w:gutter="0" w:footer="0" w:header="0"/>
        </w:sectPr>
      </w:pPr>
    </w:p>
    <w:bookmarkStart w:id="9" w:name="page10"/>
    <w:bookmarkEnd w:id="9"/>
    <w:p>
      <w:pPr>
        <w:jc w:val="center"/>
        <w:ind w:right="2099"/>
        <w:spacing w:after="0"/>
        <w:rPr>
          <w:sz w:val="20"/>
          <w:szCs w:val="20"/>
          <w:color w:val="auto"/>
        </w:rPr>
      </w:pPr>
      <w:r>
        <w:rPr>
          <w:rFonts w:ascii="Courier New" w:cs="Courier New" w:eastAsia="Courier New" w:hAnsi="Courier New"/>
          <w:sz w:val="18"/>
          <w:szCs w:val="18"/>
          <w:color w:val="auto"/>
        </w:rPr>
        <w:t>THE PROMUS COMPANIES INCORPORATED</w:t>
      </w:r>
    </w:p>
    <w:p>
      <w:pPr>
        <w:jc w:val="center"/>
        <w:ind w:right="1979"/>
        <w:spacing w:after="0" w:line="238" w:lineRule="auto"/>
        <w:rPr>
          <w:sz w:val="20"/>
          <w:szCs w:val="20"/>
          <w:color w:val="auto"/>
        </w:rPr>
      </w:pPr>
      <w:r>
        <w:rPr>
          <w:rFonts w:ascii="Courier New" w:cs="Courier New" w:eastAsia="Courier New" w:hAnsi="Courier New"/>
          <w:sz w:val="18"/>
          <w:szCs w:val="18"/>
          <w:color w:val="auto"/>
        </w:rPr>
        <w:t>NOTES TO CONSOLIDATED CONDENSED FINANCIAL STATEMENTS (CONTINUED)</w:t>
      </w:r>
    </w:p>
    <w:p>
      <w:pPr>
        <w:ind w:left="3280"/>
        <w:spacing w:after="0"/>
        <w:rPr>
          <w:sz w:val="20"/>
          <w:szCs w:val="20"/>
          <w:color w:val="auto"/>
        </w:rPr>
      </w:pPr>
      <w:r>
        <w:rPr>
          <w:rFonts w:ascii="Courier New" w:cs="Courier New" w:eastAsia="Courier New" w:hAnsi="Courier New"/>
          <w:sz w:val="18"/>
          <w:szCs w:val="18"/>
          <w:color w:val="auto"/>
        </w:rPr>
        <w:t>MARCH 31, 1995</w:t>
      </w:r>
    </w:p>
    <w:p>
      <w:pPr>
        <w:ind w:left="3380"/>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 Long-Term Debt (Continued)</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Promus also maintains interest rate protection, in the form of a rate collar transaction entered into in June 1990, on $140 million of its variable rate bank debt. The interest rate protection, which at March 31, 1995, held Promus' interest rate in a range between 8.7% and 11.9%, expires in June 1995 and is not expected to be renewed.</w:t>
      </w:r>
    </w:p>
    <w:p>
      <w:pPr>
        <w:spacing w:after="0" w:line="209"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During first quarter 1995, Promus entered into six additional interest rate swap agreements to effectively convert a total of $300 million in variable rate debt to a fixed rate. Pursuant to the terms of these swaps, Promus will receive variable payments tied to LIBOR in exchange for Promus' payments at a fixed interest rate. The fixed rates to be paid by Promus are summarized in the following table: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Effective Rate</w:t>
            </w:r>
          </w:p>
        </w:tc>
        <w:tc>
          <w:tcPr>
            <w:tcW w:w="14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Swap Rate</w:t>
            </w:r>
          </w:p>
        </w:tc>
        <w:tc>
          <w:tcPr>
            <w:tcW w:w="2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8"/>
              </w:rPr>
              <w:t>on Associated Debt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Swap</w:t>
            </w:r>
          </w:p>
        </w:tc>
      </w:tr>
      <w:tr>
        <w:trPr>
          <w:trHeight w:val="203"/>
        </w:trPr>
        <w:tc>
          <w:tcPr>
            <w:tcW w:w="2700" w:type="dxa"/>
            <w:vAlign w:val="bottom"/>
            <w:gridSpan w:val="2"/>
          </w:tcPr>
          <w:p>
            <w:pPr>
              <w:jc w:val="right"/>
              <w:ind w:right="1032"/>
              <w:spacing w:after="0" w:line="203" w:lineRule="exact"/>
              <w:rPr>
                <w:sz w:val="20"/>
                <w:szCs w:val="20"/>
                <w:color w:val="auto"/>
              </w:rPr>
            </w:pPr>
            <w:r>
              <w:rPr>
                <w:rFonts w:ascii="Courier New" w:cs="Courier New" w:eastAsia="Courier New" w:hAnsi="Courier New"/>
                <w:sz w:val="18"/>
                <w:szCs w:val="18"/>
                <w:color w:val="auto"/>
                <w:w w:val="96"/>
              </w:rPr>
              <w:t>Associated Debt</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Paid (Fixed)</w:t>
            </w:r>
          </w:p>
        </w:tc>
        <w:tc>
          <w:tcPr>
            <w:tcW w:w="2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at March 31, 1995</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Maturity</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Revolving Credit</w:t>
            </w:r>
          </w:p>
        </w:tc>
        <w:tc>
          <w:tcPr>
            <w:tcW w:w="16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Facility (Eurodollar</w:t>
            </w:r>
          </w:p>
        </w:tc>
        <w:tc>
          <w:tcPr>
            <w:tcW w:w="16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plus 7/8%)</w:t>
            </w:r>
          </w:p>
        </w:tc>
        <w:tc>
          <w:tcPr>
            <w:tcW w:w="16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700" w:type="dxa"/>
            <w:vAlign w:val="bottom"/>
            <w:gridSpan w:val="2"/>
          </w:tcPr>
          <w:p>
            <w:pPr>
              <w:jc w:val="right"/>
              <w:ind w:right="1032"/>
              <w:spacing w:after="0" w:line="203" w:lineRule="exact"/>
              <w:rPr>
                <w:sz w:val="20"/>
                <w:szCs w:val="20"/>
                <w:color w:val="auto"/>
              </w:rPr>
            </w:pPr>
            <w:r>
              <w:rPr>
                <w:rFonts w:ascii="Courier New" w:cs="Courier New" w:eastAsia="Courier New" w:hAnsi="Courier New"/>
                <w:sz w:val="18"/>
                <w:szCs w:val="18"/>
                <w:color w:val="auto"/>
              </w:rPr>
              <w:t>$50 million</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7.915%</w:t>
            </w:r>
          </w:p>
        </w:tc>
        <w:tc>
          <w:tcPr>
            <w:tcW w:w="2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8.790%</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January 1998</w:t>
            </w:r>
          </w:p>
        </w:tc>
      </w:tr>
      <w:tr>
        <w:trPr>
          <w:trHeight w:val="203"/>
        </w:trPr>
        <w:tc>
          <w:tcPr>
            <w:tcW w:w="2700" w:type="dxa"/>
            <w:vAlign w:val="bottom"/>
            <w:gridSpan w:val="2"/>
          </w:tcPr>
          <w:p>
            <w:pPr>
              <w:jc w:val="right"/>
              <w:ind w:right="1032"/>
              <w:spacing w:after="0" w:line="203" w:lineRule="exact"/>
              <w:rPr>
                <w:sz w:val="20"/>
                <w:szCs w:val="20"/>
                <w:color w:val="auto"/>
              </w:rPr>
            </w:pPr>
            <w:r>
              <w:rPr>
                <w:rFonts w:ascii="Courier New" w:cs="Courier New" w:eastAsia="Courier New" w:hAnsi="Courier New"/>
                <w:sz w:val="18"/>
                <w:szCs w:val="18"/>
                <w:color w:val="auto"/>
              </w:rPr>
              <w:t>$50 million</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7.914%</w:t>
            </w:r>
          </w:p>
        </w:tc>
        <w:tc>
          <w:tcPr>
            <w:tcW w:w="2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8.789%</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January 1998</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c>
          <w:tcPr>
            <w:tcW w:w="190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million</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7.910%</w:t>
            </w:r>
          </w:p>
        </w:tc>
        <w:tc>
          <w:tcPr>
            <w:tcW w:w="2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8.785%</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January 1998</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c>
          <w:tcPr>
            <w:tcW w:w="190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million</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7.863%</w:t>
            </w:r>
          </w:p>
        </w:tc>
        <w:tc>
          <w:tcPr>
            <w:tcW w:w="2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8.738%</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July 1997</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c>
          <w:tcPr>
            <w:tcW w:w="190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million</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6.990%</w:t>
            </w:r>
          </w:p>
        </w:tc>
        <w:tc>
          <w:tcPr>
            <w:tcW w:w="2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7.865%</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March 2000</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c>
          <w:tcPr>
            <w:tcW w:w="190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million</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6.985%</w:t>
            </w:r>
          </w:p>
        </w:tc>
        <w:tc>
          <w:tcPr>
            <w:tcW w:w="2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7.860%</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March 2000</w:t>
            </w:r>
          </w:p>
        </w:tc>
      </w:tr>
    </w:tbl>
    <w:p>
      <w:pPr>
        <w:spacing w:after="0" w:line="207" w:lineRule="exact"/>
        <w:rPr>
          <w:sz w:val="20"/>
          <w:szCs w:val="20"/>
          <w:color w:val="auto"/>
        </w:rPr>
      </w:pPr>
    </w:p>
    <w:p>
      <w:pPr>
        <w:ind w:right="2419" w:firstLine="421"/>
        <w:spacing w:after="0" w:line="237" w:lineRule="auto"/>
        <w:rPr>
          <w:sz w:val="20"/>
          <w:szCs w:val="20"/>
          <w:color w:val="auto"/>
        </w:rPr>
      </w:pPr>
      <w:r>
        <w:rPr>
          <w:rFonts w:ascii="Courier New" w:cs="Courier New" w:eastAsia="Courier New" w:hAnsi="Courier New"/>
          <w:sz w:val="18"/>
          <w:szCs w:val="18"/>
          <w:color w:val="auto"/>
        </w:rPr>
        <w:t>Subsequent to March 31, 1995, Promus entered into an additional interest rate swap agreement to convert $50 million in variable rate debt to a fixed rate. Under the swap agreement, which matures in May 2000, Promus pays an effective fixed rate of 7.401% and receives a variable rate which is currently 6.125%.</w:t>
      </w:r>
    </w:p>
    <w:p>
      <w:pPr>
        <w:spacing w:after="0" w:line="209" w:lineRule="exact"/>
        <w:rPr>
          <w:sz w:val="20"/>
          <w:szCs w:val="20"/>
          <w:color w:val="auto"/>
        </w:rPr>
      </w:pPr>
    </w:p>
    <w:p>
      <w:pPr>
        <w:ind w:right="2319" w:firstLine="421"/>
        <w:spacing w:after="0" w:line="270" w:lineRule="auto"/>
        <w:rPr>
          <w:sz w:val="20"/>
          <w:szCs w:val="20"/>
          <w:color w:val="auto"/>
        </w:rPr>
      </w:pPr>
      <w:r>
        <w:rPr>
          <w:rFonts w:ascii="Courier New" w:cs="Courier New" w:eastAsia="Courier New" w:hAnsi="Courier New"/>
          <w:sz w:val="16"/>
          <w:szCs w:val="16"/>
          <w:color w:val="auto"/>
        </w:rPr>
        <w:t>The differences to be paid or received under the terms of the interest rate swap agreements and the rate collar transaction described above are accrued as an adjustment to interest expense for the related debt. Changes in the effective interest rates to be paid by Promus pursuant to the terms of its interest rate agreements will have a corresponding effect on its future cash flows. These agreements contain a credit risk that the counterparties may be unable to meet the terms of the agreements. Promus minimizes that risk by evaluating the creditworthiness of its counterparties, which are limited to major banks and financial institutions, and does not anticipate nonperformance by the counterparties.</w:t>
      </w:r>
    </w:p>
    <w:p>
      <w:pPr>
        <w:spacing w:after="0" w:line="189" w:lineRule="exact"/>
        <w:rPr>
          <w:sz w:val="20"/>
          <w:szCs w:val="20"/>
          <w:color w:val="auto"/>
        </w:rPr>
      </w:pPr>
    </w:p>
    <w:p>
      <w:pPr>
        <w:ind w:right="2419" w:firstLine="421"/>
        <w:spacing w:after="0" w:line="237" w:lineRule="auto"/>
        <w:rPr>
          <w:sz w:val="20"/>
          <w:szCs w:val="20"/>
          <w:color w:val="auto"/>
        </w:rPr>
      </w:pPr>
      <w:r>
        <w:rPr>
          <w:rFonts w:ascii="Courier New" w:cs="Courier New" w:eastAsia="Courier New" w:hAnsi="Courier New"/>
          <w:sz w:val="18"/>
          <w:szCs w:val="18"/>
          <w:color w:val="auto"/>
        </w:rPr>
        <w:t>As a component of a transaction whereby Promus effectively secured an option to a site for a potential casino, Promus has guaranteed a third party's $25 million variable rate bank loan. Promus also has entered into an interest rate swap agreement in which Promus receives a fixed interest rate of 7% from the third party and pays the variable interest rate of the subject debt, which on January 30, 1995, was adjusted to LIBOR plus 1.0%. The negative value of the swap, which is marked to market by Promus, was approximately $0.4 million at March 31, 1995. Adjustments to the swap's market value are included in interest expense in the Consolidated Statements of Income. Promus' guarantee and the swap agreement expire December 1, 1996, and are also subject to</w:t>
      </w: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19" w:right="1440" w:bottom="1440" w:gutter="0" w:footer="0" w:header="0"/>
        </w:sectPr>
      </w:pPr>
    </w:p>
    <w:bookmarkStart w:id="10" w:name="page11"/>
    <w:bookmarkEnd w:id="10"/>
    <w:p>
      <w:pPr>
        <w:jc w:val="center"/>
        <w:ind w:right="2299"/>
        <w:spacing w:after="0"/>
        <w:rPr>
          <w:sz w:val="20"/>
          <w:szCs w:val="20"/>
          <w:color w:val="auto"/>
        </w:rPr>
      </w:pPr>
      <w:r>
        <w:rPr>
          <w:rFonts w:ascii="Courier New" w:cs="Courier New" w:eastAsia="Courier New" w:hAnsi="Courier New"/>
          <w:sz w:val="18"/>
          <w:szCs w:val="18"/>
          <w:color w:val="auto"/>
        </w:rPr>
        <w:t>THE PROMUS COMPANIES INCORPORATED</w:t>
      </w:r>
    </w:p>
    <w:p>
      <w:pPr>
        <w:jc w:val="center"/>
        <w:ind w:right="2199"/>
        <w:spacing w:after="0" w:line="238" w:lineRule="auto"/>
        <w:rPr>
          <w:sz w:val="20"/>
          <w:szCs w:val="20"/>
          <w:color w:val="auto"/>
        </w:rPr>
      </w:pPr>
      <w:r>
        <w:rPr>
          <w:rFonts w:ascii="Courier New" w:cs="Courier New" w:eastAsia="Courier New" w:hAnsi="Courier New"/>
          <w:sz w:val="18"/>
          <w:szCs w:val="18"/>
          <w:color w:val="auto"/>
        </w:rPr>
        <w:t>NOTES TO CONSOLIDATED CONDENSED FINANCIAL STATEMENTS (CONTINUED)</w:t>
      </w:r>
    </w:p>
    <w:p>
      <w:pPr>
        <w:ind w:left="3280"/>
        <w:spacing w:after="0"/>
        <w:rPr>
          <w:sz w:val="20"/>
          <w:szCs w:val="20"/>
          <w:color w:val="auto"/>
        </w:rPr>
      </w:pPr>
      <w:r>
        <w:rPr>
          <w:rFonts w:ascii="Courier New" w:cs="Courier New" w:eastAsia="Courier New" w:hAnsi="Courier New"/>
          <w:sz w:val="18"/>
          <w:szCs w:val="18"/>
          <w:color w:val="auto"/>
        </w:rPr>
        <w:t>MARCH 31, 1995</w:t>
      </w:r>
    </w:p>
    <w:p>
      <w:pPr>
        <w:ind w:left="3380"/>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 Long-Term Debt (Continued)</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earlier termination upon the occurrence of certain events. As with the other interest rate swap agreements entered into by Promus, this agreement contains an element of risk that the counterparty may be unable to meet the terms of the agreement. Promus has minimized such exposure by obtaining a security interest in certain assets of the third party.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5 - Stockholders' Equity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2619" w:firstLine="421"/>
        <w:spacing w:after="0" w:line="235" w:lineRule="auto"/>
        <w:rPr>
          <w:sz w:val="20"/>
          <w:szCs w:val="20"/>
          <w:color w:val="auto"/>
        </w:rPr>
      </w:pPr>
      <w:r>
        <w:rPr>
          <w:rFonts w:ascii="Courier New" w:cs="Courier New" w:eastAsia="Courier New" w:hAnsi="Courier New"/>
          <w:sz w:val="18"/>
          <w:szCs w:val="18"/>
          <w:color w:val="auto"/>
        </w:rPr>
        <w:t>In addition to its common stock, Promus has the following classes of stock authorized but unissued:</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Preferred stock, $100 par value, 150,000 shares authorized</w:t>
      </w:r>
    </w:p>
    <w:p>
      <w:pPr>
        <w:ind w:left="220"/>
        <w:spacing w:after="0" w:line="238" w:lineRule="auto"/>
        <w:rPr>
          <w:sz w:val="20"/>
          <w:szCs w:val="20"/>
          <w:color w:val="auto"/>
        </w:rPr>
      </w:pPr>
      <w:r>
        <w:rPr>
          <w:rFonts w:ascii="Courier New" w:cs="Courier New" w:eastAsia="Courier New" w:hAnsi="Courier New"/>
          <w:sz w:val="18"/>
          <w:szCs w:val="18"/>
          <w:color w:val="auto"/>
        </w:rPr>
        <w:t>Special stock, 5,000,000 shares authorized -</w:t>
      </w:r>
    </w:p>
    <w:p>
      <w:pPr>
        <w:ind w:left="420"/>
        <w:spacing w:after="0"/>
        <w:rPr>
          <w:sz w:val="20"/>
          <w:szCs w:val="20"/>
          <w:color w:val="auto"/>
        </w:rPr>
      </w:pPr>
      <w:r>
        <w:rPr>
          <w:rFonts w:ascii="Courier New" w:cs="Courier New" w:eastAsia="Courier New" w:hAnsi="Courier New"/>
          <w:sz w:val="18"/>
          <w:szCs w:val="18"/>
          <w:color w:val="auto"/>
        </w:rPr>
        <w:t>Series B, $1.125 par value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6 - Supplemental Disclosure of Cash Paid for Interest and Taxes</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table reconciles Promus' interest expense, net of</w:t>
      </w:r>
    </w:p>
    <w:p>
      <w:pPr>
        <w:spacing w:after="0" w:line="5"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interest capitalized, per the consolidated condensed statements of income, to cash paid for interest:</w:t>
      </w:r>
    </w:p>
    <w:tbl>
      <w:tblPr>
        <w:tblLayout w:type="fixed"/>
        <w:tblInd w:w="0" w:type="dxa"/>
        <w:tblCellMar>
          <w:top w:w="0" w:type="dxa"/>
          <w:left w:w="0" w:type="dxa"/>
          <w:bottom w:w="0" w:type="dxa"/>
          <w:right w:w="0" w:type="dxa"/>
        </w:tblCellMar>
      </w:tblPr>
      <w:tr>
        <w:trPr>
          <w:trHeight w:val="204"/>
        </w:trPr>
        <w:tc>
          <w:tcPr>
            <w:tcW w:w="5320" w:type="dxa"/>
            <w:vAlign w:val="bottom"/>
          </w:tcPr>
          <w:p>
            <w:pPr>
              <w:spacing w:after="0"/>
              <w:rPr>
                <w:sz w:val="17"/>
                <w:szCs w:val="17"/>
                <w:color w:val="auto"/>
              </w:rPr>
            </w:pPr>
          </w:p>
        </w:tc>
        <w:tc>
          <w:tcPr>
            <w:tcW w:w="29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First Quarter Ended</w:t>
            </w:r>
          </w:p>
        </w:tc>
      </w:tr>
      <w:tr>
        <w:trPr>
          <w:trHeight w:val="203"/>
        </w:trPr>
        <w:tc>
          <w:tcPr>
            <w:tcW w:w="5320" w:type="dxa"/>
            <w:vAlign w:val="bottom"/>
          </w:tcPr>
          <w:p>
            <w:pPr>
              <w:spacing w:after="0"/>
              <w:rPr>
                <w:sz w:val="17"/>
                <w:szCs w:val="17"/>
                <w:color w:val="auto"/>
              </w:rPr>
            </w:pP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March 31,</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w:t>
            </w:r>
          </w:p>
        </w:tc>
        <w:tc>
          <w:tcPr>
            <w:tcW w:w="17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1995</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rPr>
              <w:t>Interest expense, net of amount capitalized</w:t>
            </w:r>
          </w:p>
        </w:tc>
        <w:tc>
          <w:tcPr>
            <w:tcW w:w="17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$18,328</w:t>
            </w: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$18,037</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to cash paid for</w:t>
            </w:r>
          </w:p>
        </w:tc>
        <w:tc>
          <w:tcPr>
            <w:tcW w:w="17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7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change in accruals</w:t>
            </w:r>
          </w:p>
        </w:tc>
        <w:tc>
          <w:tcPr>
            <w:tcW w:w="17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11,289</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(3,932)</w:t>
            </w:r>
          </w:p>
        </w:tc>
      </w:tr>
      <w:tr>
        <w:trPr>
          <w:trHeight w:val="203"/>
        </w:trPr>
        <w:tc>
          <w:tcPr>
            <w:tcW w:w="5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Amortization of deferred finance charges</w:t>
            </w: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(728)</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(647)</w:t>
            </w:r>
          </w:p>
        </w:tc>
      </w:tr>
      <w:tr>
        <w:trPr>
          <w:trHeight w:val="203"/>
        </w:trPr>
        <w:tc>
          <w:tcPr>
            <w:tcW w:w="5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amortization of discounts and premiums</w:t>
            </w: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5320" w:type="dxa"/>
            <w:vAlign w:val="bottom"/>
          </w:tcPr>
          <w:p>
            <w:pPr>
              <w:spacing w:after="0"/>
              <w:rPr>
                <w:sz w:val="17"/>
                <w:szCs w:val="17"/>
                <w:color w:val="auto"/>
              </w:rPr>
            </w:pPr>
          </w:p>
        </w:tc>
        <w:tc>
          <w:tcPr>
            <w:tcW w:w="17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paid for interest, net of amount</w:t>
            </w:r>
          </w:p>
        </w:tc>
        <w:tc>
          <w:tcPr>
            <w:tcW w:w="17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capitalized</w:t>
            </w:r>
          </w:p>
        </w:tc>
        <w:tc>
          <w:tcPr>
            <w:tcW w:w="17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$28,864</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$13,415</w:t>
            </w:r>
          </w:p>
        </w:tc>
      </w:tr>
      <w:tr>
        <w:trPr>
          <w:trHeight w:val="203"/>
        </w:trPr>
        <w:tc>
          <w:tcPr>
            <w:tcW w:w="5320" w:type="dxa"/>
            <w:vAlign w:val="bottom"/>
          </w:tcPr>
          <w:p>
            <w:pPr>
              <w:spacing w:after="0"/>
              <w:rPr>
                <w:sz w:val="17"/>
                <w:szCs w:val="17"/>
                <w:color w:val="auto"/>
              </w:rPr>
            </w:pPr>
          </w:p>
        </w:tc>
        <w:tc>
          <w:tcPr>
            <w:tcW w:w="17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payments for income taxes, net of refunds</w:t>
            </w:r>
          </w:p>
        </w:tc>
        <w:tc>
          <w:tcPr>
            <w:tcW w:w="17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$13,220</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$4,454</w:t>
            </w:r>
          </w:p>
        </w:tc>
      </w:tr>
      <w:tr>
        <w:trPr>
          <w:trHeight w:val="203"/>
        </w:trPr>
        <w:tc>
          <w:tcPr>
            <w:tcW w:w="5320" w:type="dxa"/>
            <w:vAlign w:val="bottom"/>
          </w:tcPr>
          <w:p>
            <w:pPr>
              <w:spacing w:after="0"/>
              <w:rPr>
                <w:sz w:val="17"/>
                <w:szCs w:val="17"/>
                <w:color w:val="auto"/>
              </w:rPr>
            </w:pPr>
          </w:p>
        </w:tc>
        <w:tc>
          <w:tcPr>
            <w:tcW w:w="17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7 - Commitments and Contingent Liabilities</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Contractual Commitments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419" w:firstLine="421"/>
        <w:spacing w:after="0" w:line="237" w:lineRule="auto"/>
        <w:rPr>
          <w:sz w:val="20"/>
          <w:szCs w:val="20"/>
          <w:color w:val="auto"/>
        </w:rPr>
      </w:pPr>
      <w:r>
        <w:rPr>
          <w:rFonts w:ascii="Courier New" w:cs="Courier New" w:eastAsia="Courier New" w:hAnsi="Courier New"/>
          <w:sz w:val="18"/>
          <w:szCs w:val="18"/>
          <w:color w:val="auto"/>
        </w:rPr>
        <w:t>Promus is pursuing many casino development opportunities that may require, individually and in the aggregate, significant commitments of capital, up-front payments to third parties, guarantees by Promus of third party debt and development completion guarantees. As of March 31, 1995, Promus has guaranteed third party loans and leases of $98 million, which are secured by certain assets, and has other contractual commitments, of $30 million, excluding amounts previously recorded.</w:t>
      </w:r>
    </w:p>
    <w:p>
      <w:pPr>
        <w:spacing w:after="0" w:line="211" w:lineRule="exact"/>
        <w:rPr>
          <w:sz w:val="20"/>
          <w:szCs w:val="20"/>
          <w:color w:val="auto"/>
        </w:rPr>
      </w:pPr>
    </w:p>
    <w:p>
      <w:pPr>
        <w:ind w:right="2519" w:firstLine="421"/>
        <w:spacing w:after="0" w:line="236" w:lineRule="auto"/>
        <w:rPr>
          <w:sz w:val="20"/>
          <w:szCs w:val="20"/>
          <w:color w:val="auto"/>
        </w:rPr>
      </w:pPr>
      <w:r>
        <w:rPr>
          <w:rFonts w:ascii="Courier New" w:cs="Courier New" w:eastAsia="Courier New" w:hAnsi="Courier New"/>
          <w:sz w:val="18"/>
          <w:szCs w:val="18"/>
          <w:color w:val="auto"/>
        </w:rPr>
        <w:t>See Note 9 for discussion of the completion guarantee provided to Harrah's Jazz Company by Promus related to development of the New Orleans casino.</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1" w:name="page12"/>
    <w:bookmarkEnd w:id="11"/>
    <w:p>
      <w:pPr>
        <w:jc w:val="center"/>
        <w:ind w:right="2319"/>
        <w:spacing w:after="0"/>
        <w:rPr>
          <w:sz w:val="20"/>
          <w:szCs w:val="20"/>
          <w:color w:val="auto"/>
        </w:rPr>
      </w:pPr>
      <w:r>
        <w:rPr>
          <w:rFonts w:ascii="Courier New" w:cs="Courier New" w:eastAsia="Courier New" w:hAnsi="Courier New"/>
          <w:sz w:val="18"/>
          <w:szCs w:val="18"/>
          <w:color w:val="auto"/>
        </w:rPr>
        <w:t>THE PROMUS COMPANIES INCORPORATED</w:t>
      </w:r>
    </w:p>
    <w:p>
      <w:pPr>
        <w:jc w:val="center"/>
        <w:ind w:right="2199"/>
        <w:spacing w:after="0" w:line="238" w:lineRule="auto"/>
        <w:rPr>
          <w:sz w:val="20"/>
          <w:szCs w:val="20"/>
          <w:color w:val="auto"/>
        </w:rPr>
      </w:pPr>
      <w:r>
        <w:rPr>
          <w:rFonts w:ascii="Courier New" w:cs="Courier New" w:eastAsia="Courier New" w:hAnsi="Courier New"/>
          <w:sz w:val="18"/>
          <w:szCs w:val="18"/>
          <w:color w:val="auto"/>
        </w:rPr>
        <w:t>NOTES TO CONSOLIDATED CONDENSED FINANCIAL STATEMENTS (CONTINUED)</w:t>
      </w:r>
    </w:p>
    <w:p>
      <w:pPr>
        <w:ind w:left="3280"/>
        <w:spacing w:after="0"/>
        <w:rPr>
          <w:sz w:val="20"/>
          <w:szCs w:val="20"/>
          <w:color w:val="auto"/>
        </w:rPr>
      </w:pPr>
      <w:r>
        <w:rPr>
          <w:rFonts w:ascii="Courier New" w:cs="Courier New" w:eastAsia="Courier New" w:hAnsi="Courier New"/>
          <w:sz w:val="18"/>
          <w:szCs w:val="18"/>
          <w:color w:val="auto"/>
        </w:rPr>
        <w:t>MARCH 31, 1995</w:t>
      </w:r>
    </w:p>
    <w:p>
      <w:pPr>
        <w:ind w:left="3380"/>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7 - Commitments and Contingent Liabilities (Continued)</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Guarantee of Insurance Contract</w:t>
      </w:r>
    </w:p>
    <w:p>
      <w:pPr>
        <w:ind w:left="42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Promus has guaranteed the value of a guaranteed investment contract with an insurance company held by Promus' defined contribution savings plan. Promus has also agreed to provide non-interest-bearing loans to the plan to fund, on an interim basis, withdrawals from this contract by retired or terminated employees. Promus' maximum exposure on this guarantee as of March 31, 1995, is approximately $7.8 million.</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Self-Insurance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419" w:firstLine="421"/>
        <w:spacing w:after="0" w:line="237" w:lineRule="auto"/>
        <w:rPr>
          <w:sz w:val="20"/>
          <w:szCs w:val="20"/>
          <w:color w:val="auto"/>
        </w:rPr>
      </w:pPr>
      <w:r>
        <w:rPr>
          <w:rFonts w:ascii="Courier New" w:cs="Courier New" w:eastAsia="Courier New" w:hAnsi="Courier New"/>
          <w:sz w:val="18"/>
          <w:szCs w:val="18"/>
          <w:color w:val="auto"/>
        </w:rPr>
        <w:t>Promus is self-insured for various levels of general liability, workers' compensation and employee medical coverage. Insurance claims and reserves include accruals of estimated settlements for known and anticipated claims, as well as accruals of actuarial estimates of incurred but not reported claims.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Severance Agreements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Promus has severance agreements with eleven of its senior executives which provide for payments to the executives in the event of their termination after a change in control, as defined, of Promus. These agreements provide, among other things, for a compensation payment equal to 2.99 times the average annual compensation paid to the executive for the five preceding calendar years, as well as for accelerated payment or accelerated vesting of any compensation or awards payable to the executive under any of Promus' incentive plans. The estimated amount, computed as of March 31, 1995, that would have been payable under the agreements to these executives based on earnings and stock options aggregated approximately $35.2 million.</w:t>
      </w: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Tax Sharing Agreements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firstLine="421"/>
        <w:spacing w:after="0" w:line="238" w:lineRule="auto"/>
        <w:rPr>
          <w:sz w:val="20"/>
          <w:szCs w:val="20"/>
          <w:color w:val="auto"/>
        </w:rPr>
      </w:pPr>
      <w:r>
        <w:rPr>
          <w:rFonts w:ascii="Courier New" w:cs="Courier New" w:eastAsia="Courier New" w:hAnsi="Courier New"/>
          <w:sz w:val="18"/>
          <w:szCs w:val="18"/>
          <w:color w:val="auto"/>
        </w:rPr>
        <w:t>Under the terms of the Settlement between Promus and Bass PLC (Bass) (see Note 8), the Tax Sharing Agreement entered in connection with the February 7, 1990, spin-off (the Spin-off) of the stock of Promus to stockholders of Holiday Corporation has been terminated. Under the Tax Sharing Agreement, Promus was liable, with certain exceptions, for taxes of Holiday and its subsidiaries for all pre-1990 Spin-off tax periods. Bass was obligated under the same agreement to pay Promus the amount of any tax benefits realized by Holiday as a result of adjustments to pre-1990 Spin-off tax periods of Holiday and its subsidiaries. Under the provisions of the Settlement, Promus will remain obligated for certain tax issues related to Promus and its subsidiaries for the pre-1990 Spin-off tax periods and certain other items related to the final resolution of disputed issues from the Internal Revenue Service (IRS) examination of income tax returns for 1987 through the 1990 Spin-off date. A protest defending the taxpayers' position on all disputed issues for these periods was filed with the IRS during third quarter 1993 and negotiations to resolve these issues continue. Final resolution of the disputed issues is not expected to have a material adverse effect on Promus' consolidated financial position or its results of operations.</w:t>
      </w: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19" w:right="1440" w:bottom="1440" w:gutter="0" w:footer="0" w:header="0"/>
        </w:sectPr>
      </w:pPr>
    </w:p>
    <w:bookmarkStart w:id="12" w:name="page13"/>
    <w:bookmarkEnd w:id="12"/>
    <w:p>
      <w:pPr>
        <w:jc w:val="center"/>
        <w:ind w:right="2319"/>
        <w:spacing w:after="0"/>
        <w:rPr>
          <w:sz w:val="20"/>
          <w:szCs w:val="20"/>
          <w:color w:val="auto"/>
        </w:rPr>
      </w:pPr>
      <w:r>
        <w:rPr>
          <w:rFonts w:ascii="Courier New" w:cs="Courier New" w:eastAsia="Courier New" w:hAnsi="Courier New"/>
          <w:sz w:val="18"/>
          <w:szCs w:val="18"/>
          <w:color w:val="auto"/>
        </w:rPr>
        <w:t>THE PROMUS COMPANIES INCORPORATED</w:t>
      </w:r>
    </w:p>
    <w:p>
      <w:pPr>
        <w:jc w:val="center"/>
        <w:ind w:right="2199"/>
        <w:spacing w:after="0" w:line="238" w:lineRule="auto"/>
        <w:rPr>
          <w:sz w:val="20"/>
          <w:szCs w:val="20"/>
          <w:color w:val="auto"/>
        </w:rPr>
      </w:pPr>
      <w:r>
        <w:rPr>
          <w:rFonts w:ascii="Courier New" w:cs="Courier New" w:eastAsia="Courier New" w:hAnsi="Courier New"/>
          <w:sz w:val="18"/>
          <w:szCs w:val="18"/>
          <w:color w:val="auto"/>
        </w:rPr>
        <w:t>NOTES TO CONSOLIDATED CONDENSED FINANCIAL STATEMENTS (CONTINUED)</w:t>
      </w:r>
    </w:p>
    <w:p>
      <w:pPr>
        <w:ind w:left="3280"/>
        <w:spacing w:after="0"/>
        <w:rPr>
          <w:sz w:val="20"/>
          <w:szCs w:val="20"/>
          <w:color w:val="auto"/>
        </w:rPr>
      </w:pPr>
      <w:r>
        <w:rPr>
          <w:rFonts w:ascii="Courier New" w:cs="Courier New" w:eastAsia="Courier New" w:hAnsi="Courier New"/>
          <w:sz w:val="18"/>
          <w:szCs w:val="18"/>
          <w:color w:val="auto"/>
        </w:rPr>
        <w:t>MARCH 31, 1995</w:t>
      </w:r>
    </w:p>
    <w:p>
      <w:pPr>
        <w:ind w:left="3380"/>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8 - Litigation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In March 1995, Promus entered into a settlement agreement (the Settlement) with Bass of all claims related to the Merger Agreement and Tax Sharing Agreement arising from the 1990 Spin-off of Promus and acquisition of the Holiday Inn hotel business by Bass. As a result of the Settlement, a charge of $49.2 million was recorded in fourth quarter 1994's operating results to accrue the estimated cost of the Settlement, the related legal fees and other associated expenses. Operating results for first quarter 1994 include $0.6 million of legal fees and other expenses incurred related to Promus' defense of this litigation. The provision for settlement of litigation and related costs is not expected to be deductible for federal income tax purposes.</w:t>
      </w:r>
    </w:p>
    <w:p>
      <w:pPr>
        <w:spacing w:after="0" w:line="216" w:lineRule="exact"/>
        <w:rPr>
          <w:sz w:val="20"/>
          <w:szCs w:val="20"/>
          <w:color w:val="auto"/>
        </w:rPr>
      </w:pPr>
    </w:p>
    <w:p>
      <w:pPr>
        <w:ind w:right="2319" w:firstLine="421"/>
        <w:spacing w:after="0" w:line="272" w:lineRule="auto"/>
        <w:rPr>
          <w:sz w:val="20"/>
          <w:szCs w:val="20"/>
          <w:color w:val="auto"/>
        </w:rPr>
      </w:pPr>
      <w:r>
        <w:rPr>
          <w:rFonts w:ascii="Courier New" w:cs="Courier New" w:eastAsia="Courier New" w:hAnsi="Courier New"/>
          <w:sz w:val="16"/>
          <w:szCs w:val="16"/>
          <w:color w:val="auto"/>
        </w:rPr>
        <w:t>Promus is involved in various inquiries, administrative proceedings and litigation relating to contracts, sales of property and other matters arising in the normal course of business. While any proceeding or litigation has an element of uncertainty, management believes that the final outcome of these matters will not have a material adverse effect upon Promus' consolidated financial position or its results of operations.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19" w:right="1440" w:bottom="1440" w:gutter="0" w:footer="0" w:header="0"/>
        </w:sectPr>
      </w:pPr>
    </w:p>
    <w:bookmarkStart w:id="13" w:name="page14"/>
    <w:bookmarkEnd w:id="13"/>
    <w:p>
      <w:pPr>
        <w:jc w:val="center"/>
        <w:ind w:right="2319"/>
        <w:spacing w:after="0"/>
        <w:rPr>
          <w:sz w:val="20"/>
          <w:szCs w:val="20"/>
          <w:color w:val="auto"/>
        </w:rPr>
      </w:pPr>
      <w:r>
        <w:rPr>
          <w:rFonts w:ascii="Courier New" w:cs="Courier New" w:eastAsia="Courier New" w:hAnsi="Courier New"/>
          <w:sz w:val="18"/>
          <w:szCs w:val="18"/>
          <w:color w:val="auto"/>
        </w:rPr>
        <w:t>THE PROMUS COMPANIES INCORPORATED</w:t>
      </w:r>
    </w:p>
    <w:p>
      <w:pPr>
        <w:jc w:val="center"/>
        <w:ind w:right="2199"/>
        <w:spacing w:after="0" w:line="238" w:lineRule="auto"/>
        <w:rPr>
          <w:sz w:val="20"/>
          <w:szCs w:val="20"/>
          <w:color w:val="auto"/>
        </w:rPr>
      </w:pPr>
      <w:r>
        <w:rPr>
          <w:rFonts w:ascii="Courier New" w:cs="Courier New" w:eastAsia="Courier New" w:hAnsi="Courier New"/>
          <w:sz w:val="18"/>
          <w:szCs w:val="18"/>
          <w:color w:val="auto"/>
        </w:rPr>
        <w:t>NOTES TO CONSOLIDATED CONDENSED FINANCIAL STATEMENTS (CONTINUED)</w:t>
      </w:r>
    </w:p>
    <w:p>
      <w:pPr>
        <w:ind w:left="3280"/>
        <w:spacing w:after="0"/>
        <w:rPr>
          <w:sz w:val="20"/>
          <w:szCs w:val="20"/>
          <w:color w:val="auto"/>
        </w:rPr>
      </w:pPr>
      <w:r>
        <w:rPr>
          <w:rFonts w:ascii="Courier New" w:cs="Courier New" w:eastAsia="Courier New" w:hAnsi="Courier New"/>
          <w:sz w:val="18"/>
          <w:szCs w:val="18"/>
          <w:color w:val="auto"/>
        </w:rPr>
        <w:t>MARCH 31, 1995</w:t>
      </w:r>
    </w:p>
    <w:p>
      <w:pPr>
        <w:ind w:left="3380"/>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9 - Nonconsolidated Affiliates</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Harrah's Jazz Company</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firstLine="421"/>
        <w:spacing w:after="0" w:line="268" w:lineRule="auto"/>
        <w:rPr>
          <w:sz w:val="20"/>
          <w:szCs w:val="20"/>
          <w:color w:val="auto"/>
        </w:rPr>
      </w:pPr>
      <w:r>
        <w:rPr>
          <w:rFonts w:ascii="Courier New" w:cs="Courier New" w:eastAsia="Courier New" w:hAnsi="Courier New"/>
          <w:sz w:val="16"/>
          <w:szCs w:val="16"/>
          <w:color w:val="auto"/>
        </w:rPr>
        <w:t>A Promus subsidiary owns an approximate 53% equity interest in Harrah's Jazz Company (Harrah's Jazz), the partnership developing the sole land-based casino permitted by law to operate in Orleans Parish, Louisiana. One of Promus' partners in Harrah's Jazz has an option to purchase an additional equity interest of approximately 14.6% from Promus for</w:t>
      </w:r>
    </w:p>
    <w:p>
      <w:pPr>
        <w:spacing w:after="0" w:line="1"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$33.3 million at any time until 120 days after opening of the temporary casino. Due to the existence of this option and its likelihood of being exercised, Promus' ownership of a majority interest in Harrah's Jazz is expected to be temporary and voting control of the partnership in any event continues to be shared equally by each partner during the option period. As a result, Harrah's Jazz is not consolidated into Promus' financial statements.</w:t>
      </w:r>
    </w:p>
    <w:p>
      <w:pPr>
        <w:spacing w:after="0" w:line="211" w:lineRule="exact"/>
        <w:rPr>
          <w:sz w:val="20"/>
          <w:szCs w:val="20"/>
          <w:color w:val="auto"/>
        </w:rPr>
      </w:pPr>
    </w:p>
    <w:p>
      <w:pPr>
        <w:jc w:val="both"/>
        <w:ind w:right="2419" w:firstLine="421"/>
        <w:spacing w:after="0" w:line="237" w:lineRule="auto"/>
        <w:rPr>
          <w:sz w:val="20"/>
          <w:szCs w:val="20"/>
          <w:color w:val="auto"/>
        </w:rPr>
      </w:pPr>
      <w:r>
        <w:rPr>
          <w:rFonts w:ascii="Courier New" w:cs="Courier New" w:eastAsia="Courier New" w:hAnsi="Courier New"/>
          <w:sz w:val="18"/>
          <w:szCs w:val="18"/>
          <w:color w:val="auto"/>
        </w:rPr>
        <w:t>Summarized balance sheet and income statement information for Harrah's Jazz, which Promus accounted for using the equity method, as of March 31, 1995 and December 31, 1994, and for the first quarter ended March 31, 1995 and 1994 were as follows:</w:t>
      </w:r>
    </w:p>
    <w:tbl>
      <w:tblPr>
        <w:tblLayout w:type="fixed"/>
        <w:tblInd w:w="0" w:type="dxa"/>
        <w:tblCellMar>
          <w:top w:w="0" w:type="dxa"/>
          <w:left w:w="0" w:type="dxa"/>
          <w:bottom w:w="0" w:type="dxa"/>
          <w:right w:w="0" w:type="dxa"/>
        </w:tblCellMar>
      </w:tblPr>
      <w:tr>
        <w:trPr>
          <w:trHeight w:val="203"/>
        </w:trPr>
        <w:tc>
          <w:tcPr>
            <w:tcW w:w="3800" w:type="dxa"/>
            <w:vAlign w:val="bottom"/>
          </w:tcPr>
          <w:p>
            <w:pPr>
              <w:spacing w:after="0"/>
              <w:rPr>
                <w:sz w:val="17"/>
                <w:szCs w:val="17"/>
                <w:color w:val="auto"/>
              </w:rPr>
            </w:pPr>
          </w:p>
        </w:tc>
        <w:tc>
          <w:tcPr>
            <w:tcW w:w="2520" w:type="dxa"/>
            <w:vAlign w:val="bottom"/>
            <w:gridSpan w:val="2"/>
          </w:tcPr>
          <w:p>
            <w:pPr>
              <w:ind w:left="1360"/>
              <w:spacing w:after="0"/>
              <w:rPr>
                <w:sz w:val="20"/>
                <w:szCs w:val="20"/>
                <w:color w:val="auto"/>
              </w:rPr>
            </w:pPr>
            <w:r>
              <w:rPr>
                <w:rFonts w:ascii="Courier New" w:cs="Courier New" w:eastAsia="Courier New" w:hAnsi="Courier New"/>
                <w:sz w:val="18"/>
                <w:szCs w:val="18"/>
                <w:color w:val="auto"/>
              </w:rPr>
              <w:t>March 31,</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Dec. 31,</w:t>
            </w:r>
          </w:p>
        </w:tc>
      </w:tr>
      <w:tr>
        <w:trPr>
          <w:trHeight w:val="203"/>
        </w:trPr>
        <w:tc>
          <w:tcPr>
            <w:tcW w:w="3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1995</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w w:val="97"/>
              </w:rPr>
              <w:t>Summarized Balance Sheet Information</w:t>
            </w: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assets</w:t>
            </w:r>
          </w:p>
        </w:tc>
        <w:tc>
          <w:tcPr>
            <w:tcW w:w="2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$411,213</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$454,295</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Land, buildings and equipment, net</w:t>
            </w:r>
          </w:p>
        </w:tc>
        <w:tc>
          <w:tcPr>
            <w:tcW w:w="148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123,587</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69,608</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assets</w:t>
            </w:r>
          </w:p>
        </w:tc>
        <w:tc>
          <w:tcPr>
            <w:tcW w:w="148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140,964</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141,488</w:t>
            </w:r>
          </w:p>
        </w:tc>
      </w:tr>
      <w:tr>
        <w:trPr>
          <w:trHeight w:val="203"/>
        </w:trPr>
        <w:tc>
          <w:tcPr>
            <w:tcW w:w="3800" w:type="dxa"/>
            <w:vAlign w:val="bottom"/>
          </w:tcPr>
          <w:p>
            <w:pPr>
              <w:spacing w:after="0"/>
              <w:rPr>
                <w:sz w:val="17"/>
                <w:szCs w:val="17"/>
                <w:color w:val="auto"/>
              </w:rPr>
            </w:pPr>
          </w:p>
        </w:tc>
        <w:tc>
          <w:tcPr>
            <w:tcW w:w="2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48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675,764</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665,391</w:t>
            </w:r>
          </w:p>
        </w:tc>
      </w:tr>
      <w:tr>
        <w:trPr>
          <w:trHeight w:val="203"/>
        </w:trPr>
        <w:tc>
          <w:tcPr>
            <w:tcW w:w="3800" w:type="dxa"/>
            <w:vAlign w:val="bottom"/>
          </w:tcPr>
          <w:p>
            <w:pPr>
              <w:spacing w:after="0"/>
              <w:rPr>
                <w:sz w:val="17"/>
                <w:szCs w:val="17"/>
                <w:color w:val="auto"/>
              </w:rPr>
            </w:pPr>
          </w:p>
        </w:tc>
        <w:tc>
          <w:tcPr>
            <w:tcW w:w="2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48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52,208</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23,894</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Long-term debt</w:t>
            </w:r>
          </w:p>
        </w:tc>
        <w:tc>
          <w:tcPr>
            <w:tcW w:w="148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510,000</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510,000</w:t>
            </w:r>
          </w:p>
        </w:tc>
      </w:tr>
      <w:tr>
        <w:trPr>
          <w:trHeight w:val="203"/>
        </w:trPr>
        <w:tc>
          <w:tcPr>
            <w:tcW w:w="3800" w:type="dxa"/>
            <w:vAlign w:val="bottom"/>
          </w:tcPr>
          <w:p>
            <w:pPr>
              <w:spacing w:after="0"/>
              <w:rPr>
                <w:sz w:val="17"/>
                <w:szCs w:val="17"/>
                <w:color w:val="auto"/>
              </w:rPr>
            </w:pPr>
          </w:p>
        </w:tc>
        <w:tc>
          <w:tcPr>
            <w:tcW w:w="2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48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562,208</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533,894</w:t>
            </w:r>
          </w:p>
        </w:tc>
      </w:tr>
      <w:tr>
        <w:trPr>
          <w:trHeight w:val="203"/>
        </w:trPr>
        <w:tc>
          <w:tcPr>
            <w:tcW w:w="3800" w:type="dxa"/>
            <w:vAlign w:val="bottom"/>
          </w:tcPr>
          <w:p>
            <w:pPr>
              <w:spacing w:after="0"/>
              <w:rPr>
                <w:sz w:val="17"/>
                <w:szCs w:val="17"/>
                <w:color w:val="auto"/>
              </w:rPr>
            </w:pPr>
          </w:p>
        </w:tc>
        <w:tc>
          <w:tcPr>
            <w:tcW w:w="2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assets</w:t>
            </w:r>
          </w:p>
        </w:tc>
        <w:tc>
          <w:tcPr>
            <w:tcW w:w="2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$113,556</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$131,497</w:t>
            </w:r>
          </w:p>
        </w:tc>
      </w:tr>
      <w:tr>
        <w:trPr>
          <w:trHeight w:val="203"/>
        </w:trPr>
        <w:tc>
          <w:tcPr>
            <w:tcW w:w="3800" w:type="dxa"/>
            <w:vAlign w:val="bottom"/>
          </w:tcPr>
          <w:p>
            <w:pPr>
              <w:spacing w:after="0"/>
              <w:rPr>
                <w:sz w:val="17"/>
                <w:szCs w:val="17"/>
                <w:color w:val="auto"/>
              </w:rPr>
            </w:pPr>
          </w:p>
        </w:tc>
        <w:tc>
          <w:tcPr>
            <w:tcW w:w="2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w w:val="96"/>
              </w:rPr>
              <w:t>First Quarter Ended</w:t>
            </w:r>
          </w:p>
        </w:tc>
      </w:tr>
      <w:tr>
        <w:trPr>
          <w:trHeight w:val="203"/>
        </w:trPr>
        <w:tc>
          <w:tcPr>
            <w:tcW w:w="3800" w:type="dxa"/>
            <w:vAlign w:val="bottom"/>
          </w:tcPr>
          <w:p>
            <w:pPr>
              <w:spacing w:after="0"/>
              <w:rPr>
                <w:sz w:val="17"/>
                <w:szCs w:val="17"/>
                <w:color w:val="auto"/>
              </w:rPr>
            </w:pPr>
          </w:p>
        </w:tc>
        <w:tc>
          <w:tcPr>
            <w:tcW w:w="2520" w:type="dxa"/>
            <w:vAlign w:val="bottom"/>
            <w:gridSpan w:val="2"/>
          </w:tcPr>
          <w:p>
            <w:pPr>
              <w:ind w:left="1360"/>
              <w:spacing w:after="0" w:line="203" w:lineRule="exact"/>
              <w:rPr>
                <w:sz w:val="20"/>
                <w:szCs w:val="20"/>
                <w:color w:val="auto"/>
              </w:rPr>
            </w:pPr>
            <w:r>
              <w:rPr>
                <w:rFonts w:ascii="Courier New" w:cs="Courier New" w:eastAsia="Courier New" w:hAnsi="Courier New"/>
                <w:sz w:val="18"/>
                <w:szCs w:val="18"/>
                <w:color w:val="auto"/>
              </w:rPr>
              <w:t>March 31,</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3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1995</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w w:val="99"/>
              </w:rPr>
              <w:t>Summarized Statements of Operations</w:t>
            </w: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Revenues</w:t>
            </w:r>
          </w:p>
        </w:tc>
        <w:tc>
          <w:tcPr>
            <w:tcW w:w="148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spacing w:after="0"/>
              <w:rPr>
                <w:sz w:val="17"/>
                <w:szCs w:val="17"/>
                <w:color w:val="auto"/>
              </w:rPr>
            </w:pPr>
          </w:p>
        </w:tc>
        <w:tc>
          <w:tcPr>
            <w:tcW w:w="2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loss</w:t>
            </w:r>
          </w:p>
        </w:tc>
        <w:tc>
          <w:tcPr>
            <w:tcW w:w="2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(8,193)</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(6,519)</w:t>
            </w:r>
          </w:p>
        </w:tc>
      </w:tr>
      <w:tr>
        <w:trPr>
          <w:trHeight w:val="203"/>
        </w:trPr>
        <w:tc>
          <w:tcPr>
            <w:tcW w:w="3800" w:type="dxa"/>
            <w:vAlign w:val="bottom"/>
          </w:tcPr>
          <w:p>
            <w:pPr>
              <w:spacing w:after="0"/>
              <w:rPr>
                <w:sz w:val="17"/>
                <w:szCs w:val="17"/>
                <w:color w:val="auto"/>
              </w:rPr>
            </w:pPr>
          </w:p>
        </w:tc>
        <w:tc>
          <w:tcPr>
            <w:tcW w:w="2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loss</w:t>
            </w:r>
          </w:p>
        </w:tc>
        <w:tc>
          <w:tcPr>
            <w:tcW w:w="2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$(17,941)</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(6,734)</w:t>
            </w:r>
          </w:p>
        </w:tc>
      </w:tr>
      <w:tr>
        <w:trPr>
          <w:trHeight w:val="203"/>
        </w:trPr>
        <w:tc>
          <w:tcPr>
            <w:tcW w:w="3800" w:type="dxa"/>
            <w:vAlign w:val="bottom"/>
          </w:tcPr>
          <w:p>
            <w:pPr>
              <w:spacing w:after="0"/>
              <w:rPr>
                <w:sz w:val="17"/>
                <w:szCs w:val="17"/>
                <w:color w:val="auto"/>
              </w:rPr>
            </w:pPr>
          </w:p>
        </w:tc>
        <w:tc>
          <w:tcPr>
            <w:tcW w:w="25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800" w:type="dxa"/>
            <w:vAlign w:val="bottom"/>
          </w:tcPr>
          <w:p>
            <w:pPr>
              <w:spacing w:after="0"/>
              <w:rPr>
                <w:sz w:val="24"/>
                <w:szCs w:val="24"/>
                <w:color w:val="auto"/>
              </w:rPr>
            </w:pPr>
          </w:p>
        </w:tc>
        <w:tc>
          <w:tcPr>
            <w:tcW w:w="1480" w:type="dxa"/>
            <w:vAlign w:val="bottom"/>
          </w:tcPr>
          <w:p>
            <w:pPr>
              <w:jc w:val="right"/>
              <w:ind w:right="972"/>
              <w:spacing w:after="0"/>
              <w:rPr>
                <w:sz w:val="20"/>
                <w:szCs w:val="20"/>
                <w:color w:val="auto"/>
              </w:rPr>
            </w:pPr>
            <w:r>
              <w:rPr>
                <w:rFonts w:ascii="Courier New" w:cs="Courier New" w:eastAsia="Courier New" w:hAnsi="Courier New"/>
                <w:sz w:val="18"/>
                <w:szCs w:val="18"/>
                <w:color w:val="auto"/>
                <w:w w:val="92"/>
              </w:rPr>
              <w:t>-14-</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14" w:name="page15"/>
    <w:bookmarkEnd w:id="14"/>
    <w:p>
      <w:pPr>
        <w:jc w:val="center"/>
        <w:ind w:right="2299"/>
        <w:spacing w:after="0"/>
        <w:rPr>
          <w:sz w:val="20"/>
          <w:szCs w:val="20"/>
          <w:color w:val="auto"/>
        </w:rPr>
      </w:pPr>
      <w:r>
        <w:rPr>
          <w:rFonts w:ascii="Courier New" w:cs="Courier New" w:eastAsia="Courier New" w:hAnsi="Courier New"/>
          <w:sz w:val="18"/>
          <w:szCs w:val="18"/>
          <w:color w:val="auto"/>
        </w:rPr>
        <w:t>THE PROMUS COMPANIES INCORPORATED</w:t>
      </w:r>
    </w:p>
    <w:p>
      <w:pPr>
        <w:jc w:val="center"/>
        <w:ind w:right="2199"/>
        <w:spacing w:after="0" w:line="238" w:lineRule="auto"/>
        <w:rPr>
          <w:sz w:val="20"/>
          <w:szCs w:val="20"/>
          <w:color w:val="auto"/>
        </w:rPr>
      </w:pPr>
      <w:r>
        <w:rPr>
          <w:rFonts w:ascii="Courier New" w:cs="Courier New" w:eastAsia="Courier New" w:hAnsi="Courier New"/>
          <w:sz w:val="18"/>
          <w:szCs w:val="18"/>
          <w:color w:val="auto"/>
        </w:rPr>
        <w:t>NOTES TO CONSOLIDATED CONDENSED FINANCIAL STATEMENTS (CONTINUED)</w:t>
      </w:r>
    </w:p>
    <w:p>
      <w:pPr>
        <w:ind w:left="3280"/>
        <w:spacing w:after="0"/>
        <w:rPr>
          <w:sz w:val="20"/>
          <w:szCs w:val="20"/>
          <w:color w:val="auto"/>
        </w:rPr>
      </w:pPr>
      <w:r>
        <w:rPr>
          <w:rFonts w:ascii="Courier New" w:cs="Courier New" w:eastAsia="Courier New" w:hAnsi="Courier New"/>
          <w:sz w:val="18"/>
          <w:szCs w:val="18"/>
          <w:color w:val="auto"/>
        </w:rPr>
        <w:t>MARCH 31, 1995</w:t>
      </w:r>
    </w:p>
    <w:p>
      <w:pPr>
        <w:ind w:left="3380"/>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9 - Nonconsolidated Affiliates (Continued)</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current estimated cost of the project is $816 million, of which approximately $336 million had been incurred as of March 31, 1995, and is being financed through a combination of partner capital contributions, public debt securities, bank debt and operating cash flow from the temporary casino being operated by Harrah's Jazz during construction of the permanent casino. If the funds available from these sources are insufficient to meet the costs of developing, constructing and opening</w:t>
      </w:r>
    </w:p>
    <w:p>
      <w:pPr>
        <w:spacing w:after="0" w:line="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temporary and permanent casinos, Promus has agreed to loan Harrah's Jazz the funds necessary to complete the project, subject to certain important conditions and exceptions, in exchange for a $12.2 million fee to be paid by Harrah's Jazz.</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2519" w:firstLine="421"/>
        <w:spacing w:after="0" w:line="237" w:lineRule="auto"/>
        <w:rPr>
          <w:sz w:val="20"/>
          <w:szCs w:val="20"/>
          <w:color w:val="auto"/>
        </w:rPr>
      </w:pPr>
      <w:r>
        <w:rPr>
          <w:rFonts w:ascii="Courier New" w:cs="Courier New" w:eastAsia="Courier New" w:hAnsi="Courier New"/>
          <w:sz w:val="18"/>
          <w:szCs w:val="18"/>
          <w:color w:val="auto"/>
        </w:rPr>
        <w:t>Condensed financial information relating to a foreign casino property currently under development and a restaurant subsidiary has not been presented since their operating results and financial position are not material to Promus either individually or in the aggregate.</w:t>
      </w:r>
    </w:p>
    <w:p>
      <w:pPr>
        <w:spacing w:after="0" w:line="207" w:lineRule="exact"/>
        <w:rPr>
          <w:sz w:val="20"/>
          <w:szCs w:val="20"/>
          <w:color w:val="auto"/>
        </w:rPr>
      </w:pPr>
    </w:p>
    <w:p>
      <w:pPr>
        <w:ind w:right="2319" w:firstLine="421"/>
        <w:spacing w:after="0" w:line="236" w:lineRule="auto"/>
        <w:rPr>
          <w:sz w:val="20"/>
          <w:szCs w:val="20"/>
          <w:color w:val="auto"/>
        </w:rPr>
      </w:pPr>
      <w:r>
        <w:rPr>
          <w:rFonts w:ascii="Courier New" w:cs="Courier New" w:eastAsia="Courier New" w:hAnsi="Courier New"/>
          <w:sz w:val="18"/>
          <w:szCs w:val="18"/>
          <w:color w:val="auto"/>
        </w:rPr>
        <w:t>Promus' share of nonconsolidated affiliates' combined net operating results are reflected in the accompanying consolidated condensed statements of income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310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First Quarter Ended</w:t>
            </w:r>
          </w:p>
        </w:tc>
      </w:tr>
      <w:tr>
        <w:trPr>
          <w:trHeight w:val="203"/>
        </w:trPr>
        <w:tc>
          <w:tcPr>
            <w:tcW w:w="5120" w:type="dxa"/>
            <w:vAlign w:val="bottom"/>
          </w:tcPr>
          <w:p>
            <w:pPr>
              <w:spacing w:after="0"/>
              <w:rPr>
                <w:sz w:val="17"/>
                <w:szCs w:val="17"/>
                <w:color w:val="auto"/>
              </w:rPr>
            </w:pPr>
          </w:p>
        </w:tc>
        <w:tc>
          <w:tcPr>
            <w:tcW w:w="1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March 31,</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w:t>
            </w:r>
          </w:p>
        </w:tc>
        <w:tc>
          <w:tcPr>
            <w:tcW w:w="1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1995</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Pre-interest operating loss (included in</w:t>
            </w:r>
          </w:p>
        </w:tc>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Revenues-other)</w:t>
            </w:r>
          </w:p>
        </w:tc>
        <w:tc>
          <w:tcPr>
            <w:tcW w:w="1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(2,803)</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(3,226)</w:t>
            </w:r>
          </w:p>
        </w:tc>
      </w:tr>
      <w:tr>
        <w:trPr>
          <w:trHeight w:val="203"/>
        </w:trPr>
        <w:tc>
          <w:tcPr>
            <w:tcW w:w="5120" w:type="dxa"/>
            <w:vAlign w:val="bottom"/>
          </w:tcPr>
          <w:p>
            <w:pPr>
              <w:spacing w:after="0"/>
              <w:rPr>
                <w:sz w:val="17"/>
                <w:szCs w:val="17"/>
                <w:color w:val="auto"/>
              </w:rPr>
            </w:pPr>
          </w:p>
        </w:tc>
        <w:tc>
          <w:tcPr>
            <w:tcW w:w="1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 (included in Interest</w:t>
            </w:r>
          </w:p>
        </w:tc>
        <w:tc>
          <w:tcPr>
            <w:tcW w:w="1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 from nonconsolidated affiliates)</w:t>
            </w:r>
          </w:p>
        </w:tc>
        <w:tc>
          <w:tcPr>
            <w:tcW w:w="1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(3,736)</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1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spacing w:after="0"/>
              <w:rPr>
                <w:sz w:val="24"/>
                <w:szCs w:val="24"/>
                <w:color w:val="auto"/>
              </w:rPr>
            </w:pPr>
          </w:p>
        </w:tc>
        <w:tc>
          <w:tcPr>
            <w:tcW w:w="19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March 31,</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Dec. 31,</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w:t>
            </w:r>
          </w:p>
        </w:tc>
        <w:tc>
          <w:tcPr>
            <w:tcW w:w="1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1995</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Promus' investments in and advances to</w:t>
            </w:r>
          </w:p>
        </w:tc>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nonconsolidated affiliates</w:t>
            </w:r>
          </w:p>
        </w:tc>
        <w:tc>
          <w:tcPr>
            <w:tcW w:w="1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 equity</w:t>
            </w:r>
          </w:p>
        </w:tc>
        <w:tc>
          <w:tcPr>
            <w:tcW w:w="1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Harrah's Jazz</w:t>
            </w:r>
          </w:p>
        </w:tc>
        <w:tc>
          <w:tcPr>
            <w:tcW w:w="1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$ 65,769</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$ 74,385</w:t>
            </w:r>
          </w:p>
        </w:tc>
      </w:tr>
      <w:tr>
        <w:trPr>
          <w:trHeight w:val="203"/>
        </w:trPr>
        <w:tc>
          <w:tcPr>
            <w:tcW w:w="5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w:t>
            </w:r>
          </w:p>
        </w:tc>
        <w:tc>
          <w:tcPr>
            <w:tcW w:w="1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21,079</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18,320</w:t>
            </w:r>
          </w:p>
        </w:tc>
      </w:tr>
      <w:tr>
        <w:trPr>
          <w:trHeight w:val="203"/>
        </w:trPr>
        <w:tc>
          <w:tcPr>
            <w:tcW w:w="5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 cost</w:t>
            </w:r>
          </w:p>
        </w:tc>
        <w:tc>
          <w:tcPr>
            <w:tcW w:w="1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24,651</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24,227</w:t>
            </w:r>
          </w:p>
        </w:tc>
      </w:tr>
      <w:tr>
        <w:trPr>
          <w:trHeight w:val="203"/>
        </w:trPr>
        <w:tc>
          <w:tcPr>
            <w:tcW w:w="5120" w:type="dxa"/>
            <w:vAlign w:val="bottom"/>
          </w:tcPr>
          <w:p>
            <w:pPr>
              <w:spacing w:after="0"/>
              <w:rPr>
                <w:sz w:val="17"/>
                <w:szCs w:val="17"/>
                <w:color w:val="auto"/>
              </w:rPr>
            </w:pPr>
          </w:p>
        </w:tc>
        <w:tc>
          <w:tcPr>
            <w:tcW w:w="1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1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$111,499</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$116,932</w:t>
            </w:r>
          </w:p>
        </w:tc>
      </w:tr>
      <w:tr>
        <w:trPr>
          <w:trHeight w:val="203"/>
        </w:trPr>
        <w:tc>
          <w:tcPr>
            <w:tcW w:w="5120" w:type="dxa"/>
            <w:vAlign w:val="bottom"/>
          </w:tcPr>
          <w:p>
            <w:pPr>
              <w:spacing w:after="0"/>
              <w:rPr>
                <w:sz w:val="17"/>
                <w:szCs w:val="17"/>
                <w:color w:val="auto"/>
              </w:rPr>
            </w:pPr>
          </w:p>
        </w:tc>
        <w:tc>
          <w:tcPr>
            <w:tcW w:w="1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120" w:type="dxa"/>
            <w:vAlign w:val="bottom"/>
          </w:tcPr>
          <w:p>
            <w:pPr>
              <w:ind w:left="3800"/>
              <w:spacing w:after="0"/>
              <w:rPr>
                <w:sz w:val="20"/>
                <w:szCs w:val="20"/>
                <w:color w:val="auto"/>
              </w:rPr>
            </w:pPr>
            <w:r>
              <w:rPr>
                <w:rFonts w:ascii="Courier New" w:cs="Courier New" w:eastAsia="Courier New" w:hAnsi="Courier New"/>
                <w:sz w:val="18"/>
                <w:szCs w:val="18"/>
                <w:color w:val="auto"/>
              </w:rPr>
              <w:t>-15-</w:t>
            </w:r>
          </w:p>
        </w:tc>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1122" w:right="1440" w:bottom="1440" w:gutter="0" w:footer="0" w:header="0"/>
        </w:sectPr>
      </w:pPr>
    </w:p>
    <w:bookmarkStart w:id="15" w:name="page16"/>
    <w:bookmarkEnd w:id="15"/>
    <w:p>
      <w:pPr>
        <w:jc w:val="center"/>
        <w:ind w:right="2299"/>
        <w:spacing w:after="0"/>
        <w:rPr>
          <w:sz w:val="20"/>
          <w:szCs w:val="20"/>
          <w:color w:val="auto"/>
        </w:rPr>
      </w:pPr>
      <w:r>
        <w:rPr>
          <w:rFonts w:ascii="Courier New" w:cs="Courier New" w:eastAsia="Courier New" w:hAnsi="Courier New"/>
          <w:sz w:val="18"/>
          <w:szCs w:val="18"/>
          <w:color w:val="auto"/>
        </w:rPr>
        <w:t>THE PROMUS COMPANIES INCORPORATED</w:t>
      </w:r>
    </w:p>
    <w:p>
      <w:pPr>
        <w:jc w:val="center"/>
        <w:ind w:right="2199"/>
        <w:spacing w:after="0" w:line="238" w:lineRule="auto"/>
        <w:rPr>
          <w:sz w:val="20"/>
          <w:szCs w:val="20"/>
          <w:color w:val="auto"/>
        </w:rPr>
      </w:pPr>
      <w:r>
        <w:rPr>
          <w:rFonts w:ascii="Courier New" w:cs="Courier New" w:eastAsia="Courier New" w:hAnsi="Courier New"/>
          <w:sz w:val="18"/>
          <w:szCs w:val="18"/>
          <w:color w:val="auto"/>
        </w:rPr>
        <w:t>NOTES TO CONSOLIDATED CONDENSED FINANCIAL STATEMENTS (CONTINUED)</w:t>
      </w:r>
    </w:p>
    <w:p>
      <w:pPr>
        <w:ind w:left="3280"/>
        <w:spacing w:after="0"/>
        <w:rPr>
          <w:sz w:val="20"/>
          <w:szCs w:val="20"/>
          <w:color w:val="auto"/>
        </w:rPr>
      </w:pPr>
      <w:r>
        <w:rPr>
          <w:rFonts w:ascii="Courier New" w:cs="Courier New" w:eastAsia="Courier New" w:hAnsi="Courier New"/>
          <w:sz w:val="18"/>
          <w:szCs w:val="18"/>
          <w:color w:val="auto"/>
        </w:rPr>
        <w:t>MARCH 31, 1995</w:t>
      </w:r>
    </w:p>
    <w:p>
      <w:pPr>
        <w:ind w:left="3380"/>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10 - Summarized Financial Information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Embassy is a wholly-owned subsidiary and the principal asset of Promus. Summarized financial information of Embassy as of March 31, 1995 and December 31, 1994, and for the first quarter ended March 31, 1995 and 1994, prepared on the same basis as Promus, was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March 31,</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w:t>
            </w:r>
          </w:p>
        </w:tc>
        <w:tc>
          <w:tcPr>
            <w:tcW w:w="64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1995</w:t>
            </w:r>
          </w:p>
        </w:tc>
        <w:tc>
          <w:tcPr>
            <w:tcW w:w="2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162,927</w:t>
            </w:r>
          </w:p>
        </w:tc>
        <w:tc>
          <w:tcPr>
            <w:tcW w:w="280" w:type="dxa"/>
            <w:vAlign w:val="bottom"/>
          </w:tcPr>
          <w:p>
            <w:pPr>
              <w:jc w:val="center"/>
              <w:ind w:left="7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171,445</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Land, buildings, riverboats and</w:t>
            </w: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equipment, net</w:t>
            </w:r>
          </w:p>
        </w:tc>
        <w:tc>
          <w:tcPr>
            <w:tcW w:w="64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1,131,480</w:t>
            </w:r>
          </w:p>
        </w:tc>
        <w:tc>
          <w:tcPr>
            <w:tcW w:w="2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1,129,841</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 of discontinued hotel operations</w:t>
            </w:r>
          </w:p>
        </w:tc>
        <w:tc>
          <w:tcPr>
            <w:tcW w:w="64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160,332</w:t>
            </w:r>
          </w:p>
        </w:tc>
        <w:tc>
          <w:tcPr>
            <w:tcW w:w="2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143,008</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64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285,297</w:t>
            </w:r>
          </w:p>
        </w:tc>
        <w:tc>
          <w:tcPr>
            <w:tcW w:w="2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293,015</w:t>
            </w:r>
          </w:p>
        </w:tc>
      </w:tr>
      <w:tr>
        <w:trPr>
          <w:trHeight w:val="203"/>
        </w:trPr>
        <w:tc>
          <w:tcPr>
            <w:tcW w:w="5060" w:type="dxa"/>
            <w:vAlign w:val="bottom"/>
          </w:tcPr>
          <w:p>
            <w:pPr>
              <w:spacing w:after="0"/>
              <w:rPr>
                <w:sz w:val="17"/>
                <w:szCs w:val="17"/>
                <w:color w:val="auto"/>
              </w:rPr>
            </w:pPr>
          </w:p>
        </w:tc>
        <w:tc>
          <w:tcPr>
            <w:tcW w:w="18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1,740,036</w:t>
            </w:r>
          </w:p>
        </w:tc>
        <w:tc>
          <w:tcPr>
            <w:tcW w:w="2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1,737,309</w:t>
            </w:r>
          </w:p>
        </w:tc>
      </w:tr>
      <w:tr>
        <w:trPr>
          <w:trHeight w:val="203"/>
        </w:trPr>
        <w:tc>
          <w:tcPr>
            <w:tcW w:w="5060" w:type="dxa"/>
            <w:vAlign w:val="bottom"/>
          </w:tcPr>
          <w:p>
            <w:pPr>
              <w:spacing w:after="0"/>
              <w:rPr>
                <w:sz w:val="17"/>
                <w:szCs w:val="17"/>
                <w:color w:val="auto"/>
              </w:rPr>
            </w:pPr>
          </w:p>
        </w:tc>
        <w:tc>
          <w:tcPr>
            <w:tcW w:w="18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64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212,049</w:t>
            </w:r>
          </w:p>
        </w:tc>
        <w:tc>
          <w:tcPr>
            <w:tcW w:w="2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280,295</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64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758,150</w:t>
            </w:r>
          </w:p>
        </w:tc>
        <w:tc>
          <w:tcPr>
            <w:tcW w:w="2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727,492</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64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83,295</w:t>
            </w:r>
          </w:p>
        </w:tc>
        <w:tc>
          <w:tcPr>
            <w:tcW w:w="2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74,043</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w:t>
            </w:r>
          </w:p>
        </w:tc>
        <w:tc>
          <w:tcPr>
            <w:tcW w:w="64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20,003</w:t>
            </w:r>
          </w:p>
        </w:tc>
        <w:tc>
          <w:tcPr>
            <w:tcW w:w="2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18,267</w:t>
            </w:r>
          </w:p>
        </w:tc>
      </w:tr>
      <w:tr>
        <w:trPr>
          <w:trHeight w:val="203"/>
        </w:trPr>
        <w:tc>
          <w:tcPr>
            <w:tcW w:w="5060" w:type="dxa"/>
            <w:vAlign w:val="bottom"/>
          </w:tcPr>
          <w:p>
            <w:pPr>
              <w:spacing w:after="0"/>
              <w:rPr>
                <w:sz w:val="17"/>
                <w:szCs w:val="17"/>
                <w:color w:val="auto"/>
              </w:rPr>
            </w:pPr>
          </w:p>
        </w:tc>
        <w:tc>
          <w:tcPr>
            <w:tcW w:w="18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1,073,497</w:t>
            </w:r>
          </w:p>
        </w:tc>
        <w:tc>
          <w:tcPr>
            <w:tcW w:w="2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1,100,097</w:t>
            </w:r>
          </w:p>
        </w:tc>
      </w:tr>
      <w:tr>
        <w:trPr>
          <w:trHeight w:val="203"/>
        </w:trPr>
        <w:tc>
          <w:tcPr>
            <w:tcW w:w="5060" w:type="dxa"/>
            <w:vAlign w:val="bottom"/>
          </w:tcPr>
          <w:p>
            <w:pPr>
              <w:spacing w:after="0"/>
              <w:rPr>
                <w:sz w:val="17"/>
                <w:szCs w:val="17"/>
                <w:color w:val="auto"/>
              </w:rPr>
            </w:pPr>
          </w:p>
        </w:tc>
        <w:tc>
          <w:tcPr>
            <w:tcW w:w="18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assets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666,539</w:t>
            </w:r>
          </w:p>
        </w:tc>
        <w:tc>
          <w:tcPr>
            <w:tcW w:w="2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637,212</w:t>
            </w:r>
          </w:p>
        </w:tc>
      </w:tr>
      <w:tr>
        <w:trPr>
          <w:trHeight w:val="203"/>
        </w:trPr>
        <w:tc>
          <w:tcPr>
            <w:tcW w:w="5060" w:type="dxa"/>
            <w:vAlign w:val="bottom"/>
          </w:tcPr>
          <w:p>
            <w:pPr>
              <w:spacing w:after="0"/>
              <w:rPr>
                <w:sz w:val="17"/>
                <w:szCs w:val="17"/>
                <w:color w:val="auto"/>
              </w:rPr>
            </w:pPr>
          </w:p>
        </w:tc>
        <w:tc>
          <w:tcPr>
            <w:tcW w:w="18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20" w:type="dxa"/>
            <w:vAlign w:val="bottom"/>
            <w:gridSpan w:val="3"/>
          </w:tcPr>
          <w:p>
            <w:pPr>
              <w:jc w:val="center"/>
              <w:ind w:left="232"/>
              <w:spacing w:after="0"/>
              <w:rPr>
                <w:sz w:val="20"/>
                <w:szCs w:val="20"/>
                <w:color w:val="auto"/>
              </w:rPr>
            </w:pPr>
            <w:r>
              <w:rPr>
                <w:rFonts w:ascii="Courier New" w:cs="Courier New" w:eastAsia="Courier New" w:hAnsi="Courier New"/>
                <w:sz w:val="18"/>
                <w:szCs w:val="18"/>
                <w:color w:val="auto"/>
                <w:w w:val="97"/>
              </w:rPr>
              <w:t>First Quarter Ended</w:t>
            </w:r>
          </w:p>
        </w:tc>
      </w:tr>
      <w:tr>
        <w:trPr>
          <w:trHeight w:val="203"/>
        </w:trPr>
        <w:tc>
          <w:tcPr>
            <w:tcW w:w="5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March 31,</w:t>
            </w:r>
          </w:p>
        </w:tc>
        <w:tc>
          <w:tcPr>
            <w:tcW w:w="2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w:t>
            </w:r>
          </w:p>
        </w:tc>
        <w:tc>
          <w:tcPr>
            <w:tcW w:w="64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1995</w:t>
            </w:r>
          </w:p>
        </w:tc>
        <w:tc>
          <w:tcPr>
            <w:tcW w:w="2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640" w:type="dxa"/>
            <w:vAlign w:val="bottom"/>
          </w:tcPr>
          <w:p>
            <w:pPr>
              <w:spacing w:after="0"/>
              <w:rPr>
                <w:sz w:val="24"/>
                <w:szCs w:val="24"/>
                <w:color w:val="auto"/>
              </w:rPr>
            </w:pP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$356,197</w:t>
            </w:r>
          </w:p>
        </w:tc>
        <w:tc>
          <w:tcPr>
            <w:tcW w:w="28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$289,630</w:t>
            </w:r>
          </w:p>
        </w:tc>
      </w:tr>
      <w:tr>
        <w:trPr>
          <w:trHeight w:val="203"/>
        </w:trPr>
        <w:tc>
          <w:tcPr>
            <w:tcW w:w="5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64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$ 77,247</w:t>
            </w:r>
          </w:p>
        </w:tc>
        <w:tc>
          <w:tcPr>
            <w:tcW w:w="2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$ 65,223</w:t>
            </w:r>
          </w:p>
        </w:tc>
      </w:tr>
      <w:tr>
        <w:trPr>
          <w:trHeight w:val="203"/>
        </w:trPr>
        <w:tc>
          <w:tcPr>
            <w:tcW w:w="5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64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$ 28,334</w:t>
            </w:r>
          </w:p>
        </w:tc>
        <w:tc>
          <w:tcPr>
            <w:tcW w:w="2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$ 20,975</w:t>
            </w:r>
          </w:p>
        </w:tc>
      </w:tr>
      <w:tr>
        <w:trPr>
          <w:trHeight w:val="203"/>
        </w:trPr>
        <w:tc>
          <w:tcPr>
            <w:tcW w:w="5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64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$ 22,740</w:t>
            </w:r>
          </w:p>
        </w:tc>
        <w:tc>
          <w:tcPr>
            <w:tcW w:w="2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$ 19,174</w:t>
            </w:r>
          </w:p>
        </w:tc>
      </w:tr>
      <w:tr>
        <w:trPr>
          <w:trHeight w:val="203"/>
        </w:trPr>
        <w:tc>
          <w:tcPr>
            <w:tcW w:w="5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2319" w:firstLine="421"/>
        <w:spacing w:after="0" w:line="272" w:lineRule="auto"/>
        <w:rPr>
          <w:sz w:val="20"/>
          <w:szCs w:val="20"/>
          <w:color w:val="auto"/>
        </w:rPr>
      </w:pPr>
      <w:r>
        <w:rPr>
          <w:rFonts w:ascii="Courier New" w:cs="Courier New" w:eastAsia="Courier New" w:hAnsi="Courier New"/>
          <w:sz w:val="16"/>
          <w:szCs w:val="16"/>
          <w:color w:val="auto"/>
        </w:rPr>
        <w:t>The agreements governing the terms of Promus' debt contain certain covenants which, among other things, place limitations on Embassy's ability to pay dividends and make other restricted payments, as defined, to Promus. The amount of Embassy's restricted net assets, as defined, computed in accordance with the most restrictive of these covenants regarding restricted payments, was approximately $657.6 million at March 31, 1995.</w:t>
      </w:r>
    </w:p>
    <w:p>
      <w:pPr>
        <w:spacing w:after="0" w:line="3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919" w:right="1440" w:bottom="1440" w:gutter="0" w:footer="0" w:header="0"/>
        </w:sectPr>
      </w:pPr>
    </w:p>
    <w:bookmarkStart w:id="16" w:name="page17"/>
    <w:bookmarkEnd w:id="16"/>
    <w:p>
      <w:pPr>
        <w:ind w:left="1160"/>
        <w:spacing w:after="0"/>
        <w:tabs>
          <w:tab w:leader="none" w:pos="210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of Financial Condition and Results of Operations</w:t>
      </w:r>
    </w:p>
    <w:p>
      <w:pPr>
        <w:ind w:left="106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319" w:firstLine="527"/>
        <w:spacing w:after="0" w:line="270" w:lineRule="auto"/>
        <w:rPr>
          <w:sz w:val="20"/>
          <w:szCs w:val="20"/>
          <w:color w:val="auto"/>
        </w:rPr>
      </w:pPr>
      <w:r>
        <w:rPr>
          <w:rFonts w:ascii="Courier New" w:cs="Courier New" w:eastAsia="Courier New" w:hAnsi="Courier New"/>
          <w:sz w:val="16"/>
          <w:szCs w:val="16"/>
          <w:color w:val="auto"/>
        </w:rPr>
        <w:t>Since its creation on February 7, 1990, The Promus Companies Incorporated (Promus) has been a leader in the hospitality industry, operating four major brands: Harrah's, one of the premier names in the casino entertainment industry, and Embassy Suites, Hampton Inn and Homewood Suites, each leading hotel brands. On January 30, 1995, Promus announced a planned spin-off, expected to be completed by the end of second quarter 1995, that will split the Company into two independent public corporations, one for conducting its casino entertainment business and one for conducting its hotel business. Promus, which will be renamed Harrah's Entertainment, Inc., will retain ownership of the casino entertainment business. Promus' hotel operations will be transferred to a new entity, to be named Promus Hotel Corporation (PHC), the stock of which is to be distributed to Promus' stockholders on a one-for-two basis (the PHC Spin-off).</w:t>
      </w:r>
    </w:p>
    <w:p>
      <w:pPr>
        <w:spacing w:after="0" w:line="389"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As a result of this announcement, Promus' historical financial statements reflect the hotel business as discontinued operations. The PHC Spin-off is subject to a number of conditions, including regulatory, bondholder, bank lender and other third-party consents, receipt of an opinion from outside legal counsel regarding the tax-free status of the transaction, market conditions, final approval of the Board of Directors and stockholder approval.</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CONTINUING OPERATIONS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Overall</w:t>
            </w: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248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First Quarter</w:t>
            </w:r>
          </w:p>
        </w:tc>
        <w:tc>
          <w:tcPr>
            <w:tcW w:w="14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4"/>
              </w:rPr>
              <w:t>Percentage</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(in millions, except</w:t>
            </w:r>
          </w:p>
        </w:tc>
        <w:tc>
          <w:tcPr>
            <w:tcW w:w="24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Increase</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1995</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c>
          <w:tcPr>
            <w:tcW w:w="14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(Decrease)</w:t>
            </w:r>
          </w:p>
        </w:tc>
      </w:tr>
      <w:tr>
        <w:trPr>
          <w:trHeight w:val="203"/>
        </w:trPr>
        <w:tc>
          <w:tcPr>
            <w:tcW w:w="280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$ 356.5</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$ 290.2</w:t>
            </w:r>
          </w:p>
        </w:tc>
        <w:tc>
          <w:tcPr>
            <w:tcW w:w="14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22.9%</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72.4</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62.0</w:t>
            </w:r>
          </w:p>
        </w:tc>
        <w:tc>
          <w:tcPr>
            <w:tcW w:w="14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16.8%</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continuing</w:t>
            </w: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operations</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28.7</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22.1</w:t>
            </w:r>
          </w:p>
        </w:tc>
        <w:tc>
          <w:tcPr>
            <w:tcW w:w="14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29.9%</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23.1</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20.2</w:t>
            </w:r>
          </w:p>
        </w:tc>
        <w:tc>
          <w:tcPr>
            <w:tcW w:w="14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14.4%</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Continuing operations</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0.28</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0.22</w:t>
            </w:r>
          </w:p>
        </w:tc>
        <w:tc>
          <w:tcPr>
            <w:tcW w:w="14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27.3%</w:t>
            </w:r>
          </w:p>
        </w:tc>
      </w:tr>
      <w:tr>
        <w:trPr>
          <w:trHeight w:val="203"/>
        </w:trPr>
        <w:tc>
          <w:tcPr>
            <w:tcW w:w="2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0.22</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0.20</w:t>
            </w:r>
          </w:p>
        </w:tc>
        <w:tc>
          <w:tcPr>
            <w:tcW w:w="14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margin</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21.4%</w:t>
            </w:r>
          </w:p>
        </w:tc>
        <w:tc>
          <w:tcPr>
            <w:tcW w:w="14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(1.1)pts</w:t>
            </w:r>
          </w:p>
        </w:tc>
      </w:tr>
      <w:tr>
        <w:trPr>
          <w:trHeight w:val="810"/>
        </w:trPr>
        <w:tc>
          <w:tcPr>
            <w:tcW w:w="2800" w:type="dxa"/>
            <w:vAlign w:val="bottom"/>
          </w:tcPr>
          <w:p>
            <w:pPr>
              <w:spacing w:after="0"/>
              <w:rPr>
                <w:sz w:val="24"/>
                <w:szCs w:val="24"/>
                <w:color w:val="auto"/>
              </w:rPr>
            </w:pPr>
          </w:p>
        </w:tc>
        <w:tc>
          <w:tcPr>
            <w:tcW w:w="2480" w:type="dxa"/>
            <w:vAlign w:val="bottom"/>
            <w:gridSpan w:val="2"/>
          </w:tcPr>
          <w:p>
            <w:pPr>
              <w:jc w:val="right"/>
              <w:ind w:right="972"/>
              <w:spacing w:after="0"/>
              <w:rPr>
                <w:sz w:val="20"/>
                <w:szCs w:val="20"/>
                <w:color w:val="auto"/>
              </w:rPr>
            </w:pPr>
            <w:r>
              <w:rPr>
                <w:rFonts w:ascii="Courier New" w:cs="Courier New" w:eastAsia="Courier New" w:hAnsi="Courier New"/>
                <w:sz w:val="18"/>
                <w:szCs w:val="18"/>
                <w:color w:val="auto"/>
              </w:rPr>
              <w:t>-17-</w:t>
            </w:r>
          </w:p>
        </w:tc>
        <w:tc>
          <w:tcPr>
            <w:tcW w:w="146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17" w:name="page18"/>
    <w:bookmarkEnd w:id="17"/>
    <w:p>
      <w:pPr>
        <w:ind w:right="2419" w:firstLine="527"/>
        <w:spacing w:after="0" w:line="270" w:lineRule="auto"/>
        <w:rPr>
          <w:sz w:val="20"/>
          <w:szCs w:val="20"/>
          <w:color w:val="auto"/>
        </w:rPr>
      </w:pPr>
      <w:r>
        <w:rPr>
          <w:rFonts w:ascii="Courier New" w:cs="Courier New" w:eastAsia="Courier New" w:hAnsi="Courier New"/>
          <w:sz w:val="16"/>
          <w:szCs w:val="16"/>
          <w:color w:val="auto"/>
        </w:rPr>
        <w:t>Promus' first quarter 1995 operating results include the combined results of its ownership and/or management of 15 casino entertainment properties located in Arizona, Colorado, Illinois, Louisiana, Mississippi, Missouri, Nevada and New Jersey. Most of first quarter 1995's growth occurred within the Riverboat Casino Entertainment Division as a result of an increase in the number of operating riverboat casinos during first quarter 1995 versus the comparable prior year period. First quarter 1995 also includes management fees from Harrah's Phoenix Ak-Chin, Promus' first managed Indian gaming operation, which opened on December 27, 1994. This increase in the number of owned and managed casinos resulted in record revenues and operating income for first quarter 1995.</w:t>
      </w:r>
    </w:p>
    <w:p>
      <w:pPr>
        <w:spacing w:after="0" w:line="392"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increases in operating income provided by the new casino properties were partially offset by lower operating income at Promus' Mississippi and Northern Nevada properties. The Mississippi properties experienced lower gaming volume as the amount of competition has increased over the past twelve months. Northern Nevada experienced unfavorable weather conditions through much of first quarter 1995.</w:t>
      </w:r>
    </w:p>
    <w:p>
      <w:pPr>
        <w:spacing w:after="0" w:line="210"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Income from continuing operations for first quarter 1995 also increased as a result of the additional casino entertainment projects now open. Income from discontinued hotel operations for first quarter 1995 increased over first quarter 1994 due to system growth and improved operating efficiencies. Net income for first quarter 1995 increased 14% over first quarter 1994, despite the inclusion of higher one-time charges. First quarter 1995's financial results include a $15.2 million charge, net of tax, for estimated costs associated with the PHC Spin-off. 1994's first quarter included a charge of $7.9 million, net of tax, representing the cumulative effect of a change in Promus' accounting policy for preopening costs.</w:t>
      </w:r>
    </w:p>
    <w:p>
      <w:pPr>
        <w:spacing w:after="0" w:line="216"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Promus' overall operating margin declined 1.1 percentage points for first quarter 1995 compared with the prior year period primarily due to the combination of increased competition in Mississippi markets and unfavorable weather conditions in Northern Nevada.</w:t>
      </w:r>
    </w:p>
    <w:p>
      <w:pPr>
        <w:spacing w:after="0" w:line="207"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The following table summarizes operating profit before preopening costs and corporate expense for the twelve month periods ended March 31, 1995, 1994 and 1993 in millions of dollars and as a percent of the total for each of Promus' casino entertainment divisions: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60" w:type="dxa"/>
            <w:vAlign w:val="bottom"/>
            <w:gridSpan w:val="5"/>
          </w:tcPr>
          <w:p>
            <w:pPr>
              <w:spacing w:after="0"/>
              <w:rPr>
                <w:sz w:val="20"/>
                <w:szCs w:val="20"/>
                <w:color w:val="auto"/>
              </w:rPr>
            </w:pPr>
            <w:r>
              <w:rPr>
                <w:rFonts w:ascii="Courier New" w:cs="Courier New" w:eastAsia="Courier New" w:hAnsi="Courier New"/>
                <w:sz w:val="18"/>
                <w:szCs w:val="18"/>
                <w:color w:val="auto"/>
              </w:rPr>
              <w:t>Operating Profit Contribution</w:t>
            </w:r>
          </w:p>
        </w:tc>
        <w:tc>
          <w:tcPr>
            <w:tcW w:w="6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for the Twelve Months</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Ended March 31,</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484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spacing w:after="0"/>
              <w:rPr>
                <w:sz w:val="17"/>
                <w:szCs w:val="17"/>
                <w:color w:val="auto"/>
              </w:rPr>
            </w:pPr>
          </w:p>
        </w:tc>
        <w:tc>
          <w:tcPr>
            <w:tcW w:w="25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In Millions of Dollars</w:t>
            </w:r>
          </w:p>
        </w:tc>
        <w:tc>
          <w:tcPr>
            <w:tcW w:w="232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Percent of Total</w:t>
            </w:r>
          </w:p>
        </w:tc>
      </w:tr>
      <w:tr>
        <w:trPr>
          <w:trHeight w:val="203"/>
        </w:trPr>
        <w:tc>
          <w:tcPr>
            <w:tcW w:w="21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w:t>
            </w: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spacing w:after="0"/>
              <w:rPr>
                <w:sz w:val="17"/>
                <w:szCs w:val="17"/>
                <w:color w:val="auto"/>
              </w:rPr>
            </w:pPr>
          </w:p>
        </w:tc>
        <w:tc>
          <w:tcPr>
            <w:tcW w:w="94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1995</w:t>
            </w:r>
          </w:p>
        </w:tc>
        <w:tc>
          <w:tcPr>
            <w:tcW w:w="9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1993</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1994</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2120" w:type="dxa"/>
            <w:vAlign w:val="bottom"/>
          </w:tcPr>
          <w:p>
            <w:pPr>
              <w:spacing w:after="0"/>
              <w:rPr>
                <w:sz w:val="17"/>
                <w:szCs w:val="17"/>
                <w:color w:val="auto"/>
              </w:rPr>
            </w:pPr>
          </w:p>
        </w:tc>
        <w:tc>
          <w:tcPr>
            <w:tcW w:w="94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120" w:type="dxa"/>
            <w:vAlign w:val="bottom"/>
          </w:tcPr>
          <w:p>
            <w:pPr>
              <w:ind w:left="220"/>
              <w:spacing w:after="0"/>
              <w:rPr>
                <w:sz w:val="20"/>
                <w:szCs w:val="20"/>
                <w:color w:val="auto"/>
              </w:rPr>
            </w:pPr>
            <w:r>
              <w:rPr>
                <w:rFonts w:ascii="Courier New" w:cs="Courier New" w:eastAsia="Courier New" w:hAnsi="Courier New"/>
                <w:sz w:val="18"/>
                <w:szCs w:val="18"/>
                <w:color w:val="auto"/>
              </w:rPr>
              <w:t>Riverboat</w:t>
            </w:r>
          </w:p>
        </w:tc>
        <w:tc>
          <w:tcPr>
            <w:tcW w:w="940" w:type="dxa"/>
            <w:vAlign w:val="bottom"/>
          </w:tcPr>
          <w:p>
            <w:pPr>
              <w:jc w:val="right"/>
              <w:ind w:right="13"/>
              <w:spacing w:after="0"/>
              <w:rPr>
                <w:sz w:val="20"/>
                <w:szCs w:val="20"/>
                <w:color w:val="auto"/>
              </w:rPr>
            </w:pPr>
            <w:r>
              <w:rPr>
                <w:rFonts w:ascii="Courier New" w:cs="Courier New" w:eastAsia="Courier New" w:hAnsi="Courier New"/>
                <w:sz w:val="18"/>
                <w:szCs w:val="18"/>
                <w:color w:val="auto"/>
              </w:rPr>
              <w:t>$136</w:t>
            </w:r>
          </w:p>
        </w:tc>
        <w:tc>
          <w:tcPr>
            <w:tcW w:w="9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$ 60</w:t>
            </w: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  -</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42%</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w:t>
            </w: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Atlantic City</w:t>
            </w:r>
          </w:p>
        </w:tc>
        <w:tc>
          <w:tcPr>
            <w:tcW w:w="94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80</w:t>
            </w:r>
          </w:p>
        </w:tc>
        <w:tc>
          <w:tcPr>
            <w:tcW w:w="320" w:type="dxa"/>
            <w:vAlign w:val="bottom"/>
          </w:tcPr>
          <w:p>
            <w:pPr>
              <w:spacing w:after="0"/>
              <w:rPr>
                <w:sz w:val="17"/>
                <w:szCs w:val="17"/>
                <w:color w:val="auto"/>
              </w:rPr>
            </w:pP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68</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Southern Nevada</w:t>
            </w:r>
          </w:p>
        </w:tc>
        <w:tc>
          <w:tcPr>
            <w:tcW w:w="94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74</w:t>
            </w:r>
          </w:p>
        </w:tc>
        <w:tc>
          <w:tcPr>
            <w:tcW w:w="320" w:type="dxa"/>
            <w:vAlign w:val="bottom"/>
          </w:tcPr>
          <w:p>
            <w:pPr>
              <w:spacing w:after="0"/>
              <w:rPr>
                <w:sz w:val="17"/>
                <w:szCs w:val="17"/>
                <w:color w:val="auto"/>
              </w:rPr>
            </w:pP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79</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Northern Nevada</w:t>
            </w:r>
          </w:p>
        </w:tc>
        <w:tc>
          <w:tcPr>
            <w:tcW w:w="94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70</w:t>
            </w:r>
          </w:p>
        </w:tc>
        <w:tc>
          <w:tcPr>
            <w:tcW w:w="320" w:type="dxa"/>
            <w:vAlign w:val="bottom"/>
          </w:tcPr>
          <w:p>
            <w:pPr>
              <w:spacing w:after="0"/>
              <w:rPr>
                <w:sz w:val="17"/>
                <w:szCs w:val="17"/>
                <w:color w:val="auto"/>
              </w:rPr>
            </w:pP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79</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Indian Gaming</w:t>
            </w:r>
          </w:p>
        </w:tc>
        <w:tc>
          <w:tcPr>
            <w:tcW w:w="94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2</w:t>
            </w:r>
          </w:p>
        </w:tc>
        <w:tc>
          <w:tcPr>
            <w:tcW w:w="320" w:type="dxa"/>
            <w:vAlign w:val="bottom"/>
          </w:tcPr>
          <w:p>
            <w:pPr>
              <w:spacing w:after="0"/>
              <w:rPr>
                <w:sz w:val="17"/>
                <w:szCs w:val="17"/>
                <w:color w:val="auto"/>
              </w:rPr>
            </w:pPr>
          </w:p>
        </w:tc>
        <w:tc>
          <w:tcPr>
            <w:tcW w:w="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New Orleans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32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Development costs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c>
          <w:tcPr>
            <w:tcW w:w="32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(12)</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320" w:type="dxa"/>
            <w:vAlign w:val="bottom"/>
          </w:tcPr>
          <w:p>
            <w:pPr>
              <w:spacing w:after="0"/>
              <w:rPr>
                <w:sz w:val="17"/>
                <w:szCs w:val="17"/>
                <w:color w:val="auto"/>
              </w:rPr>
            </w:pP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2120" w:type="dxa"/>
            <w:vAlign w:val="bottom"/>
          </w:tcPr>
          <w:p>
            <w:pPr>
              <w:spacing w:after="0"/>
              <w:rPr>
                <w:sz w:val="17"/>
                <w:szCs w:val="17"/>
                <w:color w:val="auto"/>
              </w:rPr>
            </w:pPr>
          </w:p>
        </w:tc>
        <w:tc>
          <w:tcPr>
            <w:tcW w:w="94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Promus</w:t>
            </w:r>
          </w:p>
        </w:tc>
        <w:tc>
          <w:tcPr>
            <w:tcW w:w="94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$325</w:t>
            </w:r>
          </w:p>
        </w:tc>
        <w:tc>
          <w:tcPr>
            <w:tcW w:w="9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$264</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$188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2120" w:type="dxa"/>
            <w:vAlign w:val="bottom"/>
          </w:tcPr>
          <w:p>
            <w:pPr>
              <w:spacing w:after="0"/>
              <w:rPr>
                <w:sz w:val="17"/>
                <w:szCs w:val="17"/>
                <w:color w:val="auto"/>
              </w:rPr>
            </w:pPr>
          </w:p>
        </w:tc>
        <w:tc>
          <w:tcPr>
            <w:tcW w:w="94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Riverboat Division</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3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05"/>
        </w:trPr>
        <w:tc>
          <w:tcPr>
            <w:tcW w:w="2120" w:type="dxa"/>
            <w:vAlign w:val="bottom"/>
          </w:tcPr>
          <w:p>
            <w:pPr>
              <w:spacing w:after="0"/>
              <w:rPr>
                <w:sz w:val="24"/>
                <w:szCs w:val="24"/>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8"/>
                <w:szCs w:val="18"/>
                <w:color w:val="auto"/>
              </w:rPr>
              <w:t>First</w:t>
            </w:r>
          </w:p>
        </w:tc>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rPr>
              <w:t>Quarter</w:t>
            </w:r>
          </w:p>
        </w:tc>
        <w:tc>
          <w:tcPr>
            <w:tcW w:w="620" w:type="dxa"/>
            <w:vAlign w:val="bottom"/>
          </w:tcPr>
          <w:p>
            <w:pPr>
              <w:spacing w:after="0"/>
              <w:rPr>
                <w:sz w:val="24"/>
                <w:szCs w:val="24"/>
                <w:color w:val="auto"/>
              </w:rPr>
            </w:pPr>
          </w:p>
        </w:tc>
        <w:tc>
          <w:tcPr>
            <w:tcW w:w="168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Percentage</w:t>
            </w:r>
          </w:p>
        </w:tc>
        <w:tc>
          <w:tcPr>
            <w:tcW w:w="640" w:type="dxa"/>
            <w:vAlign w:val="bottom"/>
          </w:tcPr>
          <w:p>
            <w:pPr>
              <w:spacing w:after="0"/>
              <w:rPr>
                <w:sz w:val="24"/>
                <w:szCs w:val="24"/>
                <w:color w:val="auto"/>
              </w:rPr>
            </w:pPr>
          </w:p>
        </w:tc>
      </w:tr>
      <w:tr>
        <w:trPr>
          <w:trHeight w:val="203"/>
        </w:trPr>
        <w:tc>
          <w:tcPr>
            <w:tcW w:w="21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w:t>
            </w: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Increase/</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(in millions)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3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c>
          <w:tcPr>
            <w:tcW w:w="6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(Decrease)</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1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w:t>
            </w:r>
          </w:p>
        </w:tc>
        <w:tc>
          <w:tcPr>
            <w:tcW w:w="64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137.8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83.1</w:t>
            </w:r>
          </w:p>
        </w:tc>
        <w:tc>
          <w:tcPr>
            <w:tcW w:w="6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65.8%</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40.9</w:t>
            </w:r>
          </w:p>
        </w:tc>
        <w:tc>
          <w:tcPr>
            <w:tcW w:w="3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w:t>
            </w:r>
          </w:p>
        </w:tc>
        <w:tc>
          <w:tcPr>
            <w:tcW w:w="6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29.8%</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margin</w:t>
            </w: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29.7%</w:t>
            </w:r>
          </w:p>
        </w:tc>
        <w:tc>
          <w:tcPr>
            <w:tcW w:w="12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37.9%</w:t>
            </w:r>
          </w:p>
        </w:tc>
        <w:tc>
          <w:tcPr>
            <w:tcW w:w="1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(8.2)pts</w:t>
            </w:r>
          </w:p>
        </w:tc>
        <w:tc>
          <w:tcPr>
            <w:tcW w:w="64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Gaming volume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$1,736.5</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$ 790.5</w:t>
            </w:r>
          </w:p>
        </w:tc>
        <w:tc>
          <w:tcPr>
            <w:tcW w:w="6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119.7%</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2619" w:firstLine="421"/>
        <w:spacing w:after="0" w:line="237" w:lineRule="auto"/>
        <w:rPr>
          <w:sz w:val="20"/>
          <w:szCs w:val="20"/>
          <w:color w:val="auto"/>
        </w:rPr>
      </w:pPr>
      <w:r>
        <w:rPr>
          <w:rFonts w:ascii="Courier New" w:cs="Courier New" w:eastAsia="Courier New" w:hAnsi="Courier New"/>
          <w:sz w:val="18"/>
          <w:szCs w:val="18"/>
          <w:color w:val="auto"/>
        </w:rPr>
        <w:t>Revenues and operating income for first quarter 1995 increased over first quarter 1994 primarily due to growth in the number of operating casinos. As of the end of first quarter 1995, the Riverboat Division included the operations of six riverboat casinos, as compared to four in operation at the end of first quarter 1994.</w:t>
      </w:r>
    </w:p>
    <w:p>
      <w:pPr>
        <w:spacing w:after="0" w:line="209" w:lineRule="exact"/>
        <w:rPr>
          <w:sz w:val="20"/>
          <w:szCs w:val="20"/>
          <w:color w:val="auto"/>
        </w:rPr>
      </w:pPr>
    </w:p>
    <w:p>
      <w:pPr>
        <w:ind w:right="2419" w:firstLine="421"/>
        <w:spacing w:after="0" w:line="237" w:lineRule="auto"/>
        <w:rPr>
          <w:sz w:val="20"/>
          <w:szCs w:val="20"/>
          <w:color w:val="auto"/>
        </w:rPr>
      </w:pPr>
      <w:r>
        <w:rPr>
          <w:rFonts w:ascii="Courier New" w:cs="Courier New" w:eastAsia="Courier New" w:hAnsi="Courier New"/>
          <w:sz w:val="18"/>
          <w:szCs w:val="18"/>
          <w:color w:val="auto"/>
        </w:rPr>
        <w:t>First quarter 1995's overall operating margin for the Riverboat Division declined from first quarter 1994, reflecting primarily decreased operating margins at Promus' Mississippi casinos due to increasingly intense competition in those markets. Although revenues and operating income for first quarter 1995 at the Mississippi properties decreased as a result of the increased</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919" w:right="1440" w:bottom="1440" w:gutter="0" w:footer="0" w:header="0"/>
        </w:sectPr>
      </w:pPr>
    </w:p>
    <w:bookmarkStart w:id="19" w:name="page20"/>
    <w:bookmarkEnd w:id="19"/>
    <w:p>
      <w:pPr>
        <w:ind w:right="2519"/>
        <w:spacing w:after="0" w:line="237" w:lineRule="auto"/>
        <w:rPr>
          <w:sz w:val="20"/>
          <w:szCs w:val="20"/>
          <w:color w:val="auto"/>
        </w:rPr>
      </w:pPr>
      <w:r>
        <w:rPr>
          <w:rFonts w:ascii="Courier New" w:cs="Courier New" w:eastAsia="Courier New" w:hAnsi="Courier New"/>
          <w:sz w:val="18"/>
          <w:szCs w:val="18"/>
          <w:color w:val="auto"/>
        </w:rPr>
        <w:t>competition, cost management initiatives have allowed the properties to maintain profitability as these markets mature. Operating margins at the Mississippi properties, however, are not expected to return to the levels achieved during the period of limited competition. The overall operating margin for the Riverboat Division remains higher than margins for other divisions due to the operational differences between a riverboat facility and conventional land-based properties.</w:t>
      </w:r>
    </w:p>
    <w:p>
      <w:pPr>
        <w:spacing w:after="0" w:line="200" w:lineRule="exact"/>
        <w:rPr>
          <w:sz w:val="20"/>
          <w:szCs w:val="20"/>
          <w:color w:val="auto"/>
        </w:rPr>
      </w:pPr>
    </w:p>
    <w:p>
      <w:pPr>
        <w:spacing w:after="0" w:line="20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Southern Nevada Division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17"/>
                <w:szCs w:val="17"/>
                <w:color w:val="auto"/>
              </w:rPr>
            </w:pPr>
          </w:p>
        </w:tc>
        <w:tc>
          <w:tcPr>
            <w:tcW w:w="236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rPr>
              <w:t>First Quarter</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Percentage</w:t>
            </w:r>
          </w:p>
        </w:tc>
      </w:tr>
      <w:tr>
        <w:trPr>
          <w:trHeight w:val="203"/>
        </w:trPr>
        <w:tc>
          <w:tcPr>
            <w:tcW w:w="1960" w:type="dxa"/>
            <w:vAlign w:val="bottom"/>
          </w:tcPr>
          <w:p>
            <w:pPr>
              <w:spacing w:after="0"/>
              <w:rPr>
                <w:sz w:val="17"/>
                <w:szCs w:val="17"/>
                <w:color w:val="auto"/>
              </w:rPr>
            </w:pP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w:t>
            </w:r>
          </w:p>
        </w:tc>
        <w:tc>
          <w:tcPr>
            <w:tcW w:w="840" w:type="dxa"/>
            <w:vAlign w:val="bottom"/>
          </w:tcPr>
          <w:p>
            <w:pPr>
              <w:spacing w:after="0"/>
              <w:rPr>
                <w:sz w:val="17"/>
                <w:szCs w:val="17"/>
                <w:color w:val="auto"/>
              </w:rPr>
            </w:pP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Increase/</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(in millions)</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1995</w:t>
            </w:r>
          </w:p>
        </w:tc>
        <w:tc>
          <w:tcPr>
            <w:tcW w:w="100" w:type="dxa"/>
            <w:vAlign w:val="bottom"/>
          </w:tcPr>
          <w:p>
            <w:pPr>
              <w:spacing w:after="0"/>
              <w:rPr>
                <w:sz w:val="17"/>
                <w:szCs w:val="17"/>
                <w:color w:val="auto"/>
              </w:rPr>
            </w:pP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1994</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(Decrease)</w:t>
            </w:r>
          </w:p>
        </w:tc>
      </w:tr>
      <w:tr>
        <w:trPr>
          <w:trHeight w:val="203"/>
        </w:trPr>
        <w:tc>
          <w:tcPr>
            <w:tcW w:w="1960" w:type="dxa"/>
            <w:vAlign w:val="bottom"/>
          </w:tcPr>
          <w:p>
            <w:pPr>
              <w:spacing w:after="0"/>
              <w:rPr>
                <w:sz w:val="17"/>
                <w:szCs w:val="17"/>
                <w:color w:val="auto"/>
              </w:rPr>
            </w:pP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$ 72.3</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71.4</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18.0</w:t>
            </w:r>
          </w:p>
        </w:tc>
        <w:tc>
          <w:tcPr>
            <w:tcW w:w="100" w:type="dxa"/>
            <w:vAlign w:val="bottom"/>
          </w:tcPr>
          <w:p>
            <w:pPr>
              <w:spacing w:after="0"/>
              <w:rPr>
                <w:sz w:val="17"/>
                <w:szCs w:val="17"/>
                <w:color w:val="auto"/>
              </w:rPr>
            </w:pP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18.3</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margin</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24.9%</w:t>
            </w:r>
          </w:p>
        </w:tc>
        <w:tc>
          <w:tcPr>
            <w:tcW w:w="1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25.6%</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(0.7)pts</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Gaming volume</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$726.9</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754.9</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w:t>
            </w:r>
          </w:p>
        </w:tc>
      </w:tr>
    </w:tbl>
    <w:p>
      <w:pPr>
        <w:spacing w:after="0" w:line="200" w:lineRule="exact"/>
        <w:rPr>
          <w:sz w:val="20"/>
          <w:szCs w:val="20"/>
          <w:color w:val="auto"/>
        </w:rPr>
      </w:pP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Gaming volume for this Division decreased in first quarter 1995 from first quarter 1994 levels. Harrah's Las Vegas had gaming revenues slightly higher than the prior year as a result of a 5.7% increase in slot revenue, while increased table game volume was offset by a lower win percentage. Higher nongaming revenues, particularly lodging, contributed to record revenues and operating income in first quarter 1995. The higher overall Las Vegas revenue was offset by lower Laughlin revenues and operating income as this market continues to be affected by regional competition, especially from the Las Vegas market.</w:t>
      </w:r>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Northern Nevada Division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w w:val="95"/>
              </w:rPr>
              <w:t>First Quarter</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Percentage</w:t>
            </w:r>
          </w:p>
        </w:tc>
      </w:tr>
      <w:tr>
        <w:trPr>
          <w:trHeight w:val="203"/>
        </w:trPr>
        <w:tc>
          <w:tcPr>
            <w:tcW w:w="1900" w:type="dxa"/>
            <w:vAlign w:val="bottom"/>
          </w:tcPr>
          <w:p>
            <w:pPr>
              <w:spacing w:after="0"/>
              <w:rPr>
                <w:sz w:val="17"/>
                <w:szCs w:val="17"/>
                <w:color w:val="auto"/>
              </w:rPr>
            </w:pPr>
          </w:p>
        </w:tc>
        <w:tc>
          <w:tcPr>
            <w:tcW w:w="1060" w:type="dxa"/>
            <w:vAlign w:val="bottom"/>
            <w:gridSpan w:val="2"/>
          </w:tcPr>
          <w:p>
            <w:pPr>
              <w:ind w:left="220"/>
              <w:spacing w:after="0"/>
              <w:rPr>
                <w:sz w:val="20"/>
                <w:szCs w:val="20"/>
                <w:color w:val="auto"/>
              </w:rPr>
            </w:pPr>
            <w:r>
              <w:rPr>
                <w:rFonts w:ascii="Courier New" w:cs="Courier New" w:eastAsia="Courier New" w:hAnsi="Courier New"/>
                <w:sz w:val="13"/>
                <w:szCs w:val="13"/>
                <w:color w:val="auto"/>
                <w:w w:val="70"/>
              </w:rPr>
              <w:t>---------------</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Increase/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(in millions)</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1995</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1994</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(Decrease)</w:t>
            </w:r>
          </w:p>
        </w:tc>
      </w:tr>
      <w:tr>
        <w:trPr>
          <w:trHeight w:val="203"/>
        </w:trPr>
        <w:tc>
          <w:tcPr>
            <w:tcW w:w="1900" w:type="dxa"/>
            <w:vAlign w:val="bottom"/>
          </w:tcPr>
          <w:p>
            <w:pPr>
              <w:spacing w:after="0"/>
              <w:rPr>
                <w:sz w:val="17"/>
                <w:szCs w:val="17"/>
                <w:color w:val="auto"/>
              </w:rPr>
            </w:pP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70.3</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margin</w:t>
            </w:r>
          </w:p>
        </w:tc>
        <w:tc>
          <w:tcPr>
            <w:tcW w:w="32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w:t>
            </w:r>
          </w:p>
        </w:tc>
        <w:tc>
          <w:tcPr>
            <w:tcW w:w="2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(6.9)pts</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Gaming volume</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774.3</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808.6</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w:t>
            </w:r>
          </w:p>
        </w:tc>
      </w:tr>
      <w:tr>
        <w:trPr>
          <w:trHeight w:val="608"/>
        </w:trPr>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80" w:type="dxa"/>
            <w:vAlign w:val="bottom"/>
          </w:tcPr>
          <w:p>
            <w:pPr>
              <w:jc w:val="right"/>
              <w:ind w:right="1072"/>
              <w:spacing w:after="0"/>
              <w:rPr>
                <w:sz w:val="20"/>
                <w:szCs w:val="20"/>
                <w:color w:val="auto"/>
              </w:rPr>
            </w:pPr>
            <w:r>
              <w:rPr>
                <w:rFonts w:ascii="Courier New" w:cs="Courier New" w:eastAsia="Courier New" w:hAnsi="Courier New"/>
                <w:sz w:val="18"/>
                <w:szCs w:val="18"/>
                <w:color w:val="auto"/>
                <w:w w:val="92"/>
              </w:rPr>
              <w:t>-20-</w:t>
            </w:r>
          </w:p>
        </w:tc>
      </w:tr>
    </w:tbl>
    <w:p>
      <w:pPr>
        <w:sectPr>
          <w:pgSz w:w="11900" w:h="16838" w:orient="portrait"/>
          <w:cols w:equalWidth="0" w:num="1">
            <w:col w:w="10219"/>
          </w:cols>
          <w:pgMar w:left="240" w:top="925" w:right="1440" w:bottom="1440" w:gutter="0" w:footer="0" w:header="0"/>
        </w:sectPr>
      </w:pPr>
    </w:p>
    <w:bookmarkStart w:id="20" w:name="page21"/>
    <w:bookmarkEnd w:id="20"/>
    <w:p>
      <w:pPr>
        <w:ind w:right="2319" w:firstLine="527"/>
        <w:spacing w:after="0" w:line="237" w:lineRule="auto"/>
        <w:rPr>
          <w:sz w:val="20"/>
          <w:szCs w:val="20"/>
          <w:color w:val="auto"/>
        </w:rPr>
      </w:pPr>
      <w:r>
        <w:rPr>
          <w:rFonts w:ascii="Courier New" w:cs="Courier New" w:eastAsia="Courier New" w:hAnsi="Courier New"/>
          <w:sz w:val="18"/>
          <w:szCs w:val="18"/>
          <w:color w:val="auto"/>
        </w:rPr>
        <w:t>Snowstorms in Northern Nevada and heavy rainfall in key California feeder markets during January and March 1995 resulted in lower guestcounts, lower gaming volume, revenues and operating income for first quarter 1995 compared with first quarter 1994. During February 1995, the only month in the quarter with favorable weather conditions, operating income for the Division increased 42% over the prior year.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Atlantic City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17"/>
                <w:szCs w:val="17"/>
                <w:color w:val="auto"/>
              </w:rPr>
            </w:pPr>
          </w:p>
        </w:tc>
        <w:tc>
          <w:tcPr>
            <w:tcW w:w="22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First Quarter</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Percentage</w:t>
            </w:r>
          </w:p>
        </w:tc>
      </w:tr>
      <w:tr>
        <w:trPr>
          <w:trHeight w:val="203"/>
        </w:trPr>
        <w:tc>
          <w:tcPr>
            <w:tcW w:w="1960" w:type="dxa"/>
            <w:vAlign w:val="bottom"/>
          </w:tcPr>
          <w:p>
            <w:pPr>
              <w:spacing w:after="0"/>
              <w:rPr>
                <w:sz w:val="17"/>
                <w:szCs w:val="17"/>
                <w:color w:val="auto"/>
              </w:rPr>
            </w:pPr>
          </w:p>
        </w:tc>
        <w:tc>
          <w:tcPr>
            <w:tcW w:w="2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Increase/</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(in millions)</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(Decrease)</w:t>
            </w:r>
          </w:p>
        </w:tc>
      </w:tr>
      <w:tr>
        <w:trPr>
          <w:trHeight w:val="203"/>
        </w:trPr>
        <w:tc>
          <w:tcPr>
            <w:tcW w:w="196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$ 77.3</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$ 65.8</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17.5%</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15.8</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10.4</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51.9%</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margin</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20.4%</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15.8%</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4.6pts</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Gaming volume</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$809.0</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$684.6</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18.2%</w:t>
            </w:r>
          </w:p>
        </w:tc>
      </w:tr>
    </w:tbl>
    <w:p>
      <w:pPr>
        <w:spacing w:after="0" w:line="200" w:lineRule="exact"/>
        <w:rPr>
          <w:sz w:val="20"/>
          <w:szCs w:val="20"/>
          <w:color w:val="auto"/>
        </w:rPr>
      </w:pP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Atlantic City's revenue increased in first quarter 1995 as a result of slot volume growth. This increased volume can be attributed to unseasonably mild weather experienced during first quarter 1995, highly focused marketing efforts and a casino renovation completed since first quarter 1994. Cost management initiatives successfully reduced first quarter 1995 incremental operating expenses, resulting in operating margin improvement.</w:t>
      </w:r>
    </w:p>
    <w:p>
      <w:pPr>
        <w:spacing w:after="0" w:line="200" w:lineRule="exact"/>
        <w:rPr>
          <w:sz w:val="20"/>
          <w:szCs w:val="20"/>
          <w:color w:val="auto"/>
        </w:rPr>
      </w:pPr>
    </w:p>
    <w:p>
      <w:pPr>
        <w:spacing w:after="0" w:line="20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Harrah's New Orleans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Revenues and operating income for first quarter 1995 and 1994 include losses of $2.9 million and $3.2 million, respectively, representing Promus' pro-rata share of preoperating losses incurred by the partnership developing Harrah's New Orleans. (See Capital Spending and Development section for further discussion of the current status of this development project.)</w:t>
      </w: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925"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Other Factors Affecting Income Per Share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17"/>
                <w:szCs w:val="17"/>
                <w:color w:val="auto"/>
              </w:rPr>
            </w:pPr>
          </w:p>
        </w:tc>
        <w:tc>
          <w:tcPr>
            <w:tcW w:w="184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First Quarter</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Percentage</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(Income)/Expense</w:t>
            </w:r>
          </w:p>
        </w:tc>
        <w:tc>
          <w:tcPr>
            <w:tcW w:w="184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6"/>
              </w:rPr>
              <w:t>Increase/</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(in millions)</w:t>
            </w:r>
          </w:p>
        </w:tc>
        <w:tc>
          <w:tcPr>
            <w:tcW w:w="260" w:type="dxa"/>
            <w:vAlign w:val="bottom"/>
          </w:tcPr>
          <w:p>
            <w:pPr>
              <w:spacing w:after="0"/>
              <w:rPr>
                <w:sz w:val="17"/>
                <w:szCs w:val="17"/>
                <w:color w:val="auto"/>
              </w:rPr>
            </w:pPr>
          </w:p>
        </w:tc>
        <w:tc>
          <w:tcPr>
            <w:tcW w:w="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1995</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(Decrease)</w:t>
            </w:r>
          </w:p>
        </w:tc>
      </w:tr>
      <w:tr>
        <w:trPr>
          <w:trHeight w:val="203"/>
        </w:trPr>
        <w:tc>
          <w:tcPr>
            <w:tcW w:w="3640" w:type="dxa"/>
            <w:vAlign w:val="bottom"/>
          </w:tcPr>
          <w:p>
            <w:pPr>
              <w:spacing w:after="0"/>
              <w:rPr>
                <w:sz w:val="17"/>
                <w:szCs w:val="17"/>
                <w:color w:val="auto"/>
              </w:rPr>
            </w:pPr>
          </w:p>
        </w:tc>
        <w:tc>
          <w:tcPr>
            <w:tcW w:w="96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 expense</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5.4</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$ 4.9</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260" w:type="dxa"/>
            <w:vAlign w:val="bottom"/>
          </w:tcPr>
          <w:p>
            <w:pPr>
              <w:spacing w:after="0"/>
              <w:rPr>
                <w:sz w:val="17"/>
                <w:szCs w:val="17"/>
                <w:color w:val="auto"/>
              </w:rPr>
            </w:pPr>
          </w:p>
        </w:tc>
        <w:tc>
          <w:tcPr>
            <w:tcW w:w="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22.1</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18.0</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22.8%</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settlement of</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litigation and related costs</w:t>
            </w:r>
          </w:p>
        </w:tc>
        <w:tc>
          <w:tcPr>
            <w:tcW w:w="260" w:type="dxa"/>
            <w:vAlign w:val="bottom"/>
          </w:tcPr>
          <w:p>
            <w:pPr>
              <w:spacing w:after="0"/>
              <w:rPr>
                <w:sz w:val="17"/>
                <w:szCs w:val="17"/>
                <w:color w:val="auto"/>
              </w:rPr>
            </w:pPr>
          </w:p>
        </w:tc>
        <w:tc>
          <w:tcPr>
            <w:tcW w:w="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0.6</w:t>
            </w:r>
          </w:p>
        </w:tc>
        <w:tc>
          <w:tcPr>
            <w:tcW w:w="12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2"/>
              </w:rPr>
              <w:t>N/M</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w:t>
            </w:r>
          </w:p>
        </w:tc>
        <w:tc>
          <w:tcPr>
            <w:tcW w:w="2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(2.0)</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(0.4)</w:t>
            </w:r>
          </w:p>
        </w:tc>
        <w:tc>
          <w:tcPr>
            <w:tcW w:w="12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2"/>
              </w:rPr>
              <w:t>N/M</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Effective tax rate</w:t>
            </w:r>
          </w:p>
        </w:tc>
        <w:tc>
          <w:tcPr>
            <w:tcW w:w="2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41.5%</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44.6%</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(3.1)pts</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interests</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3.3</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$ 4.7</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(29.8)%</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Earnings from hotel operations,</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of income taxes</w:t>
            </w:r>
          </w:p>
        </w:tc>
        <w:tc>
          <w:tcPr>
            <w:tcW w:w="2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(9.6)</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45.5%</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Spin-off transaction expenses,</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of income taxes</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(15.2)</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2"/>
              </w:rPr>
              <w:t>N/M</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 change</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 accounting policy,</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of income taxes</w:t>
            </w:r>
          </w:p>
        </w:tc>
        <w:tc>
          <w:tcPr>
            <w:tcW w:w="260" w:type="dxa"/>
            <w:vAlign w:val="bottom"/>
          </w:tcPr>
          <w:p>
            <w:pPr>
              <w:spacing w:after="0"/>
              <w:rPr>
                <w:sz w:val="17"/>
                <w:szCs w:val="17"/>
                <w:color w:val="auto"/>
              </w:rPr>
            </w:pPr>
          </w:p>
        </w:tc>
        <w:tc>
          <w:tcPr>
            <w:tcW w:w="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w:t>
            </w:r>
          </w:p>
        </w:tc>
        <w:tc>
          <w:tcPr>
            <w:tcW w:w="12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2"/>
              </w:rPr>
              <w:t>N/M</w:t>
            </w:r>
          </w:p>
        </w:tc>
      </w:tr>
    </w:tbl>
    <w:p>
      <w:pPr>
        <w:spacing w:after="0" w:line="200" w:lineRule="exact"/>
        <w:rPr>
          <w:sz w:val="20"/>
          <w:szCs w:val="20"/>
          <w:color w:val="auto"/>
        </w:rPr>
      </w:pP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Corporate expense in first quarter 1995 increased from the first quarter 1994 level, due primarily to the inclusion in first quarter 1994 of reimbursement of certain expenses. Interest expense increased in first quarter 1995 over first quarter 1994 primarily as a result of the inclusion of Promus' share of Harrah's New Orleans interest expense.</w:t>
      </w:r>
    </w:p>
    <w:p>
      <w:pPr>
        <w:spacing w:after="0" w:line="209"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The provision for settlement of litigation and related costs included legal fees and other expenses incurred during first quarter 1994 related to Promus' defense of litigation associated with the 1990 Spin-off of Promus and the acquisition of the Holiday Inn business by Bass PLC. A settlement agreement was reached in March 1995 and accrued in fourth quarter 1994. Payment under the settlement agreement was made using funds provided by Promus' revolving credit facility and by operations. Other income increased in first quarter 1995 over first quarter 1994 as a result of a gain on the sale of certain non-operating property.</w:t>
      </w:r>
    </w:p>
    <w:p>
      <w:pPr>
        <w:spacing w:after="0" w:line="184"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The effective tax rates for first quarter 1995 and 1994 are higher than the federal statutory rate primarily due to state income taxes. Minority interests reflect joint venture partners' shares of income at joint venture riverboat casinos.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919" w:right="1440" w:bottom="1440" w:gutter="0" w:footer="0" w:header="0"/>
        </w:sectPr>
      </w:pPr>
    </w:p>
    <w:bookmarkStart w:id="22" w:name="page23"/>
    <w:bookmarkEnd w:id="22"/>
    <w:p>
      <w:pPr>
        <w:ind w:right="2319" w:firstLine="527"/>
        <w:spacing w:after="0" w:line="237" w:lineRule="auto"/>
        <w:rPr>
          <w:sz w:val="20"/>
          <w:szCs w:val="20"/>
          <w:color w:val="auto"/>
        </w:rPr>
      </w:pPr>
      <w:r>
        <w:rPr>
          <w:rFonts w:ascii="Courier New" w:cs="Courier New" w:eastAsia="Courier New" w:hAnsi="Courier New"/>
          <w:sz w:val="18"/>
          <w:szCs w:val="18"/>
          <w:color w:val="auto"/>
        </w:rPr>
        <w:t>As previously discussed, on January 30, 1995, Promus announced its plans to split the Company into two independent public corporations. Accordingly, the operating results of Promus' hotel business are segregated and reported as discontinued operations in the accompanying consolidated financial statements (see further discussion below). The prior year consolidated statements have been restated to conform to the 1995 presentation.</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First quarter 1995 also includes a charge of $15.2 million, net of tax, to accrue the estimated expenses of the PHC Spin-off transaction. This amount represented management's best estimate of the transaction expenses, including estimated fees to be paid to third parties to consent to the transaction. Actual transaction expenses may increase prior to the consummation of the transaction, and any increases may be material to Promus' results of operations in the quarter in which such expenses are charged. It is anticipated that any additional transaction expenses will be charged against earnings in second quarter 1995.</w:t>
      </w:r>
    </w:p>
    <w:p>
      <w:pPr>
        <w:spacing w:after="0" w:line="208"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Effective January 1, 1994, Promus changed its accounting policy</w:t>
      </w:r>
    </w:p>
    <w:p>
      <w:pPr>
        <w:spacing w:after="0" w:line="238" w:lineRule="auto"/>
        <w:rPr>
          <w:sz w:val="20"/>
          <w:szCs w:val="20"/>
          <w:color w:val="auto"/>
        </w:rPr>
      </w:pPr>
      <w:r>
        <w:rPr>
          <w:rFonts w:ascii="Courier New" w:cs="Courier New" w:eastAsia="Courier New" w:hAnsi="Courier New"/>
          <w:sz w:val="18"/>
          <w:szCs w:val="18"/>
          <w:color w:val="auto"/>
        </w:rPr>
        <w:t>related to preopening costs to capitalize such costs as incurred prior to</w:t>
      </w:r>
    </w:p>
    <w:p>
      <w:pPr>
        <w:spacing w:after="0"/>
        <w:tabs>
          <w:tab w:leader="none" w:pos="6200" w:val="left"/>
        </w:tabs>
        <w:rPr>
          <w:sz w:val="20"/>
          <w:szCs w:val="20"/>
          <w:color w:val="auto"/>
        </w:rPr>
      </w:pPr>
      <w:r>
        <w:rPr>
          <w:rFonts w:ascii="Courier New" w:cs="Courier New" w:eastAsia="Courier New" w:hAnsi="Courier New"/>
          <w:sz w:val="18"/>
          <w:szCs w:val="18"/>
          <w:color w:val="auto"/>
        </w:rPr>
        <w:t>opening and to expense them upon opening of each project.</w:t>
      </w:r>
      <w:r>
        <w:rPr>
          <w:sz w:val="20"/>
          <w:szCs w:val="20"/>
          <w:color w:val="auto"/>
        </w:rPr>
        <w:tab/>
      </w:r>
      <w:r>
        <w:rPr>
          <w:rFonts w:ascii="Courier New" w:cs="Courier New" w:eastAsia="Courier New" w:hAnsi="Courier New"/>
          <w:sz w:val="16"/>
          <w:szCs w:val="16"/>
          <w:color w:val="auto"/>
        </w:rPr>
        <w:t>Previously,</w:t>
      </w:r>
    </w:p>
    <w:p>
      <w:pPr>
        <w:spacing w:after="0" w:line="237" w:lineRule="auto"/>
        <w:rPr>
          <w:sz w:val="20"/>
          <w:szCs w:val="20"/>
          <w:color w:val="auto"/>
        </w:rPr>
      </w:pPr>
      <w:r>
        <w:rPr>
          <w:rFonts w:ascii="Courier New" w:cs="Courier New" w:eastAsia="Courier New" w:hAnsi="Courier New"/>
          <w:sz w:val="18"/>
          <w:szCs w:val="18"/>
          <w:color w:val="auto"/>
        </w:rPr>
        <w:t>Promus had capitalized such costs and amortized them to expense over 36</w:t>
      </w:r>
    </w:p>
    <w:p>
      <w:pPr>
        <w:spacing w:after="0"/>
        <w:tabs>
          <w:tab w:leader="none" w:pos="3560" w:val="left"/>
        </w:tabs>
        <w:rPr>
          <w:sz w:val="20"/>
          <w:szCs w:val="20"/>
          <w:color w:val="auto"/>
        </w:rPr>
      </w:pPr>
      <w:r>
        <w:rPr>
          <w:rFonts w:ascii="Courier New" w:cs="Courier New" w:eastAsia="Courier New" w:hAnsi="Courier New"/>
          <w:sz w:val="18"/>
          <w:szCs w:val="18"/>
          <w:color w:val="auto"/>
        </w:rPr>
        <w:t>months from the date of opening.</w:t>
      </w:r>
      <w:r>
        <w:rPr>
          <w:sz w:val="20"/>
          <w:szCs w:val="20"/>
          <w:color w:val="auto"/>
        </w:rPr>
        <w:tab/>
      </w:r>
      <w:r>
        <w:rPr>
          <w:rFonts w:ascii="Courier New" w:cs="Courier New" w:eastAsia="Courier New" w:hAnsi="Courier New"/>
          <w:sz w:val="16"/>
          <w:szCs w:val="16"/>
          <w:color w:val="auto"/>
        </w:rPr>
        <w:t>Operating results for first quarter 1994</w:t>
      </w:r>
    </w:p>
    <w:p>
      <w:pPr>
        <w:spacing w:after="0"/>
        <w:rPr>
          <w:sz w:val="20"/>
          <w:szCs w:val="20"/>
          <w:color w:val="auto"/>
        </w:rPr>
      </w:pPr>
      <w:r>
        <w:rPr>
          <w:rFonts w:ascii="Courier New" w:cs="Courier New" w:eastAsia="Courier New" w:hAnsi="Courier New"/>
          <w:sz w:val="18"/>
          <w:szCs w:val="18"/>
          <w:color w:val="auto"/>
        </w:rPr>
        <w:t>reflect the cumulative charge against earnings, net of income taxes, of</w:t>
      </w:r>
    </w:p>
    <w:p>
      <w:pPr>
        <w:spacing w:after="0" w:line="237" w:lineRule="auto"/>
        <w:rPr>
          <w:sz w:val="20"/>
          <w:szCs w:val="20"/>
          <w:color w:val="auto"/>
        </w:rPr>
      </w:pPr>
      <w:r>
        <w:rPr>
          <w:rFonts w:ascii="Courier New" w:cs="Courier New" w:eastAsia="Courier New" w:hAnsi="Courier New"/>
          <w:sz w:val="18"/>
          <w:szCs w:val="18"/>
          <w:color w:val="auto"/>
        </w:rPr>
        <w:t>$7.9 million, or $0.08 per share, to write off the unamortized preopening</w:t>
      </w:r>
    </w:p>
    <w:p>
      <w:pPr>
        <w:spacing w:after="0"/>
        <w:rPr>
          <w:sz w:val="20"/>
          <w:szCs w:val="20"/>
          <w:color w:val="auto"/>
        </w:rPr>
      </w:pPr>
      <w:r>
        <w:rPr>
          <w:rFonts w:ascii="Courier New" w:cs="Courier New" w:eastAsia="Courier New" w:hAnsi="Courier New"/>
          <w:sz w:val="18"/>
          <w:szCs w:val="18"/>
          <w:color w:val="auto"/>
        </w:rPr>
        <w:t>costs balances related to projects opened in prior years (see Note 3 to the</w:t>
      </w:r>
    </w:p>
    <w:p>
      <w:pPr>
        <w:spacing w:after="0" w:line="237" w:lineRule="auto"/>
        <w:rPr>
          <w:sz w:val="20"/>
          <w:szCs w:val="20"/>
          <w:color w:val="auto"/>
        </w:rPr>
      </w:pPr>
      <w:r>
        <w:rPr>
          <w:rFonts w:ascii="Courier New" w:cs="Courier New" w:eastAsia="Courier New" w:hAnsi="Courier New"/>
          <w:sz w:val="18"/>
          <w:szCs w:val="18"/>
          <w:color w:val="auto"/>
        </w:rPr>
        <w:t>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925"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Discontinued Hotel Operations</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20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First Quarter</w:t>
            </w:r>
          </w:p>
        </w:tc>
        <w:tc>
          <w:tcPr>
            <w:tcW w:w="13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20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Percentage</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(in millions)</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1995</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1994</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Increase</w:t>
            </w:r>
          </w:p>
        </w:tc>
      </w:tr>
      <w:tr>
        <w:trPr>
          <w:trHeight w:val="203"/>
        </w:trPr>
        <w:tc>
          <w:tcPr>
            <w:tcW w:w="354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$63.2</w:t>
            </w: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$55.6</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13.7%</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24.9</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19.7</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26.4%</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(7.7)</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9.1%</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18.6%</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 of discontinued</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hotel operations</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9.6</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6.1</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57.4%</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Margin</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39.4%</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35.4%</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4.0pts</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System-wide RevPAR/S</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Embassy Suites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$75.88</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$72.26</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Hampton Inn</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37.97</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35.14</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8.1%</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Homewood Suites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59.34</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55.28</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Hotels</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Company-owned</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Embassy Suites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w:t>
            </w:r>
          </w:p>
        </w:tc>
        <w:tc>
          <w:tcPr>
            <w:tcW w:w="1320" w:type="dxa"/>
            <w:vAlign w:val="bottom"/>
          </w:tcPr>
          <w:p>
            <w:pPr>
              <w:spacing w:after="0"/>
              <w:rPr>
                <w:sz w:val="17"/>
                <w:szCs w:val="17"/>
                <w:color w:val="auto"/>
              </w:rPr>
            </w:pP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Hampton Inn</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w:t>
            </w:r>
          </w:p>
        </w:tc>
        <w:tc>
          <w:tcPr>
            <w:tcW w:w="1320" w:type="dxa"/>
            <w:vAlign w:val="bottom"/>
          </w:tcPr>
          <w:p>
            <w:pPr>
              <w:spacing w:after="0"/>
              <w:rPr>
                <w:sz w:val="17"/>
                <w:szCs w:val="17"/>
                <w:color w:val="auto"/>
              </w:rPr>
            </w:pP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Homewood Suites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1320" w:type="dxa"/>
            <w:vAlign w:val="bottom"/>
          </w:tcPr>
          <w:p>
            <w:pPr>
              <w:spacing w:after="0"/>
              <w:rPr>
                <w:sz w:val="17"/>
                <w:szCs w:val="17"/>
                <w:color w:val="auto"/>
              </w:rPr>
            </w:pP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Franchised, including</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managed properties</w:t>
            </w: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Embassy Suites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98</w:t>
            </w:r>
          </w:p>
        </w:tc>
        <w:tc>
          <w:tcPr>
            <w:tcW w:w="1320" w:type="dxa"/>
            <w:vAlign w:val="bottom"/>
          </w:tcPr>
          <w:p>
            <w:pPr>
              <w:spacing w:after="0"/>
              <w:rPr>
                <w:sz w:val="17"/>
                <w:szCs w:val="17"/>
                <w:color w:val="auto"/>
              </w:rPr>
            </w:pPr>
          </w:p>
        </w:tc>
      </w:tr>
      <w:tr>
        <w:trPr>
          <w:trHeight w:val="203"/>
        </w:trPr>
        <w:tc>
          <w:tcPr>
            <w:tcW w:w="3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Hampton Inn</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439</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363</w:t>
            </w:r>
          </w:p>
        </w:tc>
        <w:tc>
          <w:tcPr>
            <w:tcW w:w="1320" w:type="dxa"/>
            <w:vAlign w:val="bottom"/>
          </w:tcPr>
          <w:p>
            <w:pPr>
              <w:spacing w:after="0"/>
              <w:rPr>
                <w:sz w:val="17"/>
                <w:szCs w:val="17"/>
                <w:color w:val="auto"/>
              </w:rPr>
            </w:pPr>
          </w:p>
        </w:tc>
      </w:tr>
      <w:tr>
        <w:trPr>
          <w:trHeight w:val="203"/>
        </w:trPr>
        <w:tc>
          <w:tcPr>
            <w:tcW w:w="3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Homewood Suites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w:t>
            </w:r>
          </w:p>
        </w:tc>
        <w:tc>
          <w:tcPr>
            <w:tcW w:w="132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Revenues increased in first quarter 1995 over the comparable prior year period as a result of improvement in revenue per available room/suite (RevPAR/S) at all three brands and increased franchise fees due to system growth. Operating income was further increased since these revenues are high-margin and as a result of lower operating expenses at company-owned hotels. Interest expense for both quarters includes an allocation of Promus' corporate interest expense and has increased due to higher hotel debt levels, primarily to purchase a new PHC office building, and higher interest rates on variable rate debt.</w:t>
      </w:r>
    </w:p>
    <w:p>
      <w:pPr>
        <w:spacing w:after="0" w:line="20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In connection with the proposed PHC Spin-off, Promus is negotiating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$350 million bank facility (the PHC Facility) to be secured by the stock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PHC's material subsidiaries and to be assumed by PHC upon the</w:t>
      </w:r>
    </w:p>
    <w:p>
      <w:pPr>
        <w:spacing w:after="0"/>
        <w:tabs>
          <w:tab w:leader="none" w:pos="1140" w:val="left"/>
        </w:tabs>
        <w:rPr>
          <w:sz w:val="20"/>
          <w:szCs w:val="20"/>
          <w:color w:val="auto"/>
        </w:rPr>
      </w:pPr>
      <w:r>
        <w:rPr>
          <w:rFonts w:ascii="Courier New" w:cs="Courier New" w:eastAsia="Courier New" w:hAnsi="Courier New"/>
          <w:sz w:val="18"/>
          <w:szCs w:val="18"/>
          <w:color w:val="auto"/>
        </w:rPr>
        <w:t>Spin-off.</w:t>
      </w:r>
      <w:r>
        <w:rPr>
          <w:sz w:val="20"/>
          <w:szCs w:val="20"/>
          <w:color w:val="auto"/>
        </w:rPr>
        <w:tab/>
      </w:r>
      <w:r>
        <w:rPr>
          <w:rFonts w:ascii="Courier New" w:cs="Courier New" w:eastAsia="Courier New" w:hAnsi="Courier New"/>
          <w:sz w:val="16"/>
          <w:szCs w:val="16"/>
          <w:color w:val="auto"/>
        </w:rPr>
        <w:t>Prior to the PHC Spin-off, it is expected that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$210 million will be drawn on the PHC Facility and used to retire a portion</w:t>
      </w:r>
    </w:p>
    <w:p>
      <w:pPr>
        <w:spacing w:after="0" w:line="16" w:lineRule="exact"/>
        <w:rPr>
          <w:sz w:val="20"/>
          <w:szCs w:val="20"/>
          <w:color w:val="auto"/>
        </w:rPr>
      </w:pPr>
    </w:p>
    <w:p>
      <w:pPr>
        <w:spacing w:after="0"/>
        <w:tabs>
          <w:tab w:leader="none" w:pos="4100" w:val="left"/>
        </w:tabs>
        <w:rPr>
          <w:sz w:val="20"/>
          <w:szCs w:val="20"/>
          <w:color w:val="auto"/>
        </w:rPr>
      </w:pPr>
      <w:r>
        <w:rPr>
          <w:rFonts w:ascii="Courier New" w:cs="Courier New" w:eastAsia="Courier New" w:hAnsi="Courier New"/>
          <w:sz w:val="18"/>
          <w:szCs w:val="18"/>
          <w:color w:val="auto"/>
        </w:rPr>
        <w:t>of Promus' existing outstanding debt.</w:t>
      </w:r>
      <w:r>
        <w:rPr>
          <w:sz w:val="20"/>
          <w:szCs w:val="20"/>
          <w:color w:val="auto"/>
        </w:rPr>
        <w:tab/>
      </w:r>
      <w:r>
        <w:rPr>
          <w:rFonts w:ascii="Courier New" w:cs="Courier New" w:eastAsia="Courier New" w:hAnsi="Courier New"/>
          <w:sz w:val="16"/>
          <w:szCs w:val="16"/>
          <w:color w:val="auto"/>
        </w:rPr>
        <w:t>In addition, it is expected that PHC</w:t>
      </w:r>
    </w:p>
    <w:p>
      <w:pPr>
        <w:spacing w:after="0" w:line="238" w:lineRule="auto"/>
        <w:rPr>
          <w:sz w:val="20"/>
          <w:szCs w:val="20"/>
          <w:color w:val="auto"/>
        </w:rPr>
      </w:pPr>
      <w:r>
        <w:rPr>
          <w:rFonts w:ascii="Courier New" w:cs="Courier New" w:eastAsia="Courier New" w:hAnsi="Courier New"/>
          <w:sz w:val="18"/>
          <w:szCs w:val="18"/>
          <w:color w:val="auto"/>
        </w:rPr>
        <w:t>will assume two of Promus' existing interest rate swaps, with a notional</w:t>
      </w:r>
    </w:p>
    <w:p>
      <w:pPr>
        <w:spacing w:after="0"/>
        <w:rPr>
          <w:sz w:val="20"/>
          <w:szCs w:val="20"/>
          <w:color w:val="auto"/>
        </w:rPr>
      </w:pPr>
      <w:r>
        <w:rPr>
          <w:rFonts w:ascii="Courier New" w:cs="Courier New" w:eastAsia="Courier New" w:hAnsi="Courier New"/>
          <w:sz w:val="18"/>
          <w:szCs w:val="18"/>
          <w:color w:val="auto"/>
        </w:rPr>
        <w:t>amount of $100 million, converting that amount of variable rate debt which</w:t>
      </w:r>
    </w:p>
    <w:p>
      <w:pPr>
        <w:spacing w:after="0" w:line="237" w:lineRule="auto"/>
        <w:rPr>
          <w:sz w:val="20"/>
          <w:szCs w:val="20"/>
          <w:color w:val="auto"/>
        </w:rPr>
      </w:pPr>
      <w:r>
        <w:rPr>
          <w:rFonts w:ascii="Courier New" w:cs="Courier New" w:eastAsia="Courier New" w:hAnsi="Courier New"/>
          <w:sz w:val="18"/>
          <w:szCs w:val="18"/>
          <w:color w:val="auto"/>
        </w:rPr>
        <w:t>will be outstanding under the Hotel Facility to a fixed rate.</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24" w:name="page25"/>
    <w:bookmarkEnd w:id="24"/>
    <w:p>
      <w:pPr>
        <w:ind w:right="2319" w:firstLine="421"/>
        <w:spacing w:after="0" w:line="270" w:lineRule="auto"/>
        <w:rPr>
          <w:sz w:val="20"/>
          <w:szCs w:val="20"/>
          <w:color w:val="auto"/>
        </w:rPr>
      </w:pPr>
      <w:r>
        <w:rPr>
          <w:rFonts w:ascii="Courier New" w:cs="Courier New" w:eastAsia="Courier New" w:hAnsi="Courier New"/>
          <w:sz w:val="16"/>
          <w:szCs w:val="16"/>
          <w:color w:val="auto"/>
        </w:rPr>
        <w:t>Promus' corporate debt is not specifically related to either its casino entertainment or hotel segment. However, corporate debt service requirements have been met using cash flows provided by both segments. Therefore, in anticipation of the PHC Spin-off, a portion of Promus' corporate debt balance, unamortized deferred finance charges and interest expense has been allocated to discontinued hotel operations for the periods presented based on the percentage of Promus' existing corporate debt expected to be retired using proceeds from the Hotel Facility. The corporate debt allocated to discontinued hotel operations of $209.3 million and $187.8 million at March 31, 1995 and December 31, 1994, respectively, together with debt specifically related to PHC of $3.2 million and</w:t>
      </w:r>
    </w:p>
    <w:p>
      <w:pPr>
        <w:spacing w:after="0" w:line="18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$3.3 million at March 31, 1995 and December 31, 1994, respectively, are included in net assets of discontinued hotel operations in the accompanying Consolidated Condensed Balance Sheets. Unamortized deferred finance</w:t>
      </w:r>
    </w:p>
    <w:p>
      <w:pPr>
        <w:spacing w:after="0" w:line="6"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charges of $3.2 million at March 31, 1995 and December 31, 1994, and interest expense of $5.0 million and $4.6 million for the first quarter ended March 31, 1995 and 1994, respectively, have been allocated to discontinued hotel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SPENDING AND DEVELOPMENT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right="2319" w:firstLine="527"/>
        <w:spacing w:after="0" w:line="237" w:lineRule="auto"/>
        <w:rPr>
          <w:sz w:val="20"/>
          <w:szCs w:val="20"/>
          <w:color w:val="auto"/>
        </w:rPr>
      </w:pPr>
      <w:r>
        <w:rPr>
          <w:rFonts w:ascii="Courier New" w:cs="Courier New" w:eastAsia="Courier New" w:hAnsi="Courier New"/>
          <w:sz w:val="18"/>
          <w:szCs w:val="18"/>
          <w:color w:val="auto"/>
        </w:rPr>
        <w:t>Promus continues to pursue development opportunities within the casino entertainment industry. These opportunities include traditional land-based casinos, riverboat casinos, Indian gaming projects and international casino projects.</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Harrah's New Orleans</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firstLine="527"/>
        <w:spacing w:after="0" w:line="270" w:lineRule="auto"/>
        <w:rPr>
          <w:sz w:val="20"/>
          <w:szCs w:val="20"/>
          <w:color w:val="auto"/>
        </w:rPr>
      </w:pPr>
      <w:r>
        <w:rPr>
          <w:rFonts w:ascii="Courier New" w:cs="Courier New" w:eastAsia="Courier New" w:hAnsi="Courier New"/>
          <w:sz w:val="16"/>
          <w:szCs w:val="16"/>
          <w:color w:val="auto"/>
        </w:rPr>
        <w:t>Harrah's Jazz Company (Harrah's Jazz), in which a Promus subsidiary is one of three partners, is currently developing the sole land-based casino permitted by law to operate in Orleans Parish, Louisiana. Harrah's Jazz has leased and refurbished the New Orleans Municipal Auditorium for use as a temporary casino. This temporary casino, which contains approximately 76,000 square feet of casino space, opened on May 1, 1995, and will operate until the permanent casino entertainment facility is open. Harrah's Jazz has also leased the site of the City's former Rivergate Convention Center, the legally mandated site of the permanent casino, and construction is currently underway on the 400,000 square foot facility (approximately 200,000 square feet of casino space). The permanent facility is expected to open during second quarter 1996, but the timing of completion remains subject to certain pending legal issues, including various litigation affecting the project.</w:t>
      </w:r>
    </w:p>
    <w:p>
      <w:pPr>
        <w:spacing w:after="0" w:line="200" w:lineRule="exact"/>
        <w:rPr>
          <w:sz w:val="20"/>
          <w:szCs w:val="20"/>
          <w:color w:val="auto"/>
        </w:rPr>
      </w:pPr>
    </w:p>
    <w:p>
      <w:pPr>
        <w:spacing w:after="0" w:line="38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25" w:name="page26"/>
    <w:bookmarkEnd w:id="25"/>
    <w:p>
      <w:pPr>
        <w:ind w:right="2319" w:firstLine="527"/>
        <w:spacing w:after="0" w:line="238" w:lineRule="auto"/>
        <w:rPr>
          <w:sz w:val="20"/>
          <w:szCs w:val="20"/>
          <w:color w:val="auto"/>
        </w:rPr>
      </w:pPr>
      <w:r>
        <w:rPr>
          <w:rFonts w:ascii="Courier New" w:cs="Courier New" w:eastAsia="Courier New" w:hAnsi="Courier New"/>
          <w:sz w:val="18"/>
          <w:szCs w:val="18"/>
          <w:color w:val="auto"/>
        </w:rPr>
        <w:t>The current estimated project cost of $816 million, which includes both the temporary casino and permanent casino, is being financed through a combination of partner capital contributions, public debt securities, bank debt and operating cash flow from the temporary casino. Concurrent with closing of financing, Promus contributed a total of $90 million, including $33.3 million contributed on behalf of another partner. As a result of the Promus subsidiary's contribution on its partner's behalf, Promus currently holds an approximate 53% equity interest in the Partnership. The partner has the option to reacquire a 14.6% portion of the incremental ownership percentage from Promus by making capital contributions within 120 days of the opening of the temporary casino. Because Promus' ownership of this majority interest is expected to be temporary and voting control continues to be shared equally by each partner during the option period, Harrah's Jazz is not consolidated into Promus' financial statements. Upon full repayment of the capital contribution by Promus' partner, Promus' subsidiary's equity interest in the Partnership will be approximately 38.3%.</w:t>
      </w:r>
    </w:p>
    <w:p>
      <w:pPr>
        <w:spacing w:after="0" w:line="209" w:lineRule="exact"/>
        <w:rPr>
          <w:sz w:val="20"/>
          <w:szCs w:val="20"/>
          <w:color w:val="auto"/>
        </w:rPr>
      </w:pPr>
    </w:p>
    <w:p>
      <w:pPr>
        <w:ind w:right="2419" w:firstLine="527"/>
        <w:spacing w:after="0" w:line="272" w:lineRule="auto"/>
        <w:rPr>
          <w:sz w:val="20"/>
          <w:szCs w:val="20"/>
          <w:color w:val="auto"/>
        </w:rPr>
      </w:pPr>
      <w:r>
        <w:rPr>
          <w:rFonts w:ascii="Courier New" w:cs="Courier New" w:eastAsia="Courier New" w:hAnsi="Courier New"/>
          <w:sz w:val="16"/>
          <w:szCs w:val="16"/>
          <w:color w:val="auto"/>
        </w:rPr>
        <w:t>If the funds available from the partner capital contributions, public debt securities, bank debt and operating cash flows are insufficient to meet the costs of developing, constructing and opening the temporary and permanent casinos, Promus has also agreed to loan Harrah's Jazz the funds necessary to complete the project, subject to certain conditions and exceptions, in exchange for a fee to be paid by Harrah's Jazz.</w:t>
      </w:r>
    </w:p>
    <w:p>
      <w:pPr>
        <w:spacing w:after="0" w:line="3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Riverboat Casino Development</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In February 1995, the Shreveport Rose, which contained 19,500 square feet of casino space, was replaced by the Shreve Star, a riverboat casino with 30,000 square feet of casino space. This exchange resulted in approximately 27% more gaming positions at Harrah's Shreveport. The Shreveport Rose was moved from Shreveport to a dockyard in Louisiana, where it will be refurbished at a cost of approximately $5.5 million and will be available for use at another site. The costs associated with exchanging the riverboats and with maintaining the Shreveport Rose until it is returned to service are not material.</w:t>
      </w:r>
    </w:p>
    <w:p>
      <w:pPr>
        <w:spacing w:after="0" w:line="214"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In addition to the six riverboat casinos now operating, Promus previously announced a second riverboat casino project in the state of Missouri to be located in Maryland Heights, a suburb of St. Louis. Approximately $39 million had been incurred on the project as of the end of first quarter 1995, of which $11 million is expected to be paid during the remainder of 1995. In March 1995, Promus announced plans to form a joint venture with another casino entertainment company to jointly develop a riverboat casino entertainment complex in Maryland Heights. Each company will develop and operate its separately branded riverboat casino, and Promus and its partner will jointly develop the related shoreside facilities. Subject to the receipt of the necessary approvals, construction is expected to begin in third quarter 1995 and be completed in third quarter 1996.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26" w:name="page27"/>
    <w:bookmarkEnd w:id="26"/>
    <w:p>
      <w:pPr>
        <w:ind w:right="2419" w:firstLine="527"/>
        <w:spacing w:after="0" w:line="237" w:lineRule="auto"/>
        <w:rPr>
          <w:sz w:val="20"/>
          <w:szCs w:val="20"/>
          <w:color w:val="auto"/>
        </w:rPr>
      </w:pPr>
      <w:r>
        <w:rPr>
          <w:rFonts w:ascii="Courier New" w:cs="Courier New" w:eastAsia="Courier New" w:hAnsi="Courier New"/>
          <w:sz w:val="18"/>
          <w:szCs w:val="18"/>
          <w:color w:val="auto"/>
        </w:rPr>
        <w:t>During March 1995, the Mississippi Gaming Commission approved the application of a minority partner in the Harrah's Tunica casino entertainment property. The partnership agreement, which was effective on March 30, 1995, is retroactive to the property's opening. In anticipation of the approval of this agreement, the minority partner's share of the property's income has been deferred as minority interest since operations began. As a result, the impact of the approval of this agreement on Promus' consolidated financial statements is not material.</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May 11, 1995, Promus submitted the high bid through a public bankruptcy auction to acquire the former Southern Belle Casino in Tunica County, Mississippi, at a cost of $34.2 million. The purchase is subject to approval of the courts. Promus intends to open the new facility by first quarter 1996 after completion of a planned renovation of the property. Promus will continue to operate the current Harrah's Tunica Casino, while it also evaluates its long-term options for this facility.</w:t>
      </w:r>
    </w:p>
    <w:p>
      <w:pPr>
        <w:spacing w:after="0" w:line="200" w:lineRule="exact"/>
        <w:rPr>
          <w:sz w:val="20"/>
          <w:szCs w:val="20"/>
          <w:color w:val="auto"/>
        </w:rPr>
      </w:pPr>
    </w:p>
    <w:p>
      <w:pPr>
        <w:spacing w:after="0" w:line="20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Indian Lands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421"/>
        <w:spacing w:after="0" w:line="270" w:lineRule="auto"/>
        <w:rPr>
          <w:sz w:val="20"/>
          <w:szCs w:val="20"/>
          <w:color w:val="auto"/>
        </w:rPr>
      </w:pPr>
      <w:r>
        <w:rPr>
          <w:rFonts w:ascii="Courier New" w:cs="Courier New" w:eastAsia="Courier New" w:hAnsi="Courier New"/>
          <w:sz w:val="16"/>
          <w:szCs w:val="16"/>
          <w:color w:val="auto"/>
        </w:rPr>
        <w:t>Promus opened its first managed Indian gaming facility on Native American land on December 27, 1994. Harrah's Ak-Chin Phoenix is located on the Maricopa Indian Reservation approximately 25 miles south of Phoenix and 90 miles north of Tucson. The casino entertainment facility is owned by the Ak-Chin tribe and is managed by Promus for a fee under terms of a management contract with a five year term. Though Promus did not fund the development, it has guaranteed the tribe's borrowing for development costs of the casino entertainment facility up to $26.2 million. In conjunction with this guaranty, Promus has a first lien on the personal property (tangible and intangible) of the casino enterprise. The Ak-Chin tribe has also granted Promus a limited waiver of its sovereign immunity to allow Promus to pursue its rights under the contracts between the parties and</w:t>
      </w:r>
    </w:p>
    <w:p>
      <w:pPr>
        <w:spacing w:after="0" w:line="188"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to enforce collection efforts as to only the above-referred assets. Additionally, Sodak Gaming, Inc., has provided a guarantee to Promus for one-half of this financing.</w:t>
      </w:r>
    </w:p>
    <w:p>
      <w:pPr>
        <w:spacing w:after="0" w:line="209"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In April 1995, Promus received approval from the National Indian Gaming Commission for gaming management and development agreements between Harrah's and the Upper Skagit Indian Tribe. In May 1995, construction began on a planned $22.8 million casino entertainment facility approximately 70 miles north of Seattle, Washington. Though Promus will not fund the development, it anticipates guaranteeing the related bank financing.</w:t>
      </w:r>
    </w:p>
    <w:p>
      <w:pPr>
        <w:spacing w:after="0" w:line="211" w:lineRule="exact"/>
        <w:rPr>
          <w:sz w:val="20"/>
          <w:szCs w:val="20"/>
          <w:color w:val="auto"/>
        </w:rPr>
      </w:pPr>
    </w:p>
    <w:p>
      <w:pPr>
        <w:ind w:right="2519" w:firstLine="527"/>
        <w:spacing w:after="0" w:line="275" w:lineRule="auto"/>
        <w:rPr>
          <w:sz w:val="20"/>
          <w:szCs w:val="20"/>
          <w:color w:val="auto"/>
        </w:rPr>
      </w:pPr>
      <w:r>
        <w:rPr>
          <w:rFonts w:ascii="Courier New" w:cs="Courier New" w:eastAsia="Courier New" w:hAnsi="Courier New"/>
          <w:sz w:val="16"/>
          <w:szCs w:val="16"/>
          <w:color w:val="auto"/>
        </w:rPr>
        <w:t>Promus has also previously announced agreements with certain other Indian tribes, which are in various stages of negotiation and are subject to various conditions, including approval from appropriate government agencies, prior to substantive financial involvement by Promus.</w:t>
      </w:r>
    </w:p>
    <w:p>
      <w:pPr>
        <w:spacing w:after="0" w:line="200" w:lineRule="exact"/>
        <w:rPr>
          <w:sz w:val="20"/>
          <w:szCs w:val="20"/>
          <w:color w:val="auto"/>
        </w:rPr>
      </w:pPr>
    </w:p>
    <w:p>
      <w:pPr>
        <w:spacing w:after="0" w:line="3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27" w:name="page28"/>
    <w:bookmarkEnd w:id="27"/>
    <w:p>
      <w:pPr>
        <w:ind w:left="420"/>
        <w:spacing w:after="0"/>
        <w:rPr>
          <w:sz w:val="20"/>
          <w:szCs w:val="20"/>
          <w:color w:val="auto"/>
        </w:rPr>
      </w:pPr>
      <w:r>
        <w:rPr>
          <w:rFonts w:ascii="Courier New" w:cs="Courier New" w:eastAsia="Courier New" w:hAnsi="Courier New"/>
          <w:sz w:val="18"/>
          <w:szCs w:val="18"/>
          <w:color w:val="auto"/>
        </w:rPr>
        <w:t>International</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Promus and its local partner continue construction of a casino in Auckland, New Zealand expected to contain approximately 55,000 square feet of casino space. Promus owns a 20% interest in the partnership and will manage the facility for a fee. Of Promus' total expected capital contribution of US$30.5 million, US$21.2 million had been contributed at March 31, 1995. Construction of the US$335 million project, to be financed through a combination of partner contributions and non-recourse debt, is expected to be completed and the facility to be in operation in first quarter 1996.</w:t>
      </w:r>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Existing Casino Facilities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519" w:firstLine="421"/>
        <w:spacing w:after="0" w:line="237" w:lineRule="auto"/>
        <w:rPr>
          <w:sz w:val="20"/>
          <w:szCs w:val="20"/>
          <w:color w:val="auto"/>
        </w:rPr>
      </w:pPr>
      <w:r>
        <w:rPr>
          <w:rFonts w:ascii="Courier New" w:cs="Courier New" w:eastAsia="Courier New" w:hAnsi="Courier New"/>
          <w:sz w:val="18"/>
          <w:szCs w:val="18"/>
          <w:color w:val="auto"/>
        </w:rPr>
        <w:t>Promus continues construction of a $28.6 million company-owned hotel under a license agreement with Hampton Inn, on the site of Harrah's Reno. The 408-room, 26-story hotel is expected to begin operations in fourth quarter 1995. Although Promus is considering additions of casino square footage or hotel rooms at certain of its other existing casino entertainment properties, no major additions are currently underway. On-going refurbishment and maintenance of Promus' casino entertainment facilities continues to maintain the quality standards set for these properties.</w:t>
      </w:r>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Overall</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In addition to the projects discussed above, Promus continues to pursue additional casino entertainment development opportunities in various possible jurisdictions across the United States and abroad. Until necessary approvals to proceed with development of a project are obtained from the relevant regulatory bodies, the costs of pursuing casino entertainment projects are expensed as incurred. Construction-related costs incurred after the receipt of necessary approvals are capitalized and depreciated over the estimated useful life of the resulting asset. Other preopening costs are deferred as incurred and expensed at the respective property's opening.</w:t>
      </w:r>
    </w:p>
    <w:p>
      <w:pPr>
        <w:spacing w:after="0" w:line="215"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A number of these projects, if they go forward, may require, individually and in the aggregate, a significant capital commitment and, if completed, may result in significant additional revenues. The commitment of capital, the timing of completion and the commencement of operations of casino entertainment development projects are contingent upon, among other things, negotiation of final agreements and receipt of approvals from the appropriate political and regulatory bodies. Cash needed to finance projects currently under development as well as additional projects being pursued by Promus will be made</w:t>
      </w:r>
    </w:p>
    <w:p>
      <w:pPr>
        <w:spacing w:after="0" w:line="200" w:lineRule="exact"/>
        <w:rPr>
          <w:sz w:val="20"/>
          <w:szCs w:val="20"/>
          <w:color w:val="auto"/>
        </w:r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17" w:right="1440" w:bottom="1440" w:gutter="0" w:footer="0" w:header="0"/>
        </w:sectPr>
      </w:pPr>
    </w:p>
    <w:bookmarkStart w:id="28" w:name="page29"/>
    <w:bookmarkEnd w:id="28"/>
    <w:p>
      <w:pPr>
        <w:ind w:right="1999"/>
        <w:spacing w:after="0" w:line="237" w:lineRule="auto"/>
        <w:rPr>
          <w:sz w:val="20"/>
          <w:szCs w:val="20"/>
          <w:color w:val="auto"/>
        </w:rPr>
      </w:pPr>
      <w:r>
        <w:rPr>
          <w:rFonts w:ascii="Courier New" w:cs="Courier New" w:eastAsia="Courier New" w:hAnsi="Courier New"/>
          <w:sz w:val="18"/>
          <w:szCs w:val="18"/>
          <w:color w:val="auto"/>
        </w:rPr>
        <w:t>available from operating cash flows, the Bank Facility (see Debt and Liquidity section), joint venture partners, specific project financing, guarantees by Promus of third party debt and, if necessary, Promus debt and/or equity offerings. Promus' capital spending during first quarter 1995 totalled approximately $32 million. Anticipated 1995 capital expenditures are estimated at $175 million to $225 million, including the projects discussed in this Capital Spending and Development section as well as other projects, refurbishment of existing facilities and other projects.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DEBT AND LIQUIDITY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Facility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Promus currently has in place a $650 million reducing revolving and letter of credit facility (the Facility). At March 31, 1995, $541.7 million in borrowings was outstanding under the Facility, with an additional</w:t>
      </w:r>
    </w:p>
    <w:p>
      <w:pPr>
        <w:spacing w:after="0" w:line="1"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$24.4 million committed to back certain letters of credit. These facility commitments resulted in $83.9 million of the Facility being available to Promus as of March 31, 1995. In connection with the PHC Spin-off, Promus is currently negotiating amendments to the Facility which are expected to include, among other things, an adjustment in its borrowing capacity available under the Facility and modifications to certain financial covenants.</w:t>
      </w:r>
    </w:p>
    <w:p>
      <w:pPr>
        <w:spacing w:after="0" w:line="388" w:lineRule="exact"/>
        <w:rPr>
          <w:sz w:val="20"/>
          <w:szCs w:val="20"/>
          <w:color w:val="auto"/>
        </w:rPr>
      </w:pPr>
    </w:p>
    <w:p>
      <w:pPr>
        <w:ind w:right="2739" w:firstLine="527"/>
        <w:spacing w:after="0" w:line="236" w:lineRule="auto"/>
        <w:rPr>
          <w:sz w:val="20"/>
          <w:szCs w:val="20"/>
          <w:color w:val="auto"/>
        </w:rPr>
      </w:pPr>
      <w:r>
        <w:rPr>
          <w:rFonts w:ascii="Courier New" w:cs="Courier New" w:eastAsia="Courier New" w:hAnsi="Courier New"/>
          <w:sz w:val="18"/>
          <w:szCs w:val="18"/>
          <w:color w:val="auto"/>
        </w:rPr>
        <w:t>The retirement of the 9% Notes in February 1995 resulted in a reduction of the letter of credit facility portion from $255 million to $50 million.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Rate Agreements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rPr>
              <w:t>To manage the relative mix</w:t>
            </w:r>
          </w:p>
        </w:tc>
        <w:tc>
          <w:tcPr>
            <w:tcW w:w="1280" w:type="dxa"/>
            <w:vAlign w:val="bottom"/>
          </w:tcPr>
          <w:p>
            <w:pPr>
              <w:ind w:left="60"/>
              <w:spacing w:after="0"/>
              <w:rPr>
                <w:sz w:val="20"/>
                <w:szCs w:val="20"/>
                <w:color w:val="auto"/>
              </w:rPr>
            </w:pPr>
            <w:r>
              <w:rPr>
                <w:rFonts w:ascii="Courier New" w:cs="Courier New" w:eastAsia="Courier New" w:hAnsi="Courier New"/>
                <w:sz w:val="18"/>
                <w:szCs w:val="18"/>
                <w:color w:val="auto"/>
              </w:rPr>
              <w:t>of its debt</w:t>
            </w:r>
          </w:p>
        </w:tc>
        <w:tc>
          <w:tcPr>
            <w:tcW w:w="1880" w:type="dxa"/>
            <w:vAlign w:val="bottom"/>
          </w:tcPr>
          <w:p>
            <w:pPr>
              <w:ind w:left="40"/>
              <w:spacing w:after="0"/>
              <w:rPr>
                <w:sz w:val="20"/>
                <w:szCs w:val="20"/>
                <w:color w:val="auto"/>
              </w:rPr>
            </w:pPr>
            <w:r>
              <w:rPr>
                <w:rFonts w:ascii="Courier New" w:cs="Courier New" w:eastAsia="Courier New" w:hAnsi="Courier New"/>
                <w:sz w:val="18"/>
                <w:szCs w:val="18"/>
                <w:color w:val="auto"/>
                <w:w w:val="99"/>
              </w:rPr>
              <w:t>between fixed and</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variable rate</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instruments, Promus enters into</w:t>
            </w:r>
          </w:p>
        </w:tc>
        <w:tc>
          <w:tcPr>
            <w:tcW w:w="3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interest rate swap agreements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 modify</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interest characteristics of its</w:t>
            </w:r>
          </w:p>
        </w:tc>
        <w:tc>
          <w:tcPr>
            <w:tcW w:w="1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outstanding</w:t>
            </w:r>
          </w:p>
        </w:tc>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debt without an exchange of</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underlying principal amount.  As of</w:t>
            </w:r>
          </w:p>
        </w:tc>
        <w:tc>
          <w:tcPr>
            <w:tcW w:w="41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March 31, 1995, Promus was a party to</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following</w:t>
            </w:r>
          </w:p>
        </w:tc>
        <w:tc>
          <w:tcPr>
            <w:tcW w:w="64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interest rate swap agreements which effectively convert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certain fixed</w:t>
            </w:r>
          </w:p>
        </w:tc>
        <w:tc>
          <w:tcPr>
            <w:tcW w:w="2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rate debt to variable</w:t>
            </w:r>
          </w:p>
        </w:tc>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rates:</w:t>
            </w:r>
          </w:p>
        </w:tc>
        <w:tc>
          <w:tcPr>
            <w:tcW w:w="16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608"/>
        </w:trPr>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8"/>
                <w:szCs w:val="18"/>
                <w:color w:val="auto"/>
                <w:w w:val="94"/>
              </w:rPr>
              <w:t>Effective</w:t>
            </w:r>
          </w:p>
        </w:tc>
        <w:tc>
          <w:tcPr>
            <w:tcW w:w="800" w:type="dxa"/>
            <w:vAlign w:val="bottom"/>
          </w:tcPr>
          <w:p>
            <w:pPr>
              <w:spacing w:after="0"/>
              <w:rPr>
                <w:sz w:val="24"/>
                <w:szCs w:val="24"/>
                <w:color w:val="auto"/>
              </w:rPr>
            </w:pPr>
          </w:p>
        </w:tc>
        <w:tc>
          <w:tcPr>
            <w:tcW w:w="1620" w:type="dxa"/>
            <w:vAlign w:val="bottom"/>
          </w:tcPr>
          <w:p>
            <w:pPr>
              <w:ind w:left="140"/>
              <w:spacing w:after="0"/>
              <w:rPr>
                <w:sz w:val="20"/>
                <w:szCs w:val="20"/>
                <w:color w:val="auto"/>
              </w:rPr>
            </w:pPr>
            <w:r>
              <w:rPr>
                <w:rFonts w:ascii="Courier New" w:cs="Courier New" w:eastAsia="Courier New" w:hAnsi="Courier New"/>
                <w:sz w:val="18"/>
                <w:szCs w:val="18"/>
                <w:color w:val="auto"/>
              </w:rPr>
              <w:t>Next Semi-</w:t>
            </w:r>
          </w:p>
        </w:tc>
        <w:tc>
          <w:tcPr>
            <w:tcW w:w="168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Swap</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Rate at</w:t>
            </w:r>
          </w:p>
        </w:tc>
        <w:tc>
          <w:tcPr>
            <w:tcW w:w="800" w:type="dxa"/>
            <w:vAlign w:val="bottom"/>
          </w:tcPr>
          <w:p>
            <w:pPr>
              <w:spacing w:after="0"/>
              <w:rPr>
                <w:sz w:val="17"/>
                <w:szCs w:val="17"/>
                <w:color w:val="auto"/>
              </w:rPr>
            </w:pPr>
          </w:p>
        </w:tc>
        <w:tc>
          <w:tcPr>
            <w:tcW w:w="1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Annual Rate</w:t>
            </w:r>
          </w:p>
        </w:tc>
        <w:tc>
          <w:tcPr>
            <w:tcW w:w="16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Associated</w:t>
            </w:r>
          </w:p>
        </w:tc>
        <w:tc>
          <w:tcPr>
            <w:tcW w:w="220" w:type="dxa"/>
            <w:vAlign w:val="bottom"/>
          </w:tcPr>
          <w:p>
            <w:pPr>
              <w:spacing w:after="0"/>
              <w:rPr>
                <w:sz w:val="17"/>
                <w:szCs w:val="17"/>
                <w:color w:val="auto"/>
              </w:rPr>
            </w:pP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Rate</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March 31,</w:t>
            </w:r>
          </w:p>
        </w:tc>
        <w:tc>
          <w:tcPr>
            <w:tcW w:w="800" w:type="dxa"/>
            <w:vAlign w:val="bottom"/>
          </w:tcPr>
          <w:p>
            <w:pPr>
              <w:spacing w:after="0"/>
              <w:rPr>
                <w:sz w:val="17"/>
                <w:szCs w:val="17"/>
                <w:color w:val="auto"/>
              </w:rPr>
            </w:pPr>
          </w:p>
        </w:tc>
        <w:tc>
          <w:tcPr>
            <w:tcW w:w="1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Adjustment</w:t>
            </w:r>
          </w:p>
        </w:tc>
        <w:tc>
          <w:tcPr>
            <w:tcW w:w="16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Debt</w:t>
            </w:r>
          </w:p>
        </w:tc>
        <w:tc>
          <w:tcPr>
            <w:tcW w:w="22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(LIBOR+)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1995</w:t>
            </w:r>
          </w:p>
        </w:tc>
        <w:tc>
          <w:tcPr>
            <w:tcW w:w="800" w:type="dxa"/>
            <w:vAlign w:val="bottom"/>
          </w:tcPr>
          <w:p>
            <w:pPr>
              <w:spacing w:after="0"/>
              <w:rPr>
                <w:sz w:val="17"/>
                <w:szCs w:val="17"/>
                <w:color w:val="auto"/>
              </w:rPr>
            </w:pPr>
          </w:p>
        </w:tc>
        <w:tc>
          <w:tcPr>
            <w:tcW w:w="1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Date</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Swap Maturity</w:t>
            </w:r>
          </w:p>
        </w:tc>
      </w:tr>
      <w:tr>
        <w:trPr>
          <w:trHeight w:val="203"/>
        </w:trPr>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10 7/8% Notes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$200 million</w:t>
            </w:r>
          </w:p>
        </w:tc>
        <w:tc>
          <w:tcPr>
            <w:tcW w:w="220" w:type="dxa"/>
            <w:vAlign w:val="bottom"/>
          </w:tcPr>
          <w:p>
            <w:pPr>
              <w:spacing w:after="0"/>
              <w:rPr>
                <w:sz w:val="17"/>
                <w:szCs w:val="17"/>
                <w:color w:val="auto"/>
              </w:rPr>
            </w:pP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4.73%</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10.68%</w:t>
            </w:r>
          </w:p>
        </w:tc>
        <w:tc>
          <w:tcPr>
            <w:tcW w:w="800" w:type="dxa"/>
            <w:vAlign w:val="bottom"/>
          </w:tcPr>
          <w:p>
            <w:pPr>
              <w:spacing w:after="0"/>
              <w:rPr>
                <w:sz w:val="17"/>
                <w:szCs w:val="17"/>
                <w:color w:val="auto"/>
              </w:rPr>
            </w:pPr>
          </w:p>
        </w:tc>
        <w:tc>
          <w:tcPr>
            <w:tcW w:w="1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April 15</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October 1997</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8 3/4% Notes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$50 million</w:t>
            </w:r>
          </w:p>
        </w:tc>
        <w:tc>
          <w:tcPr>
            <w:tcW w:w="220" w:type="dxa"/>
            <w:vAlign w:val="bottom"/>
          </w:tcPr>
          <w:p>
            <w:pPr>
              <w:spacing w:after="0"/>
              <w:rPr>
                <w:sz w:val="17"/>
                <w:szCs w:val="17"/>
                <w:color w:val="auto"/>
              </w:rPr>
            </w:pP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3.42%</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9.58%</w:t>
            </w:r>
          </w:p>
        </w:tc>
        <w:tc>
          <w:tcPr>
            <w:tcW w:w="800" w:type="dxa"/>
            <w:vAlign w:val="bottom"/>
          </w:tcPr>
          <w:p>
            <w:pPr>
              <w:spacing w:after="0"/>
              <w:rPr>
                <w:sz w:val="17"/>
                <w:szCs w:val="17"/>
                <w:color w:val="auto"/>
              </w:rPr>
            </w:pPr>
          </w:p>
        </w:tc>
        <w:tc>
          <w:tcPr>
            <w:tcW w:w="1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May 15</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May 1998</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$50 million</w:t>
            </w:r>
          </w:p>
        </w:tc>
        <w:tc>
          <w:tcPr>
            <w:tcW w:w="220" w:type="dxa"/>
            <w:vAlign w:val="bottom"/>
          </w:tcPr>
          <w:p>
            <w:pPr>
              <w:spacing w:after="0"/>
              <w:rPr>
                <w:sz w:val="17"/>
                <w:szCs w:val="17"/>
                <w:color w:val="auto"/>
              </w:rPr>
            </w:pP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3.22%</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10.01%</w:t>
            </w:r>
          </w:p>
        </w:tc>
        <w:tc>
          <w:tcPr>
            <w:tcW w:w="800" w:type="dxa"/>
            <w:vAlign w:val="bottom"/>
          </w:tcPr>
          <w:p>
            <w:pPr>
              <w:spacing w:after="0"/>
              <w:rPr>
                <w:sz w:val="17"/>
                <w:szCs w:val="17"/>
                <w:color w:val="auto"/>
              </w:rPr>
            </w:pPr>
          </w:p>
        </w:tc>
        <w:tc>
          <w:tcPr>
            <w:tcW w:w="16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July 15</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July 1998</w:t>
            </w:r>
          </w:p>
        </w:tc>
      </w:tr>
      <w:tr>
        <w:trPr>
          <w:trHeight w:val="810"/>
        </w:trPr>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Courier New" w:cs="Courier New" w:eastAsia="Courier New" w:hAnsi="Courier New"/>
                <w:sz w:val="18"/>
                <w:szCs w:val="18"/>
                <w:color w:val="auto"/>
              </w:rPr>
              <w:t>-29-</w:t>
            </w:r>
          </w:p>
        </w:tc>
        <w:tc>
          <w:tcPr>
            <w:tcW w:w="162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sectPr>
      </w:pPr>
    </w:p>
    <w:bookmarkStart w:id="29" w:name="page30"/>
    <w:bookmarkEnd w:id="29"/>
    <w:p>
      <w:pPr>
        <w:ind w:right="2199" w:firstLine="527"/>
        <w:spacing w:after="0" w:line="236" w:lineRule="auto"/>
        <w:rPr>
          <w:sz w:val="20"/>
          <w:szCs w:val="20"/>
          <w:color w:val="auto"/>
        </w:rPr>
      </w:pPr>
      <w:r>
        <w:rPr>
          <w:rFonts w:ascii="Courier New" w:cs="Courier New" w:eastAsia="Courier New" w:hAnsi="Courier New"/>
          <w:sz w:val="18"/>
          <w:szCs w:val="18"/>
          <w:color w:val="auto"/>
        </w:rPr>
        <w:t>In accordance with the terms of the interest rate swap agreements, the effective interest rate on $200 million of the 10 7/8% Notes was adjusted on April 15, 1995, to 11.26%.</w:t>
      </w: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During first quarter 1995, Promus entered into six additional interest rate swap agreements to effectively convert a total of $300 million in variable rate debt to a fixed rate. All six swaps, which are summarized in the following table, reset on a quarterly basis.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320" w:type="dxa"/>
            <w:vAlign w:val="bottom"/>
          </w:tcPr>
          <w:p>
            <w:pPr>
              <w:ind w:left="220"/>
              <w:spacing w:after="0"/>
              <w:rPr>
                <w:sz w:val="20"/>
                <w:szCs w:val="20"/>
                <w:color w:val="auto"/>
              </w:rPr>
            </w:pPr>
            <w:r>
              <w:rPr>
                <w:rFonts w:ascii="Courier New" w:cs="Courier New" w:eastAsia="Courier New" w:hAnsi="Courier New"/>
                <w:sz w:val="18"/>
                <w:szCs w:val="18"/>
                <w:color w:val="auto"/>
              </w:rPr>
              <w:t>Effective Rate</w:t>
            </w:r>
          </w:p>
        </w:tc>
        <w:tc>
          <w:tcPr>
            <w:tcW w:w="138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Swap Rate</w:t>
            </w:r>
          </w:p>
        </w:tc>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on Associated</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Swap</w:t>
            </w:r>
          </w:p>
        </w:tc>
      </w:tr>
      <w:tr>
        <w:trPr>
          <w:trHeight w:val="203"/>
        </w:trPr>
        <w:tc>
          <w:tcPr>
            <w:tcW w:w="2700" w:type="dxa"/>
            <w:vAlign w:val="bottom"/>
            <w:gridSpan w:val="2"/>
          </w:tcPr>
          <w:p>
            <w:pPr>
              <w:jc w:val="right"/>
              <w:ind w:right="1032"/>
              <w:spacing w:after="0" w:line="203" w:lineRule="exact"/>
              <w:rPr>
                <w:sz w:val="20"/>
                <w:szCs w:val="20"/>
                <w:color w:val="auto"/>
              </w:rPr>
            </w:pPr>
            <w:r>
              <w:rPr>
                <w:rFonts w:ascii="Courier New" w:cs="Courier New" w:eastAsia="Courier New" w:hAnsi="Courier New"/>
                <w:sz w:val="18"/>
                <w:szCs w:val="18"/>
                <w:color w:val="auto"/>
                <w:w w:val="96"/>
              </w:rPr>
              <w:t>Associated Debt</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Paid (Fixed)</w:t>
            </w:r>
          </w:p>
        </w:tc>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Debt at Inception</w:t>
            </w: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Maturity</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Revolving Credit</w:t>
            </w:r>
          </w:p>
        </w:tc>
        <w:tc>
          <w:tcPr>
            <w:tcW w:w="16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Facility</w:t>
            </w:r>
          </w:p>
        </w:tc>
        <w:tc>
          <w:tcPr>
            <w:tcW w:w="16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(Eurodollar plus 7/8%)</w:t>
            </w:r>
          </w:p>
        </w:tc>
        <w:tc>
          <w:tcPr>
            <w:tcW w:w="16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700" w:type="dxa"/>
            <w:vAlign w:val="bottom"/>
            <w:gridSpan w:val="2"/>
          </w:tcPr>
          <w:p>
            <w:pPr>
              <w:jc w:val="right"/>
              <w:ind w:right="1032"/>
              <w:spacing w:after="0" w:line="203" w:lineRule="exact"/>
              <w:rPr>
                <w:sz w:val="20"/>
                <w:szCs w:val="20"/>
                <w:color w:val="auto"/>
              </w:rPr>
            </w:pPr>
            <w:r>
              <w:rPr>
                <w:rFonts w:ascii="Courier New" w:cs="Courier New" w:eastAsia="Courier New" w:hAnsi="Courier New"/>
                <w:sz w:val="18"/>
                <w:szCs w:val="18"/>
                <w:color w:val="auto"/>
              </w:rPr>
              <w:t>$50 million</w:t>
            </w: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7.915%</w:t>
            </w:r>
          </w:p>
        </w:tc>
        <w:tc>
          <w:tcPr>
            <w:tcW w:w="23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8.790%</w:t>
            </w: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January 1998</w:t>
            </w:r>
          </w:p>
        </w:tc>
      </w:tr>
      <w:tr>
        <w:trPr>
          <w:trHeight w:val="203"/>
        </w:trPr>
        <w:tc>
          <w:tcPr>
            <w:tcW w:w="2700" w:type="dxa"/>
            <w:vAlign w:val="bottom"/>
            <w:gridSpan w:val="2"/>
          </w:tcPr>
          <w:p>
            <w:pPr>
              <w:jc w:val="right"/>
              <w:ind w:right="1032"/>
              <w:spacing w:after="0" w:line="203" w:lineRule="exact"/>
              <w:rPr>
                <w:sz w:val="20"/>
                <w:szCs w:val="20"/>
                <w:color w:val="auto"/>
              </w:rPr>
            </w:pPr>
            <w:r>
              <w:rPr>
                <w:rFonts w:ascii="Courier New" w:cs="Courier New" w:eastAsia="Courier New" w:hAnsi="Courier New"/>
                <w:sz w:val="18"/>
                <w:szCs w:val="18"/>
                <w:color w:val="auto"/>
              </w:rPr>
              <w:t>$50 million</w:t>
            </w: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7.914%</w:t>
            </w:r>
          </w:p>
        </w:tc>
        <w:tc>
          <w:tcPr>
            <w:tcW w:w="23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8.789%</w:t>
            </w: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January 1998</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c>
          <w:tcPr>
            <w:tcW w:w="190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million</w:t>
            </w: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7.910%</w:t>
            </w:r>
          </w:p>
        </w:tc>
        <w:tc>
          <w:tcPr>
            <w:tcW w:w="23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8.785%</w:t>
            </w: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January 1998</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c>
          <w:tcPr>
            <w:tcW w:w="190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million</w:t>
            </w: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7.863%</w:t>
            </w:r>
          </w:p>
        </w:tc>
        <w:tc>
          <w:tcPr>
            <w:tcW w:w="23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8.738%</w:t>
            </w: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July 1997</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c>
          <w:tcPr>
            <w:tcW w:w="190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million</w:t>
            </w: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6.990%</w:t>
            </w:r>
          </w:p>
        </w:tc>
        <w:tc>
          <w:tcPr>
            <w:tcW w:w="23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7.865%</w:t>
            </w: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March 2000</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c>
          <w:tcPr>
            <w:tcW w:w="190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million</w:t>
            </w: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6.985%</w:t>
            </w:r>
          </w:p>
        </w:tc>
        <w:tc>
          <w:tcPr>
            <w:tcW w:w="23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7.860%</w:t>
            </w:r>
          </w:p>
        </w:tc>
        <w:tc>
          <w:tcPr>
            <w:tcW w:w="1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March 2000</w:t>
            </w:r>
          </w:p>
        </w:tc>
      </w:tr>
    </w:tbl>
    <w:p>
      <w:pPr>
        <w:spacing w:after="0" w:line="200" w:lineRule="exact"/>
        <w:rPr>
          <w:sz w:val="20"/>
          <w:szCs w:val="20"/>
          <w:color w:val="auto"/>
        </w:rPr>
      </w:pP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Subsequent to March 31, 1995, Promus entered into an additional interest rate swap agreement to convert $50 million in variable rate debt to a fixed rate. Under the swap agreement, which matures May 2000, Promus pays an effective fixed rate of 7.401% and receives a variable rate which is currently 6.125%.</w:t>
      </w: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Promus also maintains interest rate protection, in the form of a rate collar transaction entered into in June 1990, on $140 million of its variable rate bank debt. The interest rate protection, which at March 31, 1995, held Promus' interest rate in a range between 8.7% and 11.9%, expires in June 1995 and is not expected to be renewed.</w:t>
      </w:r>
    </w:p>
    <w:p>
      <w:pPr>
        <w:spacing w:after="0" w:line="209" w:lineRule="exact"/>
        <w:rPr>
          <w:sz w:val="20"/>
          <w:szCs w:val="20"/>
          <w:color w:val="auto"/>
        </w:rPr>
      </w:pPr>
    </w:p>
    <w:p>
      <w:pPr>
        <w:ind w:right="2319" w:firstLine="527"/>
        <w:spacing w:after="0" w:line="270" w:lineRule="auto"/>
        <w:rPr>
          <w:sz w:val="20"/>
          <w:szCs w:val="20"/>
          <w:color w:val="auto"/>
        </w:rPr>
      </w:pPr>
      <w:r>
        <w:rPr>
          <w:rFonts w:ascii="Courier New" w:cs="Courier New" w:eastAsia="Courier New" w:hAnsi="Courier New"/>
          <w:sz w:val="16"/>
          <w:szCs w:val="16"/>
          <w:color w:val="auto"/>
        </w:rPr>
        <w:t>The differences to be paid or received under the terms of the interest rate swap agreements and the rate collar transaction described above are accrued as interest rates change and recognized as an adjustment to interest expense for the related debt. Changes in the effective interest rates to be paid by Promus pursuant to the terms of its interest rate agreements will have a corresponding effect on its future cash flows. These agreements contain a credit risk that the counterparties may be unable to meet the terms of the agreements. Promus minimizes that risk by evaluating the creditworthiness of its counterparties, which are limited to major banks and financial institutions, and does not anticipate nonperformance by the counterparties.</w:t>
      </w:r>
    </w:p>
    <w:p>
      <w:pPr>
        <w:spacing w:after="0" w:line="200" w:lineRule="exact"/>
        <w:rPr>
          <w:sz w:val="20"/>
          <w:szCs w:val="20"/>
          <w:color w:val="auto"/>
        </w:rPr>
      </w:pPr>
    </w:p>
    <w:p>
      <w:pPr>
        <w:spacing w:after="0" w:line="38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30" w:name="page31"/>
    <w:bookmarkEnd w:id="30"/>
    <w:p>
      <w:pPr>
        <w:ind w:right="2319" w:firstLine="527"/>
        <w:spacing w:after="0" w:line="270" w:lineRule="auto"/>
        <w:rPr>
          <w:sz w:val="20"/>
          <w:szCs w:val="20"/>
          <w:color w:val="auto"/>
        </w:rPr>
      </w:pPr>
      <w:r>
        <w:rPr>
          <w:rFonts w:ascii="Courier New" w:cs="Courier New" w:eastAsia="Courier New" w:hAnsi="Courier New"/>
          <w:sz w:val="16"/>
          <w:szCs w:val="16"/>
          <w:color w:val="auto"/>
        </w:rPr>
        <w:t>As a component of a transaction whereby Promus effectively secured an option to a site for a potential casino, Promus has guaranteed a third party's $25 million variable rate bank loan. Promus also entered into an interest rate swap agreement in which Promus receives a fixed interest rate of 7% from the third party and pays the variable interest rate of the subject debt (LIBOR plus 1% at March 31, 1995) to the bank. The negative value of the swap, which is marked to market by Promus, was approximately $0.4 million at March 31, 1995. Adjustments to the swap's market value are included in interest expense in the consolidated statements of income. Promus' guarantee and the swap agreement expire December 1, 1996, and are also subject to earlier termination upon the occurrence of certain events.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Shelf Registration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879" w:firstLine="421"/>
        <w:spacing w:after="0" w:line="268" w:lineRule="auto"/>
        <w:rPr>
          <w:sz w:val="20"/>
          <w:szCs w:val="20"/>
          <w:color w:val="auto"/>
        </w:rPr>
      </w:pPr>
      <w:r>
        <w:rPr>
          <w:rFonts w:ascii="Courier New" w:cs="Courier New" w:eastAsia="Courier New" w:hAnsi="Courier New"/>
          <w:sz w:val="16"/>
          <w:szCs w:val="16"/>
          <w:color w:val="auto"/>
        </w:rPr>
        <w:t>Promus, through its wholly-owned subsidiary Embassy Suites, Inc. (Embassy), has registered up to $200 million of new debt securities pursuant to a shelf registration declared effective by the Securities and Exchange Commission.</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terms and conditions of these debt securities, which will be unconditionally guaranteed by Promus, will be determined by market conditions at the time of issuance. The shelf registration expires in August 1995. In connection with the PHC Spin-off, the name of the Embassy legal entity will be changed to Harrah's Operating Company, Inc., which will remain a subsidiary of Harrah's Entertainment, Inc.</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During second quarter 1995, Promus announced its intention to redeem the approximately $18.1 million principal amount outstanding of the 11% Subordinated Debentures due 1999 of Embassy. The cost of this redemption is not material.</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 connection with the PHC Spin-off, on April 25, 1995, Promus commenced soliciting consents of the holders of $400 million of public debt issued by its principal subsidiary, Embassy. On May 11, 1995, Promus announced that it was extending the consent solicitations to May 18, 1995, and it was modifying the terms of the consent solicitations to increase the amount offered to be paid to each consenting holder from $2.50 per $1,000 principal amount to $12.50 per $1,000 principal amount.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INCOME TAX MATTERS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519" w:firstLine="421"/>
        <w:spacing w:after="0" w:line="235" w:lineRule="auto"/>
        <w:rPr>
          <w:sz w:val="20"/>
          <w:szCs w:val="20"/>
          <w:color w:val="auto"/>
        </w:rPr>
      </w:pPr>
      <w:r>
        <w:rPr>
          <w:rFonts w:ascii="Courier New" w:cs="Courier New" w:eastAsia="Courier New" w:hAnsi="Courier New"/>
          <w:sz w:val="18"/>
          <w:szCs w:val="18"/>
          <w:color w:val="auto"/>
        </w:rPr>
        <w:t>Under the terms of the Settlement between Promus and Bass PLC (Bass), the Tax Sharing Agreement entered into in connection with the</w:t>
      </w:r>
    </w:p>
    <w:p>
      <w:pPr>
        <w:spacing w:after="0" w:line="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February 7, 1990, spin-off (the 1990 Spin-off) of the stock of Promus to stockholders of Holiday Corporation has been terminated. Under the Tax Sharing Agreement, Promus was liable, with certain exceptions, for taxes of Holiday and its subsidiaries for all pre-1990 Spin-off tax periods. Bass was obligated under the same agreement to pay Promus the amount of any tax benefits realized from pre-1990 Spin-off tax periods of Holiday and its subsidiaries. Under the provisions of the Settlement, Promus remains obligated for certain tax issues related to Promus and its subsidiaries for the pre-Spin-off tax periods and certain other items related to the final resolution of disputed issues from the Internal Revenue Service (IRS) examination of income tax returns for 1987 through the 1990 Spin-off date. A protest defending the taxpayers' position on all disputed issues for these periods was filed with the IRS during third quarter 1993 and negotiations to resolve these issues continue. Final resolution of the disputed issues is not expected to have a material adverse effect on Promus' consolidated financial position or its results of operations.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EFFECTS OF CURRENT ECONOMIC AND POLITICAL CONDITIONS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319" w:firstLine="421"/>
        <w:spacing w:after="0" w:line="238" w:lineRule="auto"/>
        <w:rPr>
          <w:sz w:val="20"/>
          <w:szCs w:val="20"/>
          <w:color w:val="auto"/>
        </w:rPr>
      </w:pPr>
      <w:r>
        <w:rPr>
          <w:rFonts w:ascii="Courier New" w:cs="Courier New" w:eastAsia="Courier New" w:hAnsi="Courier New"/>
          <w:sz w:val="18"/>
          <w:szCs w:val="18"/>
          <w:color w:val="auto"/>
        </w:rPr>
        <w:t>In recent years, the casino entertainment industry in the United States has experienced significant expansion in both existing markets and new jurisdictions. Though expansion is continuing within the industry, the pace of casino gaming approval within new jurisdictions in the United States has subsided and, as a result, future increases or decreases in gaming demand and legalization are difficult to predict. Three large properties opened in late 1993 in the Las Vegas market, and development has begun on several new projects and major expansions of existing properties in and around Las Vegas. Revenues in the Laughlin market continue to be impacted by the recently completed additions to competitive supply in and around Las Vegas and from Indian casinos in the region. In Reno, work continues on the development of a major new project which is expected to add substantial additional casino space and hotel rooms to that market during third quarter 1995.</w:t>
      </w:r>
    </w:p>
    <w:p>
      <w:pPr>
        <w:spacing w:after="0" w:line="208"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In addition, certain new jurisdictions have restrictions on entry into the market, either through limitations on number of licenses granted or required minimum initial capital investment, which serve to limit capacity as well as to limit competition within those jurisdictions. In other jurisdictions, such as Mississippi, there are no constraints on market entry, which has created over capacity in the market. In such markets, operating performance may suffer due to oversupply and as competing casinos</w:t>
      </w:r>
    </w:p>
    <w:p>
      <w:pPr>
        <w:spacing w:after="0" w:line="38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17" w:right="1440" w:bottom="1440" w:gutter="0" w:footer="0" w:header="0"/>
        </w:sectPr>
      </w:pPr>
    </w:p>
    <w:bookmarkStart w:id="32" w:name="page33"/>
    <w:bookmarkEnd w:id="32"/>
    <w:p>
      <w:pPr>
        <w:ind w:right="2419"/>
        <w:spacing w:after="0" w:line="273" w:lineRule="auto"/>
        <w:rPr>
          <w:sz w:val="20"/>
          <w:szCs w:val="20"/>
          <w:color w:val="auto"/>
        </w:rPr>
      </w:pPr>
      <w:r>
        <w:rPr>
          <w:rFonts w:ascii="Courier New" w:cs="Courier New" w:eastAsia="Courier New" w:hAnsi="Courier New"/>
          <w:sz w:val="16"/>
          <w:szCs w:val="16"/>
          <w:color w:val="auto"/>
        </w:rPr>
        <w:t>engage in high cost marketing and promotional activities that increase costs for all market participants. The proliferation of casino gaming has also been furthered by the Indian Gaming Regulatory Act of 1988 which, as of April 24, 1995, had resulted in the approval of 131 compacts for the development of casinos on Native American lands in 23 states.</w:t>
      </w:r>
    </w:p>
    <w:p>
      <w:pPr>
        <w:spacing w:after="0" w:line="185" w:lineRule="exact"/>
        <w:rPr>
          <w:sz w:val="20"/>
          <w:szCs w:val="20"/>
          <w:color w:val="auto"/>
        </w:rPr>
      </w:pPr>
    </w:p>
    <w:p>
      <w:pPr>
        <w:ind w:right="2319" w:firstLine="421"/>
        <w:spacing w:after="0" w:line="271" w:lineRule="auto"/>
        <w:rPr>
          <w:sz w:val="20"/>
          <w:szCs w:val="20"/>
          <w:color w:val="auto"/>
        </w:rPr>
      </w:pPr>
      <w:r>
        <w:rPr>
          <w:rFonts w:ascii="Courier New" w:cs="Courier New" w:eastAsia="Courier New" w:hAnsi="Courier New"/>
          <w:sz w:val="16"/>
          <w:szCs w:val="16"/>
          <w:color w:val="auto"/>
        </w:rPr>
        <w:t>Promus is not able to determine the long-term impact, whether favorable or unfavorable, that these developments will have on the markets in which it currently operates. However, management believes that the current balance of its operations among the existing casino entertainment divisions as discussed above, combined with the further geographic diversification and the continuing pursuit of the Harrah's national brand strategy, have well-positioned Promus to face the challenges presented by these developments and help to reduce the potentially negative impact these new developments may have on Promus' overall operations.</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INTERCOMPANY DIVIDEND RESTRICTION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Agreements governing the terms of its debt require Promus to abide by covenants which, among other things, limit Embassy's ability to pay dividends and make other restricted payments, as defined, to Promus. The amount of Embassy's restricted net assets, as defined, computed in accordance with the most restrictive of these covenants regarding restricted payments, was approximately $657.6 million at March 31, 1995. Promus' principal asset is the stock of Embassy, a wholly-owned subsidiary. Embassy holds, directly and through subsidiaries, the principal assets of Promus' businesses. Given this ownership structure, these restrictions should not impair Promus' ability to conduct its business through its subsidiaries or to pursue its development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33" w:name="page34"/>
    <w:bookmarkEnd w:id="33"/>
    <w:p>
      <w:pPr>
        <w:ind w:left="2540"/>
        <w:spacing w:after="0"/>
        <w:rPr>
          <w:sz w:val="20"/>
          <w:szCs w:val="20"/>
          <w:color w:val="auto"/>
        </w:rPr>
      </w:pPr>
      <w:r>
        <w:rPr>
          <w:rFonts w:ascii="Courier New" w:cs="Courier New" w:eastAsia="Courier New" w:hAnsi="Courier New"/>
          <w:sz w:val="18"/>
          <w:szCs w:val="18"/>
          <w:color w:val="auto"/>
        </w:rPr>
        <w:t>PART II - OTHER INFORMATION</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640"/>
        <w:spacing w:after="0"/>
        <w:tabs>
          <w:tab w:leader="none" w:pos="35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Bass Public Limited Company, Bass International Holdings N.V., Bass (U.S.A.) Incorporated, Holiday Corporation and Holiday Inns, Inc. (collectively "Bass") v. The Promus Companies Incorporated ("Promus"). A complaint was filed in the United States District Court for the Southern District of New York against Promus on February 6, 1992, under Civil Action No. 92 Civ. 0969 (SWK). On March 17, 1995, the Company and Bass signed a settlement agreement (the "Settlement") that settled all claims and counterclaims in this litigation (including the resolution of certain tax issues). The Settlement was approved by the court on March 22, 1995. As a result of the Settlement, $53.4 million was charged against the Company's 1994 earnings, including $4.3 million for legal fees previously reported in corporate expense.</w:t>
      </w:r>
    </w:p>
    <w:p>
      <w:pPr>
        <w:spacing w:after="0" w:line="207" w:lineRule="exact"/>
        <w:rPr>
          <w:sz w:val="20"/>
          <w:szCs w:val="20"/>
          <w:color w:val="auto"/>
        </w:rPr>
      </w:pPr>
    </w:p>
    <w:p>
      <w:pPr>
        <w:ind w:right="2319" w:firstLine="527"/>
        <w:spacing w:after="0" w:line="268" w:lineRule="auto"/>
        <w:rPr>
          <w:sz w:val="20"/>
          <w:szCs w:val="20"/>
          <w:color w:val="auto"/>
        </w:rPr>
      </w:pPr>
      <w:r>
        <w:rPr>
          <w:rFonts w:ascii="Courier New" w:cs="Courier New" w:eastAsia="Courier New" w:hAnsi="Courier New"/>
          <w:sz w:val="16"/>
          <w:szCs w:val="16"/>
          <w:color w:val="auto"/>
        </w:rPr>
        <w:t>Certain tax matters. In connection with the 1990 spin-off (the "1990 Spin-off") of Promus and acquisition of the Holiday Inn hotel business by Bass, Promus was liable, with certain exceptions, for taxes of Holiday Corporation and its subsidiaries for all pre-1990 Spin-off tax periods. Bass was obligated under the terms of a tax sharing agreement to pay Promus the amount of any tax benefits realized by Holiday Corporation as a result of adjustments to pre-1990 Spin-off tax periods of Holiday Corporation and its subsidiaries. All examinations for tax years prior to 1987 have been completed and any taxes and related interest regarding those years have been paid. A protest of all unagreed issues for the IRS examination of</w:t>
      </w:r>
    </w:p>
    <w:p>
      <w:pPr>
        <w:spacing w:after="0" w:line="2"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1987 through the 1990 Spin-off date was filed with the IRS during the third quarter of 1993 and negotiations to resolve disputed issues continue.</w:t>
      </w:r>
    </w:p>
    <w:p>
      <w:pPr>
        <w:spacing w:after="0" w:line="170"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Under the terms of the Settlement, the tax sharing agreement has been terminated. Pursuant to the Settlement Agreement, and as a result of a payment by Promus thereunder, Bass has assumed exclusive liability for substantially all of the unagreed issues for the IRS examination of the 1987 through February 7, 1990 period. The remaining unagreed tax issues (which were not assumed by Bass pursuant to the Settlement Agreement) are expected to result in a refund to Promus of previously paid taxes or are expected to have no material adverse effect on Promus's consolidated financial position or its results of operations.</w:t>
      </w:r>
    </w:p>
    <w:p>
      <w:pPr>
        <w:spacing w:after="0" w:line="200" w:lineRule="exact"/>
        <w:rPr>
          <w:sz w:val="20"/>
          <w:szCs w:val="20"/>
          <w:color w:val="auto"/>
        </w:r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919" w:right="1440" w:bottom="1440" w:gutter="0" w:footer="0" w:header="0"/>
        </w:sectPr>
      </w:pPr>
    </w:p>
    <w:bookmarkStart w:id="34" w:name="page35"/>
    <w:bookmarkEnd w:id="34"/>
    <w:p>
      <w:pPr>
        <w:ind w:left="1800"/>
        <w:spacing w:after="0"/>
        <w:tabs>
          <w:tab w:leader="none" w:pos="272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1580" w:right="2839" w:hanging="105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*EX-3Bylaws of The Promus Companies Incorporated, as amended April 5, 1995.</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*EX-11</w:t>
      </w:r>
      <w:r>
        <w:rPr>
          <w:rFonts w:ascii="Courier New" w:cs="Courier New" w:eastAsia="Courier New" w:hAnsi="Courier New"/>
          <w:sz w:val="16"/>
          <w:szCs w:val="16"/>
          <w:color w:val="auto"/>
        </w:rPr>
        <w:t>Computation of per share earnings.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*EX-27</w:t>
      </w:r>
      <w:r>
        <w:rPr>
          <w:rFonts w:ascii="Courier New" w:cs="Courier New" w:eastAsia="Courier New" w:hAnsi="Courier New"/>
          <w:sz w:val="16"/>
          <w:szCs w:val="16"/>
          <w:color w:val="auto"/>
        </w:rPr>
        <w:t>Financial Data Schedule.</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40" w:right="2519" w:hanging="532"/>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reports on Form 8-K were filed during the quarter ended March 31, 1995.</w:t>
      </w:r>
    </w:p>
    <w:p>
      <w:pPr>
        <w:spacing w:after="0" w:line="200" w:lineRule="exact"/>
        <w:rPr>
          <w:sz w:val="20"/>
          <w:szCs w:val="20"/>
          <w:color w:val="auto"/>
        </w:rPr>
      </w:pPr>
    </w:p>
    <w:p>
      <w:pPr>
        <w:spacing w:after="0" w:line="20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919" w:right="1440" w:bottom="1440" w:gutter="0" w:footer="0" w:header="0"/>
        </w:sectPr>
      </w:pPr>
    </w:p>
    <w:bookmarkStart w:id="35" w:name="page36"/>
    <w:bookmarkEnd w:id="35"/>
    <w:p>
      <w:pPr>
        <w:ind w:left="3480"/>
        <w:spacing w:after="0"/>
        <w:rPr>
          <w:sz w:val="20"/>
          <w:szCs w:val="20"/>
          <w:color w:val="auto"/>
        </w:rPr>
      </w:pPr>
      <w:r>
        <w:rPr>
          <w:rFonts w:ascii="Courier New" w:cs="Courier New" w:eastAsia="Courier New" w:hAnsi="Courier New"/>
          <w:sz w:val="18"/>
          <w:szCs w:val="18"/>
          <w:color w:val="auto"/>
        </w:rPr>
        <w:t>Signature</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THE PROMUS</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w w:val="96"/>
              </w:rPr>
              <w:t>COMPANIES INCORPORATED</w:t>
            </w:r>
          </w:p>
        </w:tc>
      </w:tr>
      <w:tr>
        <w:trPr>
          <w:trHeight w:val="608"/>
        </w:trPr>
        <w:tc>
          <w:tcPr>
            <w:tcW w:w="1960" w:type="dxa"/>
            <w:vAlign w:val="bottom"/>
          </w:tcPr>
          <w:p>
            <w:pPr>
              <w:spacing w:after="0"/>
              <w:rPr>
                <w:sz w:val="20"/>
                <w:szCs w:val="20"/>
                <w:color w:val="auto"/>
              </w:rPr>
            </w:pPr>
            <w:r>
              <w:rPr>
                <w:rFonts w:ascii="Courier New" w:cs="Courier New" w:eastAsia="Courier New" w:hAnsi="Courier New"/>
                <w:sz w:val="18"/>
                <w:szCs w:val="18"/>
                <w:color w:val="auto"/>
              </w:rPr>
              <w:t>May 15, 1995</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BY:  MICHAEL 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REGAN</w:t>
            </w:r>
          </w:p>
        </w:tc>
      </w:tr>
    </w:tbl>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Michael N. Regan</w:t>
      </w:r>
    </w:p>
    <w:p>
      <w:pPr>
        <w:ind w:left="3160"/>
        <w:spacing w:after="0" w:line="237" w:lineRule="auto"/>
        <w:rPr>
          <w:sz w:val="20"/>
          <w:szCs w:val="20"/>
          <w:color w:val="auto"/>
        </w:rPr>
      </w:pPr>
      <w:r>
        <w:rPr>
          <w:rFonts w:ascii="Courier New" w:cs="Courier New" w:eastAsia="Courier New" w:hAnsi="Courier New"/>
          <w:sz w:val="18"/>
          <w:szCs w:val="18"/>
          <w:color w:val="auto"/>
        </w:rPr>
        <w:t>Vice President and Controller</w:t>
      </w:r>
    </w:p>
    <w:p>
      <w:pPr>
        <w:ind w:left="3160"/>
        <w:spacing w:after="0" w:line="238" w:lineRule="auto"/>
        <w:rPr>
          <w:sz w:val="20"/>
          <w:szCs w:val="20"/>
          <w:color w:val="auto"/>
        </w:rPr>
      </w:pPr>
      <w:r>
        <w:rPr>
          <w:rFonts w:ascii="Courier New" w:cs="Courier New" w:eastAsia="Courier New" w:hAnsi="Courier New"/>
          <w:sz w:val="18"/>
          <w:szCs w:val="18"/>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919" w:right="1440" w:bottom="1440" w:gutter="0" w:footer="0" w:header="0"/>
        </w:sectPr>
      </w:pPr>
    </w:p>
    <w:bookmarkStart w:id="36" w:name="page37"/>
    <w:bookmarkEnd w:id="36"/>
    <w:p>
      <w:pPr>
        <w:ind w:left="3280"/>
        <w:spacing w:after="0"/>
        <w:rPr>
          <w:sz w:val="20"/>
          <w:szCs w:val="20"/>
          <w:color w:val="auto"/>
        </w:rPr>
      </w:pPr>
      <w:r>
        <w:rPr>
          <w:rFonts w:ascii="Courier New" w:cs="Courier New" w:eastAsia="Courier New" w:hAnsi="Courier New"/>
          <w:sz w:val="18"/>
          <w:szCs w:val="18"/>
          <w:color w:val="auto"/>
        </w:rPr>
        <w:t>Exhibit Index</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1100" w:type="dxa"/>
            <w:vAlign w:val="bottom"/>
          </w:tcPr>
          <w:p>
            <w:pPr>
              <w:spacing w:after="0"/>
              <w:rPr>
                <w:sz w:val="17"/>
                <w:szCs w:val="17"/>
                <w:color w:val="auto"/>
              </w:rPr>
            </w:pPr>
          </w:p>
        </w:tc>
        <w:tc>
          <w:tcPr>
            <w:tcW w:w="2960" w:type="dxa"/>
            <w:vAlign w:val="bottom"/>
          </w:tcPr>
          <w:p>
            <w:pPr>
              <w:ind w:left="60"/>
              <w:spacing w:after="0"/>
              <w:rPr>
                <w:sz w:val="20"/>
                <w:szCs w:val="20"/>
                <w:color w:val="auto"/>
              </w:rPr>
            </w:pPr>
            <w:r>
              <w:rPr>
                <w:rFonts w:ascii="Courier New" w:cs="Courier New" w:eastAsia="Courier New" w:hAnsi="Courier New"/>
                <w:sz w:val="18"/>
                <w:szCs w:val="18"/>
                <w:color w:val="auto"/>
              </w:rPr>
              <w:t>Description</w:t>
            </w:r>
          </w:p>
        </w:tc>
        <w:tc>
          <w:tcPr>
            <w:tcW w:w="2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Sequential Page</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No.</w:t>
            </w:r>
          </w:p>
        </w:tc>
        <w:tc>
          <w:tcPr>
            <w:tcW w:w="11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100" w:type="dxa"/>
            <w:vAlign w:val="bottom"/>
          </w:tcPr>
          <w:p>
            <w:pPr>
              <w:spacing w:after="0"/>
              <w:rPr>
                <w:sz w:val="17"/>
                <w:szCs w:val="17"/>
                <w:color w:val="auto"/>
              </w:rPr>
            </w:pPr>
          </w:p>
        </w:tc>
        <w:tc>
          <w:tcPr>
            <w:tcW w:w="29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*EX-3</w:t>
            </w: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Bylaws of</w:t>
            </w:r>
          </w:p>
        </w:tc>
        <w:tc>
          <w:tcPr>
            <w:tcW w:w="2960" w:type="dxa"/>
            <w:vAlign w:val="bottom"/>
          </w:tcPr>
          <w:p>
            <w:pPr>
              <w:ind w:left="60"/>
              <w:spacing w:after="0"/>
              <w:rPr>
                <w:sz w:val="20"/>
                <w:szCs w:val="20"/>
                <w:color w:val="auto"/>
              </w:rPr>
            </w:pPr>
            <w:r>
              <w:rPr>
                <w:rFonts w:ascii="Courier New" w:cs="Courier New" w:eastAsia="Courier New" w:hAnsi="Courier New"/>
                <w:sz w:val="18"/>
                <w:szCs w:val="18"/>
                <w:color w:val="auto"/>
              </w:rPr>
              <w:t>The Promus Companies</w:t>
            </w:r>
          </w:p>
        </w:tc>
        <w:tc>
          <w:tcPr>
            <w:tcW w:w="226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38</w:t>
            </w:r>
          </w:p>
        </w:tc>
      </w:tr>
      <w:tr>
        <w:trPr>
          <w:trHeight w:val="203"/>
        </w:trPr>
        <w:tc>
          <w:tcPr>
            <w:tcW w:w="1480" w:type="dxa"/>
            <w:vAlign w:val="bottom"/>
          </w:tcPr>
          <w:p>
            <w:pPr>
              <w:spacing w:after="0"/>
              <w:rPr>
                <w:sz w:val="17"/>
                <w:szCs w:val="17"/>
                <w:color w:val="auto"/>
              </w:rPr>
            </w:pPr>
          </w:p>
        </w:tc>
        <w:tc>
          <w:tcPr>
            <w:tcW w:w="4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Incorporated, as amended April 5,</w:t>
            </w:r>
          </w:p>
        </w:tc>
        <w:tc>
          <w:tcPr>
            <w:tcW w:w="226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1995.</w:t>
            </w:r>
          </w:p>
        </w:tc>
        <w:tc>
          <w:tcPr>
            <w:tcW w:w="29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*EX-11</w:t>
            </w:r>
          </w:p>
        </w:tc>
        <w:tc>
          <w:tcPr>
            <w:tcW w:w="40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Computation of per share earnings.</w:t>
            </w:r>
          </w:p>
        </w:tc>
        <w:tc>
          <w:tcPr>
            <w:tcW w:w="226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49</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*EX-27</w:t>
            </w:r>
          </w:p>
        </w:tc>
        <w:tc>
          <w:tcPr>
            <w:tcW w:w="1100" w:type="dxa"/>
            <w:vAlign w:val="bottom"/>
          </w:tcPr>
          <w:p>
            <w:pPr>
              <w:ind w:left="100"/>
              <w:spacing w:after="0"/>
              <w:rPr>
                <w:sz w:val="20"/>
                <w:szCs w:val="20"/>
                <w:color w:val="auto"/>
              </w:rPr>
            </w:pPr>
            <w:r>
              <w:rPr>
                <w:rFonts w:ascii="Courier New" w:cs="Courier New" w:eastAsia="Courier New" w:hAnsi="Courier New"/>
                <w:sz w:val="18"/>
                <w:szCs w:val="18"/>
                <w:color w:val="auto"/>
              </w:rPr>
              <w:t>Financial</w:t>
            </w:r>
          </w:p>
        </w:tc>
        <w:tc>
          <w:tcPr>
            <w:tcW w:w="2960" w:type="dxa"/>
            <w:vAlign w:val="bottom"/>
          </w:tcPr>
          <w:p>
            <w:pPr>
              <w:ind w:left="60"/>
              <w:spacing w:after="0"/>
              <w:rPr>
                <w:sz w:val="20"/>
                <w:szCs w:val="20"/>
                <w:color w:val="auto"/>
              </w:rPr>
            </w:pPr>
            <w:r>
              <w:rPr>
                <w:rFonts w:ascii="Courier New" w:cs="Courier New" w:eastAsia="Courier New" w:hAnsi="Courier New"/>
                <w:sz w:val="18"/>
                <w:szCs w:val="18"/>
                <w:color w:val="auto"/>
              </w:rPr>
              <w:t>Data Schedule.</w:t>
            </w:r>
          </w:p>
        </w:tc>
        <w:tc>
          <w:tcPr>
            <w:tcW w:w="226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50</w:t>
            </w:r>
          </w:p>
        </w:tc>
      </w:tr>
    </w:tbl>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919" w:right="1440" w:bottom="1440" w:gutter="0" w:footer="0" w:header="0"/>
        </w:sectPr>
      </w:pPr>
    </w:p>
    <w:bookmarkStart w:id="37" w:name="page38"/>
    <w:bookmarkEnd w:id="37"/>
    <w:p>
      <w:pPr>
        <w:ind w:left="6860"/>
        <w:spacing w:after="0"/>
        <w:rPr>
          <w:sz w:val="20"/>
          <w:szCs w:val="20"/>
          <w:color w:val="auto"/>
        </w:rPr>
      </w:pPr>
      <w:r>
        <w:rPr>
          <w:rFonts w:ascii="Courier New" w:cs="Courier New" w:eastAsia="Courier New" w:hAnsi="Courier New"/>
          <w:sz w:val="18"/>
          <w:szCs w:val="18"/>
          <w:color w:val="auto"/>
        </w:rPr>
        <w:t>EX-3</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BYLAWS</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THE PROMUS COMPANIES INCORPORATED</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(Amended April 5, 1995)</w:t>
      </w:r>
    </w:p>
    <w:p>
      <w:pPr>
        <w:spacing w:after="0" w:line="200" w:lineRule="exact"/>
        <w:rPr>
          <w:sz w:val="20"/>
          <w:szCs w:val="20"/>
          <w:color w:val="auto"/>
        </w:rPr>
      </w:pPr>
    </w:p>
    <w:p>
      <w:pPr>
        <w:spacing w:after="0" w:line="204"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OFFICES</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SECTION 1. Registered Office. The registered office of The Promus Companies Incorporated (the "Corporation") shall be at The Corporation Trust Center, 1209 Orange Street, in the City of Wilmington, County of New Castle, State of Delaware.</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SECTION 2. Other Offices. The Corporation may also have offices at such other places both within and without the State of Delaware as the Board of Directors of the Corporation (the "Board of Directors") may from time to time determine.</w:t>
      </w:r>
    </w:p>
    <w:p>
      <w:pPr>
        <w:spacing w:after="0" w:line="200" w:lineRule="exact"/>
        <w:rPr>
          <w:sz w:val="20"/>
          <w:szCs w:val="20"/>
          <w:color w:val="auto"/>
        </w:rPr>
      </w:pPr>
    </w:p>
    <w:p>
      <w:pPr>
        <w:spacing w:after="0" w:line="204"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MEETINGS OF STOCKHOLDERS</w:t>
      </w:r>
    </w:p>
    <w:p>
      <w:pPr>
        <w:spacing w:after="0" w:line="207" w:lineRule="exact"/>
        <w:rPr>
          <w:sz w:val="20"/>
          <w:szCs w:val="20"/>
          <w:color w:val="auto"/>
        </w:rPr>
      </w:pPr>
    </w:p>
    <w:p>
      <w:pPr>
        <w:ind w:right="2519" w:firstLine="527"/>
        <w:spacing w:after="0" w:line="273" w:lineRule="auto"/>
        <w:rPr>
          <w:sz w:val="20"/>
          <w:szCs w:val="20"/>
          <w:color w:val="auto"/>
        </w:rPr>
      </w:pPr>
      <w:r>
        <w:rPr>
          <w:rFonts w:ascii="Courier New" w:cs="Courier New" w:eastAsia="Courier New" w:hAnsi="Courier New"/>
          <w:sz w:val="16"/>
          <w:szCs w:val="16"/>
          <w:color w:val="auto"/>
        </w:rPr>
        <w:t>SECTION 1. Place of Meetings. Meetings of the stockholders for the election of directors or for any other purpose shall be held at such time and place, either within or without the State of Delaware as shall be designated from time to time by the Board of Directors and stated in the notice of the meeting or in a duly executed waiver of notice thereof.</w:t>
      </w:r>
    </w:p>
    <w:p>
      <w:pPr>
        <w:spacing w:after="0" w:line="185"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2. Annual Meetings. The annual meeting of stockholders shall be held on the first Friday in May in each year or on such other date and at such time as may be fixed by the Board of Directors and stated in the notice of the meeting, for the purpose of electing directors and for the transaction of only such other business as is properly brought before the meeting in accordance with these Bylaws.</w:t>
      </w:r>
    </w:p>
    <w:p>
      <w:pPr>
        <w:spacing w:after="0" w:line="210"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Written notice of an annual meeting stating the place, date and hour of the meeting, shall be given to each stockholder entitled to vote at such meeting not less than ten nor more than sixty days before the date of the meeting.</w:t>
      </w:r>
    </w:p>
    <w:p>
      <w:pPr>
        <w:spacing w:after="0" w:line="207" w:lineRule="exact"/>
        <w:rPr>
          <w:sz w:val="20"/>
          <w:szCs w:val="20"/>
          <w:color w:val="auto"/>
        </w:rPr>
      </w:pPr>
    </w:p>
    <w:p>
      <w:pPr>
        <w:ind w:right="2419" w:firstLine="527"/>
        <w:spacing w:after="0" w:line="279" w:lineRule="auto"/>
        <w:rPr>
          <w:sz w:val="20"/>
          <w:szCs w:val="20"/>
          <w:color w:val="auto"/>
        </w:rPr>
      </w:pPr>
      <w:r>
        <w:rPr>
          <w:rFonts w:ascii="Courier New" w:cs="Courier New" w:eastAsia="Courier New" w:hAnsi="Courier New"/>
          <w:sz w:val="16"/>
          <w:szCs w:val="16"/>
          <w:color w:val="auto"/>
        </w:rPr>
        <w:t>To be properly brought before the annual meeting, business must be either (i) specified in the notice of annual meeting (or any supplement or amendment thereto) given by or at the direction of the Board of Directors,</w:t>
      </w:r>
    </w:p>
    <w:p>
      <w:pPr>
        <w:spacing w:after="0" w:line="37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319" w:firstLine="8"/>
        <w:spacing w:after="0" w:line="269" w:lineRule="auto"/>
        <w:tabs>
          <w:tab w:leader="none" w:pos="5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otherwise brought before the annual meeting by or at the direction of the Board of Directors, or (iii) otherwise properly brought before the annual meeting by a stockholder. In addition to any other applicable requirements, 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offices of the Corporation not less than sixty (60) days nor more than ninety (90) days prior to the meeting, provided, however, that in the event that less than seventy (70) days notice or prior public disclosure of the date of the annual meeting is given or made to stockholders, notice by a stockholder, to be timely, must be received no later than the close of business on the tenth (10th) day following the day on which such notice of the date of the annual meeting was mailed or such public disclosure was made, whichever first occurs. A stockholder's notice to the Secretary shall set forth (a) as to each matter the stockholder proposes to bring before the annual meeting (i) a brief description of the business desired to be brought before the annual meeting and the reasons for conducting such business at the annual meeting, and (ii) any material interest of the</w:t>
      </w:r>
    </w:p>
    <w:p>
      <w:pPr>
        <w:sectPr>
          <w:pgSz w:w="11900" w:h="16838" w:orient="portrait"/>
          <w:cols w:equalWidth="0" w:num="1">
            <w:col w:w="10219"/>
          </w:cols>
          <w:pgMar w:left="240" w:top="339" w:right="1440" w:bottom="0" w:gutter="0" w:footer="0" w:header="0"/>
        </w:sectPr>
      </w:pPr>
    </w:p>
    <w:bookmarkStart w:id="38" w:name="page39"/>
    <w:bookmarkEnd w:id="38"/>
    <w:p>
      <w:pPr>
        <w:ind w:right="2419"/>
        <w:spacing w:after="0" w:line="238" w:lineRule="auto"/>
        <w:rPr>
          <w:sz w:val="20"/>
          <w:szCs w:val="20"/>
          <w:color w:val="auto"/>
        </w:rPr>
      </w:pPr>
      <w:r>
        <w:rPr>
          <w:rFonts w:ascii="Courier New" w:cs="Courier New" w:eastAsia="Courier New" w:hAnsi="Courier New"/>
          <w:sz w:val="18"/>
          <w:szCs w:val="18"/>
          <w:color w:val="auto"/>
        </w:rPr>
        <w:t>stockholder in such business, and (b) as to the stockholder giving the notice (i) the name and record address of the stockholder and (ii) the class, series and number of shares of capital stock of the Corporation which are beneficially owned by the stockholder. Notwithstanding anything in these Bylaws to the contrary, no business shall be conducted at the annual meeting except in accordance with the procedures set forth in this Article II, Section 2. The officer of the Corporation presiding at an annual meeting shall, if the facts warrant, determine and declare to the annual meeting that business was not properly brought before the annual meeting in accordance with the provisions of this Article II, Section 2, and if such officer should so determine, such officer shall so declare to the annual meeting and any such business not properly brought before the meeting shall not be transacted.</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SECTION 3. Special Meetings. Unless otherwise prescribed by law or by the Certificate of Incorporation, special meetings of stockholders, for any purpose or purposes, may only be called by a majority of the entire Board of Directors or by the Chairman or the President.</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Written notice of a special meeting stating the place, date and hour of the meeting, shall be given to each stockholder entitled to vote at such meeting not less than ten nor more than sixty days before the date of the meeting.</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4. Quorum. Except as otherwise provided by law or by the Certificate of Incorporation, the holders of a majority of the capital stock issued and outstanding and entitled to vote thereat, present in person or represented by proxy, shall constitute a quorum at all meetings of the stockholders for the transaction of business. If, however, such quorum shall not be present or represented at any meeting of the stockholders, the holders of a majority of the votes entitled to be cast by the stockholders entitled to vote thereat, present in person or represented by proxy may adjourn the meeting from time to time, without notice other than announcement at the meeting, until a quorum shall be present or represented by proxy. At such</w:t>
      </w:r>
    </w:p>
    <w:p>
      <w:pPr>
        <w:spacing w:after="0" w:line="200" w:lineRule="exact"/>
        <w:rPr>
          <w:sz w:val="20"/>
          <w:szCs w:val="20"/>
          <w:color w:val="auto"/>
        </w:rPr>
      </w:pPr>
    </w:p>
    <w:p>
      <w:pPr>
        <w:spacing w:after="0" w:line="21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142" w:right="1440" w:bottom="1440" w:gutter="0" w:footer="0" w:header="0"/>
        </w:sectPr>
      </w:pPr>
    </w:p>
    <w:bookmarkStart w:id="39" w:name="page40"/>
    <w:bookmarkEnd w:id="39"/>
    <w:p>
      <w:pPr>
        <w:ind w:right="2319"/>
        <w:spacing w:after="0" w:line="237" w:lineRule="auto"/>
        <w:rPr>
          <w:sz w:val="20"/>
          <w:szCs w:val="20"/>
          <w:color w:val="auto"/>
        </w:rPr>
      </w:pPr>
      <w:r>
        <w:rPr>
          <w:rFonts w:ascii="Courier New" w:cs="Courier New" w:eastAsia="Courier New" w:hAnsi="Courier New"/>
          <w:sz w:val="18"/>
          <w:szCs w:val="18"/>
          <w:color w:val="auto"/>
        </w:rPr>
        <w:t>adjourned meeting at which a quorum shall be present or represented, any business may be transacted which might have been transacted at the meeting as originally noticed. If the adjournment is for more than thirty days, or if after the adjournment a new record date is fixed for the adjourned meeting, a notice of the adjourned meeting shall be given to each stockholder entitled to vote at the meeting.</w:t>
      </w:r>
    </w:p>
    <w:p>
      <w:pPr>
        <w:spacing w:after="0" w:line="210"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SECTION 5. Voting. Unless otherwise required by law, the Certificate of Incorporation or these Bylaws, any question brought before any meeting of stockholders shall be decided by the vote of the holders of a majority of the stock represented and entitled to vote thereat. Each stockholder represented at a meeting of stockholders shall be entitled to cast one vote for each share of the capital stock entitled to vote thereat held by such stockholder, unless otherwise provided by the Certificate of Incorporation. Such votes may be cast in person or by proxy but no proxy shall be voted after three years from its date, unless such proxy provides for a longer period. The Board of Directors, in its discretion, or the officer of the Corporation presiding at a meeting of stockholders, in his discretion, may require that any votes cast at such meeting shall be cast by written ballot.</w:t>
      </w:r>
    </w:p>
    <w:p>
      <w:pPr>
        <w:spacing w:after="0" w:line="207" w:lineRule="exact"/>
        <w:rPr>
          <w:sz w:val="20"/>
          <w:szCs w:val="20"/>
          <w:color w:val="auto"/>
        </w:rPr>
      </w:pPr>
    </w:p>
    <w:p>
      <w:pPr>
        <w:ind w:right="2319" w:firstLine="527"/>
        <w:spacing w:after="0" w:line="270" w:lineRule="auto"/>
        <w:rPr>
          <w:sz w:val="20"/>
          <w:szCs w:val="20"/>
          <w:color w:val="auto"/>
        </w:rPr>
      </w:pPr>
      <w:r>
        <w:rPr>
          <w:rFonts w:ascii="Courier New" w:cs="Courier New" w:eastAsia="Courier New" w:hAnsi="Courier New"/>
          <w:sz w:val="16"/>
          <w:szCs w:val="16"/>
          <w:color w:val="auto"/>
        </w:rPr>
        <w:t>SECTION 6. List of Stockholders Entitled to Vote. The officer of the Corporation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of the Corporation who is present.</w:t>
      </w:r>
    </w:p>
    <w:p>
      <w:pPr>
        <w:spacing w:after="0" w:line="388"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7. Stock Ledger. The stock ledger of the Corporation shall be the only evidence as to who are the stockholders entitled to examine the stock ledger, the list required by Section 6 of this Article II or the books of the Corporation, or to vote in person or by proxy at any meeting of stockholders.</w:t>
      </w:r>
    </w:p>
    <w:p>
      <w:pPr>
        <w:spacing w:after="0" w:line="200" w:lineRule="exact"/>
        <w:rPr>
          <w:sz w:val="20"/>
          <w:szCs w:val="20"/>
          <w:color w:val="auto"/>
        </w:rPr>
      </w:pPr>
    </w:p>
    <w:p>
      <w:pPr>
        <w:spacing w:after="0" w:line="206"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1. Nomination of Directors. Nominations of persons for election to the Board of Directors of the Corporation at the annual meeting may be made at such meeting by or at the direction of the Board of Directors, by any committee or persons appointed by the Board of Directors or by any stockholder of the Corporation entitled to vote for the election of directors</w:t>
      </w: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925" w:right="1440" w:bottom="1440" w:gutter="0" w:footer="0" w:header="0"/>
        </w:sectPr>
      </w:pPr>
    </w:p>
    <w:bookmarkStart w:id="40" w:name="page41"/>
    <w:bookmarkEnd w:id="40"/>
    <w:p>
      <w:pPr>
        <w:ind w:right="2319"/>
        <w:spacing w:after="0" w:line="268" w:lineRule="auto"/>
        <w:rPr>
          <w:sz w:val="20"/>
          <w:szCs w:val="20"/>
          <w:color w:val="auto"/>
        </w:rPr>
      </w:pPr>
      <w:r>
        <w:rPr>
          <w:rFonts w:ascii="Courier New" w:cs="Courier New" w:eastAsia="Courier New" w:hAnsi="Courier New"/>
          <w:sz w:val="16"/>
          <w:szCs w:val="16"/>
          <w:color w:val="auto"/>
        </w:rPr>
        <w:t>at the meeting who complies with the notice procedures set forth in this Article III, Section 1. Such nominations by any stockholder shall be made pursuant to timely notice in writing to the Secretary of the Corporation. To be timely, a stockholder's notice shall be delivered to or mailed and received at the principal executive offices of the Corporation not less than sixty (60) days nor more than ninety (90) days prior to the meeting; provided, however, that in the event that less than seventy (70) days notice or prior public disclosure of the date of the meeting is given or made to stockholders, notice by the stockholder, to be timely, must be received no later than the close of business on the tenth (10th) day following the day on which such notice of the date of the meeting was mailed or such public disclosure was made, whichever first occurs. Such stockholder's notice to the Secretary shall set forth (i) as to each person whom the stockholder proposes to nominate for election or reelection as a director, (a) the name, age, business address and residence address of the person, (b) the principal occupation or employment of the person, (c) the class and number of shares of capital stock of the Corporation which are beneficially owned by the person, and (d) any other information relating to the person that is required to be disclosed in solicitations for proxies for election of directors pursuant to the Rules and Regulations of the Securities and Exchange Commission under Section 14 of the Securities Exchange Act of 1934, as amended; and (ii) as to the stockholder giving the notice (a) the name and record address of the stockholder and (b) the class and number of shares of capital stock of the Corporation which are beneficially owned by the stockholder. The Corporation may require any proposed nominee to furnish such other information as may reasonably be required by the Corporation to determine the eligibility of such proposed nominee to serve as a director of the Corporation. No person shall be eligible for election as a director of the Corporation unless nominated in accordance with the procedures set forth herein. The officer of the Corporation presiding at an annual meeting shall, if the facts warrant, determine and declare to the meeting that a nomination was not made in accordance with the foregoing procedure, and if he should so determine, he shall so declare to the meeting and the defective nomination shall be disregarded. The directors shall be elected at the annual meeting of the stockholders, except as provided in the Certificate of Incorporation, and each director elected shall hold office until his successor is elected and qualified; provided, however, that unless otherwise restricted by the Certificate of Incorporation or by law, any director or the entire Board of Directors may be removed, either with or without cause, from the Board of Directors at any meeting of stockholders by a majority of the stock represented and entitled to vote thereat.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419" w:firstLine="527"/>
        <w:spacing w:after="0" w:line="238" w:lineRule="auto"/>
        <w:rPr>
          <w:sz w:val="20"/>
          <w:szCs w:val="20"/>
          <w:color w:val="auto"/>
        </w:rPr>
      </w:pPr>
      <w:r>
        <w:rPr>
          <w:rFonts w:ascii="Courier New" w:cs="Courier New" w:eastAsia="Courier New" w:hAnsi="Courier New"/>
          <w:sz w:val="18"/>
          <w:szCs w:val="18"/>
          <w:color w:val="auto"/>
        </w:rPr>
        <w:t>SECTION 2. Meetings. The Board of Directors of the Corporation may hold meetings, both regular and special, either within or without the State of Delaware. Regular meetings of the Board of Directors may be held without notice at such time and at such place as may from time to time be determined by the Board of Directors. Special meetings of the Board of Directors may be called by the Chairman of the Board or the President or a majority of the entire Board of Directors. Notice thereof stating the place, date and hour of the meeting shall be given to each director either by mail not less than forty-eight (48) hours before the date of the meeting, by telephone or telegram on twenty-four (24) hours' notice, or on such shorter notice as the person or persons calling such meeting may deem necessary or appropriate in the circumstances.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925" w:right="1440" w:bottom="1440" w:gutter="0" w:footer="0" w:header="0"/>
        </w:sectPr>
      </w:pPr>
    </w:p>
    <w:bookmarkStart w:id="41" w:name="page42"/>
    <w:bookmarkEnd w:id="41"/>
    <w:p>
      <w:pPr>
        <w:ind w:right="2319" w:firstLine="527"/>
        <w:spacing w:after="0" w:line="237" w:lineRule="auto"/>
        <w:rPr>
          <w:sz w:val="20"/>
          <w:szCs w:val="20"/>
          <w:color w:val="auto"/>
        </w:rPr>
      </w:pPr>
      <w:r>
        <w:rPr>
          <w:rFonts w:ascii="Courier New" w:cs="Courier New" w:eastAsia="Courier New" w:hAnsi="Courier New"/>
          <w:sz w:val="18"/>
          <w:szCs w:val="18"/>
          <w:color w:val="auto"/>
        </w:rPr>
        <w:t>SECTION 3. Quorum. Except as may be otherwise specifically provided by law, the Certificate of Incorporation or these Bylaws, at all meetings of the Board of Directors, a majority of the entire Board of Directors shall constitute a quorum for the transaction of business and the act of a majority of the directors present at any meeting at which there is a quorum shall be the act of the Board of Directors. If a quorum shall not be present at any meeting of the Board of Directors, a majority of the directors present thereat may adjourn the meeting from time to time, without notice other than announcement at the meeting, until a quorum shall be present.</w:t>
      </w:r>
    </w:p>
    <w:p>
      <w:pPr>
        <w:spacing w:after="0" w:line="215"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4. Actions of Board of Directors. Unless otherwise provided by the Certificate of Incorporation or these Bylaws, any action required or permitted to be taken at any meeting of the Board of Directors or of any committee thereof may be taken without a meeting, if all the members of the Board of Directors or committee, as the case may be, consent thereto in writing, and the writing or writings are filed with the minutes of proceedings of the Board of Directors or committee.</w:t>
      </w:r>
    </w:p>
    <w:p>
      <w:pPr>
        <w:spacing w:after="0" w:line="211"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5. Meetings by Means of Conference Telephone. Unless otherwise provided by the Certificate of Incorporation or these Bylaws, members of the Board of Directors of the Corporation, or any committee designated by the Board of Directors, may participate in a meeting of the Board of Directors or such committee by means of a conference telephone or similar communications equipment by means of which all persons participating in the meeting can hear each other, and participation in a meeting pursuant to this Section 5 of Article III shall constitute presence in person at such meeting.</w:t>
      </w:r>
    </w:p>
    <w:p>
      <w:pPr>
        <w:spacing w:after="0" w:line="214"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SECTION 6. Committees. The Board of Directors may, by resolution passed by a majority of the entire Board of Directors, designate one or more committees, each committee to consist of one or more of the directors of the Corporation. The Board of Directors may designate one or more directors as alternate members of any committee, who may replace any absent or disqualified member at any meeting of any such committee. In the absence or disqualification of a member of a committee, and in the absence of a designation by the Board of Directors of an alternate member to replace the absent or disqualified member, the member or members thereof present at any meeting and not disqualified from voting, whether or not he or they constitute a quorum, may unanimously appoint another member of the Board of Directors to act at the meeting in the place of any absent or disqualified member. Any committee, to the extent allowed by law and provided in the resolution establishing such committee, shall have and may exercise all the powers and authority of the Board of Directors in the management of the business and affairs of the Corporation. Each committee shall keep regular minutes and report to the Board of Directors when required.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gridSpan w:val="3"/>
          </w:tcPr>
          <w:p>
            <w:pPr>
              <w:ind w:left="540"/>
              <w:spacing w:after="0"/>
              <w:rPr>
                <w:sz w:val="20"/>
                <w:szCs w:val="20"/>
                <w:color w:val="auto"/>
              </w:rPr>
            </w:pPr>
            <w:r>
              <w:rPr>
                <w:rFonts w:ascii="Courier New" w:cs="Courier New" w:eastAsia="Courier New" w:hAnsi="Courier New"/>
                <w:sz w:val="18"/>
                <w:szCs w:val="18"/>
                <w:color w:val="auto"/>
              </w:rPr>
              <w:t>SECTION</w:t>
            </w:r>
          </w:p>
        </w:tc>
        <w:tc>
          <w:tcPr>
            <w:tcW w:w="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w:t>
            </w:r>
          </w:p>
        </w:tc>
        <w:tc>
          <w:tcPr>
            <w:tcW w:w="1520" w:type="dxa"/>
            <w:vAlign w:val="bottom"/>
            <w:gridSpan w:val="3"/>
          </w:tcPr>
          <w:p>
            <w:pPr>
              <w:spacing w:after="0"/>
              <w:rPr>
                <w:sz w:val="20"/>
                <w:szCs w:val="20"/>
                <w:color w:val="auto"/>
              </w:rPr>
            </w:pPr>
            <w:r>
              <w:rPr>
                <w:rFonts w:ascii="Courier New" w:cs="Courier New" w:eastAsia="Courier New" w:hAnsi="Courier New"/>
                <w:sz w:val="18"/>
                <w:szCs w:val="18"/>
                <w:color w:val="auto"/>
              </w:rPr>
              <w:t>Compensation.</w:t>
            </w:r>
          </w:p>
        </w:tc>
        <w:tc>
          <w:tcPr>
            <w:tcW w:w="1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9"/>
              </w:rPr>
              <w:t>The directors</w:t>
            </w:r>
          </w:p>
        </w:tc>
        <w:tc>
          <w:tcPr>
            <w:tcW w:w="1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may be paid</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rPr>
              <w:t>their expenses,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if any,</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12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attendance</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at</w:t>
            </w:r>
          </w:p>
        </w:tc>
        <w:tc>
          <w:tcPr>
            <w:tcW w:w="6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each</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meeting</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Board of</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Directors and may</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be paid</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fixed</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sum</w:t>
            </w:r>
          </w:p>
        </w:tc>
        <w:tc>
          <w:tcPr>
            <w:tcW w:w="24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for attendance at each</w:t>
            </w:r>
          </w:p>
        </w:tc>
        <w:tc>
          <w:tcPr>
            <w:tcW w:w="31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meeting of the Board of</w:t>
            </w:r>
          </w:p>
        </w:tc>
      </w:tr>
      <w:tr>
        <w:trPr>
          <w:trHeight w:val="203"/>
        </w:trPr>
        <w:tc>
          <w:tcPr>
            <w:tcW w:w="332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w w:val="98"/>
              </w:rPr>
              <w:t>Directors or a stated salary as</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director.</w:t>
            </w:r>
          </w:p>
        </w:tc>
        <w:tc>
          <w:tcPr>
            <w:tcW w:w="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No</w:t>
            </w:r>
          </w:p>
        </w:tc>
        <w:tc>
          <w:tcPr>
            <w:tcW w:w="31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such payment shall preclude</w:t>
            </w:r>
          </w:p>
        </w:tc>
      </w:tr>
      <w:tr>
        <w:trPr>
          <w:trHeight w:val="203"/>
        </w:trPr>
        <w:tc>
          <w:tcPr>
            <w:tcW w:w="1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6"/>
              </w:rPr>
              <w:t>any director from</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serving</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the Corporation in</w:t>
            </w:r>
          </w:p>
        </w:tc>
        <w:tc>
          <w:tcPr>
            <w:tcW w:w="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any</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other capacity and</w:t>
            </w:r>
          </w:p>
        </w:tc>
      </w:tr>
    </w:tbl>
    <w:p>
      <w:pPr>
        <w:spacing w:after="0" w:line="4" w:lineRule="exact"/>
        <w:rPr>
          <w:sz w:val="20"/>
          <w:szCs w:val="20"/>
          <w:color w:val="auto"/>
        </w:rPr>
      </w:pPr>
    </w:p>
    <w:p>
      <w:pPr>
        <w:jc w:val="both"/>
        <w:ind w:right="2319"/>
        <w:spacing w:after="0" w:line="290" w:lineRule="auto"/>
        <w:rPr>
          <w:sz w:val="20"/>
          <w:szCs w:val="20"/>
          <w:color w:val="auto"/>
        </w:rPr>
      </w:pPr>
      <w:r>
        <w:rPr>
          <w:rFonts w:ascii="Courier New" w:cs="Courier New" w:eastAsia="Courier New" w:hAnsi="Courier New"/>
          <w:sz w:val="16"/>
          <w:szCs w:val="16"/>
          <w:color w:val="auto"/>
        </w:rPr>
        <w:t>receiving compensation therefor. Members of special or standing committees may be allowed like compensation for attending committee meetings.</w:t>
      </w:r>
    </w:p>
    <w:p>
      <w:pPr>
        <w:spacing w:after="0" w:line="36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925" w:right="1440" w:bottom="1440" w:gutter="0" w:footer="0" w:header="0"/>
        </w:sectPr>
      </w:pPr>
    </w:p>
    <w:bookmarkStart w:id="42" w:name="page43"/>
    <w:bookmarkEnd w:id="42"/>
    <w:p>
      <w:pPr>
        <w:ind w:right="2319" w:firstLine="527"/>
        <w:spacing w:after="0" w:line="269" w:lineRule="auto"/>
        <w:rPr>
          <w:sz w:val="20"/>
          <w:szCs w:val="20"/>
          <w:color w:val="auto"/>
        </w:rPr>
      </w:pPr>
      <w:r>
        <w:rPr>
          <w:rFonts w:ascii="Courier New" w:cs="Courier New" w:eastAsia="Courier New" w:hAnsi="Courier New"/>
          <w:sz w:val="16"/>
          <w:szCs w:val="16"/>
          <w:color w:val="auto"/>
        </w:rPr>
        <w:t>SECTION 8. Interested Directors.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or their votes are counted for such purpose if (i) the material facts as to his or their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his or their relationship or interest and as to the contract or transaction are disclosed or are known to the shareholder entitled to vote thereon, and the contract or transaction is specifically approved in good faith by vote of the shareholders; or (iii) the contract or transaction is fair as to the Corporation as of the time it is authorized, approved or ratified, by the Board of Directors, a committee thereof or the shareholders. Common or interested directors may be counted in determining the presence of a quorum at a meeting of the Board of Directors or of a committee which authorizes the contract or transaction.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OFFICERS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1. General. The officers of the Corporation shall be chosen by the Board of Directors and shall be a President, a Secretary and a Treasurer. The Board of Directors, in its discretion, may also choose a Chairman of the Board of Directors (who must be a director) and one or more Vice Presidents, Assistant Secretaries, Assistant Treasurers and other officers. Any number of offices may be held by the same person, unless otherwise prohibited by law, the Certificate of Incorporation or these Bylaws. The officers of the Corporation need not be stockholders of the Corporation nor, except in the case of the Chairman of the Board of Directors, need such officers be directors of the Corporation.</w:t>
      </w:r>
    </w:p>
    <w:p>
      <w:pPr>
        <w:spacing w:after="0" w:line="215"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SECTION 2. Election. The Board of Directors at its first meeting held after each annual meeting of stockholders shall elect the officers of the Corporation who shall hold their offices for such terms and shall exercise such powers and perform such duties as shall be determined from time to time by the Board of Directors; and all officers of the Corporation shall hold office until their successors are chosen and qualified, or until their earlier resignation or removal. Any officer elected by the Board of Directors may be removed at any time by the affirmative vote of a majority of the Board of Directors. Any vacancy occurring in any office of the Corporation shall be filled by the Board of Directors. The salaries of all officers who are directors of the Corporation shall be fixed by the Board of Directors.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925" w:right="1440" w:bottom="1440" w:gutter="0" w:footer="0" w:header="0"/>
        </w:sectPr>
      </w:pPr>
    </w:p>
    <w:bookmarkStart w:id="43" w:name="page44"/>
    <w:bookmarkEnd w:id="43"/>
    <w:p>
      <w:pPr>
        <w:ind w:right="2419" w:firstLine="527"/>
        <w:spacing w:after="0" w:line="238" w:lineRule="auto"/>
        <w:rPr>
          <w:sz w:val="20"/>
          <w:szCs w:val="20"/>
          <w:color w:val="auto"/>
        </w:rPr>
      </w:pPr>
      <w:r>
        <w:rPr>
          <w:rFonts w:ascii="Courier New" w:cs="Courier New" w:eastAsia="Courier New" w:hAnsi="Courier New"/>
          <w:sz w:val="18"/>
          <w:szCs w:val="18"/>
          <w:color w:val="auto"/>
        </w:rPr>
        <w:t>SECTION 3. Voting Securities Owned by the Corporation. Powers of attorney, proxies, waivers of notice of meeting, consents and other instruments relating to securities owned by the Corporation may be executed in the name of and on behalf of the Corporation by the President or any Vice President and any such officer may, in the name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207"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SECTION 4. Chairman of the Board of Directors. The Chairman of the Board of Directors, if there be one, shall preside at all meetings of the stockholders and of the Board of Directors. Except where by law the signature of the President is required, the Chairman of the Board of Directors shall possess the same power as the President to sign all contracts, certificates and other instruments of the Corporation which may be authorized by the Board of Directors. During the absence or disability of the President, the Chairman of the Board of Directors shall exercise all the powers and discharge all the duties of the President. The Chairman of the Board of Directors shall also perform such other duties and may exercise such other powers as from time to time may be assigned to him by these Bylaws or by the Board of Directors.</w:t>
      </w:r>
    </w:p>
    <w:p>
      <w:pPr>
        <w:spacing w:after="0" w:line="207"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SECTION 5. President. The President shall, subject to the control of the Board of Directors and, if there be one, the Chairman of the Board of Directors, have general supervision of the business of the Corporation and shall see that all orders and resolutions of the Board of Directors are carried into effect. He shall execute all bonds, mortgages, contracts and other instruments of the Corporation requiring a seal, under the seal of the Corporation, except where required or permitted by law to be otherwise signed and executed and except that the other officers of the Corporation may sign and execute documents when so authorized by these Bylaws, the Board of Directors or the President. In the absence or disability of the Chairman of the Board of Directors, or if there be none, the President shall preside at all meetings of the stockholders and the Board of Directors. The President shall also perform such other duties and may exercise such other powers as from time to time may be assigned to him by these Bylaws or by the Board of Directors.</w:t>
      </w:r>
    </w:p>
    <w:p>
      <w:pPr>
        <w:spacing w:after="0" w:line="208"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SECTION 6. Vice Presidents. At the request of the President or in his absence or in the event of his inability or refusal to act (and if there be no Chairman of the Board of Directors), the Vice President or the Vice Presidents if there is more than one (in the order designated by the Board of Directors) shall perform the duties of the President, and when so acting, shall have all the powers of and be subject to all the restrictions upon the President. Each Vice President shall perform such other duties and have such other powers as the Board of Directors from time to time may prescribe. If there be no Chairman of the Board of Directors and no Vice President, the Board of Directors shall designate the officer of the Corporation who, in the absence of the President or in the event of the inability or refusal of the President to act, shall perform the duties of the President, and when so acting, shall have all the powers of and be subject to all the restrictions upon the President.</w:t>
      </w:r>
    </w:p>
    <w:p>
      <w:pPr>
        <w:ind w:left="380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925" w:right="1440" w:bottom="1440" w:gutter="0" w:footer="0" w:header="0"/>
        </w:sectPr>
      </w:pPr>
    </w:p>
    <w:bookmarkStart w:id="44" w:name="page45"/>
    <w:bookmarkEnd w:id="44"/>
    <w:p>
      <w:pPr>
        <w:ind w:right="2319" w:firstLine="527"/>
        <w:spacing w:after="0" w:line="238" w:lineRule="auto"/>
        <w:rPr>
          <w:sz w:val="20"/>
          <w:szCs w:val="20"/>
          <w:color w:val="auto"/>
        </w:rPr>
      </w:pPr>
      <w:r>
        <w:rPr>
          <w:rFonts w:ascii="Courier New" w:cs="Courier New" w:eastAsia="Courier New" w:hAnsi="Courier New"/>
          <w:sz w:val="18"/>
          <w:szCs w:val="18"/>
          <w:color w:val="auto"/>
        </w:rPr>
        <w:t>SECTION 7. Secretary. The Secretary shall attend all meetings of the Board of Directors and all meetings of stockholders and record all the proceedings thereat in a book or books to be kept for that purpose; the Secretary shall also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or President, under whose supervision he shall be. If the Secretary shall be unable or shall refuse to cause to be given notice of all meetings of the stockholders and special meetings of the Board of Directors, and if there be no Assistant Secretary, then either the Board of Directors or the President may choose another officer to cause such notice to be given.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the affixing by his signature. The Secretary shall see that all books, reports, statements, certificates and other documents and records required by law to be kept or filed are properly kept or filed, as the case may be.</w:t>
      </w:r>
    </w:p>
    <w:p>
      <w:pPr>
        <w:spacing w:after="0" w:line="211"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SECTION 8. Treasurer.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 If required by the Board of Directors, the Treasurer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9. Assistant Secretaries. Except as may be otherwise provided in these Bylaws, Assistant Secretaries, if there be any, shall perform such duties and have such powers as from time to time may be assigned to them by the Board of Directors, the President, any Vice President, if there be one, or the Secretary, and in the absence of the Secretary or in the event of his disability or refusal to act, shall perform the duties of the Secretary, and when so acting, shall have all the powers of and be subject to all the restrictions upon the Secretary.</w:t>
      </w:r>
    </w:p>
    <w:p>
      <w:pPr>
        <w:spacing w:after="0" w:line="212" w:lineRule="exact"/>
        <w:rPr>
          <w:sz w:val="20"/>
          <w:szCs w:val="20"/>
          <w:color w:val="auto"/>
        </w:rPr>
      </w:pPr>
    </w:p>
    <w:p>
      <w:pPr>
        <w:ind w:right="2419" w:firstLine="527"/>
        <w:spacing w:after="0" w:line="275" w:lineRule="auto"/>
        <w:rPr>
          <w:sz w:val="20"/>
          <w:szCs w:val="20"/>
          <w:color w:val="auto"/>
        </w:rPr>
      </w:pPr>
      <w:r>
        <w:rPr>
          <w:rFonts w:ascii="Courier New" w:cs="Courier New" w:eastAsia="Courier New" w:hAnsi="Courier New"/>
          <w:sz w:val="16"/>
          <w:szCs w:val="16"/>
          <w:color w:val="auto"/>
        </w:rPr>
        <w:t>SECTION 10. Assistant Treasurers. Assistant Treasurers, if there be any, shall perform such duties and have such powers as from time to time may be assigned to them by the Board of Directors, the President, any Vice President, if there be one, or the Treasurer, and in the absence of the</w:t>
      </w:r>
    </w:p>
    <w:p>
      <w:pPr>
        <w:spacing w:after="0" w:line="37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925" w:right="1440" w:bottom="1440" w:gutter="0" w:footer="0" w:header="0"/>
        </w:sectPr>
      </w:pPr>
    </w:p>
    <w:bookmarkStart w:id="45" w:name="page46"/>
    <w:bookmarkEnd w:id="45"/>
    <w:p>
      <w:pPr>
        <w:ind w:right="2319"/>
        <w:spacing w:after="0" w:line="271" w:lineRule="auto"/>
        <w:rPr>
          <w:sz w:val="20"/>
          <w:szCs w:val="20"/>
          <w:color w:val="auto"/>
        </w:rPr>
      </w:pPr>
      <w:r>
        <w:rPr>
          <w:rFonts w:ascii="Courier New" w:cs="Courier New" w:eastAsia="Courier New" w:hAnsi="Courier New"/>
          <w:sz w:val="16"/>
          <w:szCs w:val="16"/>
          <w:color w:val="auto"/>
        </w:rPr>
        <w:t>Treasurer or in the event of his disability or refusal to act, shall perform the duties of the Treasurer, and when so acting, shall have all the powers of and be subject to all the restrictions upon the Treasurer. If required by the Board of Directors, an Assistant Treasurer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386"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SECTION 11. Controller. The Controller shall establish and maintain the accounting records of the Corporation in accordance with generally accepted accounting principles applied on a consistent basis, maintain proper internal control of the assets of the Corporation and shall perform such other duties as the Board of Directors, the President or any Vice President of the Corporation may prescribe.</w:t>
      </w:r>
    </w:p>
    <w:p>
      <w:pPr>
        <w:spacing w:after="0" w:line="210"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12. Other Officers.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200" w:lineRule="exact"/>
        <w:rPr>
          <w:sz w:val="20"/>
          <w:szCs w:val="20"/>
          <w:color w:val="auto"/>
        </w:rPr>
      </w:pPr>
    </w:p>
    <w:p>
      <w:pPr>
        <w:spacing w:after="0" w:line="207"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STOCK</w:t>
      </w:r>
    </w:p>
    <w:p>
      <w:pPr>
        <w:spacing w:after="0" w:line="207" w:lineRule="exact"/>
        <w:rPr>
          <w:sz w:val="20"/>
          <w:szCs w:val="20"/>
          <w:color w:val="auto"/>
        </w:rPr>
      </w:pPr>
    </w:p>
    <w:p>
      <w:pPr>
        <w:ind w:right="2419" w:firstLine="527"/>
        <w:spacing w:after="0" w:line="272" w:lineRule="auto"/>
        <w:rPr>
          <w:sz w:val="20"/>
          <w:szCs w:val="20"/>
          <w:color w:val="auto"/>
        </w:rPr>
      </w:pPr>
      <w:r>
        <w:rPr>
          <w:rFonts w:ascii="Courier New" w:cs="Courier New" w:eastAsia="Courier New" w:hAnsi="Courier New"/>
          <w:sz w:val="16"/>
          <w:szCs w:val="16"/>
          <w:color w:val="auto"/>
        </w:rPr>
        <w:t>SECTION 1. Form of Certificates. Every holder of stock in the Corporation shall be entitled to have a certificate signed, in the name of the Corporation (i) by the Chairman of the Board of Directors, the President or a Vice President and (ii) by the Treasurer or an Assistant Treasurer, or the Secretary or an Assistant Secretary of the Corporation, certifying the number of shares owned by him in the Corporation.</w:t>
      </w:r>
    </w:p>
    <w:p>
      <w:pPr>
        <w:spacing w:after="0" w:line="186"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2. Signatures. Any or all of the signatures on the certificate may be a facsimile, including, but not limited to, signatures of officers of the Corporation and countersignatures of a transfer agent or registrar.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214"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3. Lost Certificates. The Board of Directors may direct a new certificate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the Board of Directors may, in its discretion and as a condition precedent to the issuance thereof, require the owner of such lost, stolen or</w:t>
      </w: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925" w:right="1440" w:bottom="1440" w:gutter="0" w:footer="0" w:header="0"/>
        </w:sectPr>
      </w:pPr>
    </w:p>
    <w:bookmarkStart w:id="46" w:name="page47"/>
    <w:bookmarkEnd w:id="46"/>
    <w:p>
      <w:pPr>
        <w:ind w:right="2519"/>
        <w:spacing w:after="0" w:line="237" w:lineRule="auto"/>
        <w:rPr>
          <w:sz w:val="20"/>
          <w:szCs w:val="20"/>
          <w:color w:val="auto"/>
        </w:rPr>
      </w:pPr>
      <w:r>
        <w:rPr>
          <w:rFonts w:ascii="Courier New" w:cs="Courier New" w:eastAsia="Courier New" w:hAnsi="Courier New"/>
          <w:sz w:val="18"/>
          <w:szCs w:val="18"/>
          <w:color w:val="auto"/>
        </w:rPr>
        <w:t>destroyed certificate, or his legal representative, to advertise the same in such manner as the Board of Directors shall require and/or to give the Corporation a bond in such sum as it may direct as indemnity against any claim that may be made against the Corporation with respect to the certificate alleged to have been lost, stolen or destroyed.</w:t>
      </w: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4. Transfers. Stock of the Corporation shall be transferable in the manner prescribed by law and in these Bylaws. Transfers of stock shall be made on the books of the Corporation only by the person named in the certificate or by his attorney lawfully constituted in writing and upon the surrender of the certificate therefor, which shall be cancelled before a new certificate shall be issued.</w:t>
      </w:r>
    </w:p>
    <w:p>
      <w:pPr>
        <w:spacing w:after="0" w:line="210"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SECTION 5. Record Date. In order that the Corporation may determine the stockholders entitled to notice of or to vote at any meeting of stockholders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days nor less than ten days before the date of such meeting, nor more than sixty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208"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6. Beneficial Owners.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law.</w:t>
      </w: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SECTION 1. Notices. Whenever written notice is required by law, the Certificate of Incorporation or these Bylaws, to be given to any director, member of a committee or stockholder, such notice may be given by mail, addressed to such director, member of a committee or stockholder, at his address as it appears on the records of the Corporation, with postage thereon prepaid, and such notice shall be deemed to be given at the time when the same shall be deposited in the United States mail. Written notice may also be given personally or by telegram, telex or cable.</w:t>
      </w:r>
    </w:p>
    <w:p>
      <w:pPr>
        <w:spacing w:after="0" w:line="38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925" w:right="1440" w:bottom="1440" w:gutter="0" w:footer="0" w:header="0"/>
        </w:sectPr>
      </w:pPr>
    </w:p>
    <w:bookmarkStart w:id="47" w:name="page48"/>
    <w:bookmarkEnd w:id="47"/>
    <w:p>
      <w:pPr>
        <w:ind w:right="2419" w:firstLine="527"/>
        <w:spacing w:after="0" w:line="237" w:lineRule="auto"/>
        <w:rPr>
          <w:sz w:val="20"/>
          <w:szCs w:val="20"/>
          <w:color w:val="auto"/>
        </w:rPr>
      </w:pPr>
      <w:r>
        <w:rPr>
          <w:rFonts w:ascii="Courier New" w:cs="Courier New" w:eastAsia="Courier New" w:hAnsi="Courier New"/>
          <w:sz w:val="18"/>
          <w:szCs w:val="18"/>
          <w:color w:val="auto"/>
        </w:rPr>
        <w:t>SECTION 2. Waivers of Notice. Whenever any notice is required by law, the Certificate of Incorporation or these Bylaws, to be given to any director, member of a committee or stockholder, a waiver thereof in writing, signed, by the person or persons entitled to said notice, whether before or after the time stated therein, shall be deemed equivalent thereto.</w:t>
      </w:r>
    </w:p>
    <w:p>
      <w:pPr>
        <w:spacing w:after="0" w:line="200" w:lineRule="exact"/>
        <w:rPr>
          <w:sz w:val="20"/>
          <w:szCs w:val="20"/>
          <w:color w:val="auto"/>
        </w:rPr>
      </w:pP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GENERAL PROVISIONS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1. Dividends. Dividends upon the capital stock of the Corporation, subject to the provisions of the Certificate of Incorporation, if any, may be declared by the Board of Directors at any regular or special meeting, and may be paid in cash, in property, or in shares of the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equalizing dividends, or for repairing or maintaining any property of the Corporation, or for any proper purpose, and the Board of Directors may modify or abolish any such reserve.</w:t>
      </w:r>
    </w:p>
    <w:p>
      <w:pPr>
        <w:spacing w:after="0" w:line="216"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SECTION 2. Disbursements. All checks or demands for money and notes of the Corporation shall be signed by such officer or officers or such other person or persons as the Board of Directors may from time to time designate.</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3. Fiscal Year. The fiscal year of the Corporation shall end on the Friday nearest December 31 and the following fiscal year shall commence on the Saturday following the aforesaid Friday, unless the fiscal year is otherwise fixed by affirmative resolution of the entire Board of Directors.*</w:t>
      </w: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4. Corporate Seal. The corporate seal shall have inscribed thereon the name of the Corporation and the words "Corporate Seal, Delaware". The seal may be used by causing it or a facsimile thereof to be impressed or affixed or reproduced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540" w:right="2519" w:hanging="532"/>
        <w:spacing w:after="0" w:line="236"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October 25, 1991, the Board of Directors of the Company adopted a resolution changing the Company's fiscal year end to a calendar year commencing with the year 1992.</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925" w:right="1440" w:bottom="1440" w:gutter="0" w:footer="0" w:header="0"/>
        </w:sectPr>
      </w:pPr>
    </w:p>
    <w:bookmarkStart w:id="48" w:name="page49"/>
    <w:bookmarkEnd w:id="48"/>
    <w:p>
      <w:pPr>
        <w:ind w:left="6860"/>
        <w:spacing w:after="0"/>
        <w:rPr>
          <w:sz w:val="20"/>
          <w:szCs w:val="20"/>
          <w:color w:val="auto"/>
        </w:rPr>
      </w:pPr>
      <w:r>
        <w:rPr>
          <w:rFonts w:ascii="Courier New" w:cs="Courier New" w:eastAsia="Courier New" w:hAnsi="Courier New"/>
          <w:sz w:val="18"/>
          <w:szCs w:val="18"/>
          <w:color w:val="auto"/>
        </w:rPr>
        <w:t>EX-11</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THE PROMUS COMPANIES INCORPORATED</w:t>
      </w:r>
    </w:p>
    <w:p>
      <w:pPr>
        <w:ind w:left="2540"/>
        <w:spacing w:after="0" w:line="238" w:lineRule="auto"/>
        <w:rPr>
          <w:sz w:val="20"/>
          <w:szCs w:val="20"/>
          <w:color w:val="auto"/>
        </w:rPr>
      </w:pPr>
      <w:r>
        <w:rPr>
          <w:rFonts w:ascii="Courier New" w:cs="Courier New" w:eastAsia="Courier New" w:hAnsi="Courier New"/>
          <w:sz w:val="18"/>
          <w:szCs w:val="18"/>
          <w:color w:val="auto"/>
        </w:rPr>
        <w:t>COMPUTATION OF PER SHARE EARNINGS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spacing w:after="0"/>
              <w:rPr>
                <w:sz w:val="17"/>
                <w:szCs w:val="17"/>
                <w:color w:val="auto"/>
              </w:rPr>
            </w:pPr>
          </w:p>
        </w:tc>
        <w:tc>
          <w:tcPr>
            <w:tcW w:w="29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First Quarter Ended</w:t>
            </w:r>
          </w:p>
        </w:tc>
      </w:tr>
      <w:tr>
        <w:trPr>
          <w:trHeight w:val="203"/>
        </w:trPr>
        <w:tc>
          <w:tcPr>
            <w:tcW w:w="474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4740" w:type="dxa"/>
            <w:vAlign w:val="bottom"/>
          </w:tcPr>
          <w:p>
            <w:pPr>
              <w:spacing w:after="0"/>
              <w:rPr>
                <w:sz w:val="17"/>
                <w:szCs w:val="17"/>
                <w:color w:val="auto"/>
              </w:rPr>
            </w:pP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Income from continuing operations</w:t>
            </w:r>
          </w:p>
        </w:tc>
        <w:tc>
          <w:tcPr>
            <w:tcW w:w="1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$ 28,696,000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$ 22,085,000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Earnings from discontinued hotel</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operations, net</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9,604,000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6,131,000</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Spin-off transaction expenses, net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(15,198,000)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 change in accounting</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policy, net</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(7,932,000)</w:t>
            </w:r>
          </w:p>
        </w:tc>
      </w:tr>
      <w:tr>
        <w:trPr>
          <w:trHeight w:val="203"/>
        </w:trPr>
        <w:tc>
          <w:tcPr>
            <w:tcW w:w="4740" w:type="dxa"/>
            <w:vAlign w:val="bottom"/>
          </w:tcPr>
          <w:p>
            <w:pPr>
              <w:spacing w:after="0"/>
              <w:rPr>
                <w:sz w:val="17"/>
                <w:szCs w:val="17"/>
                <w:color w:val="auto"/>
              </w:rPr>
            </w:pP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$ 23,102,000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$ 20,284,000</w:t>
            </w:r>
          </w:p>
        </w:tc>
      </w:tr>
      <w:tr>
        <w:trPr>
          <w:trHeight w:val="203"/>
        </w:trPr>
        <w:tc>
          <w:tcPr>
            <w:tcW w:w="4740" w:type="dxa"/>
            <w:vAlign w:val="bottom"/>
          </w:tcPr>
          <w:p>
            <w:pPr>
              <w:spacing w:after="0"/>
              <w:rPr>
                <w:sz w:val="17"/>
                <w:szCs w:val="17"/>
                <w:color w:val="auto"/>
              </w:rPr>
            </w:pP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Primary earnings per share</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 common shares</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outstanding</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102,138,377</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101,503,574</w:t>
            </w: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equivalents</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Additional shares based on average</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market price for period applicable to:</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Restricted stock</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199,635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459,462</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Stock options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676,176</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944,198</w:t>
            </w:r>
          </w:p>
        </w:tc>
      </w:tr>
      <w:tr>
        <w:trPr>
          <w:trHeight w:val="203"/>
        </w:trPr>
        <w:tc>
          <w:tcPr>
            <w:tcW w:w="4740" w:type="dxa"/>
            <w:vAlign w:val="bottom"/>
          </w:tcPr>
          <w:p>
            <w:pPr>
              <w:spacing w:after="0"/>
              <w:rPr>
                <w:sz w:val="17"/>
                <w:szCs w:val="17"/>
                <w:color w:val="auto"/>
              </w:rPr>
            </w:pP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number of primary common and</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equivalent shares outstanding</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103,014,188</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102,907,234</w:t>
            </w:r>
          </w:p>
        </w:tc>
      </w:tr>
      <w:tr>
        <w:trPr>
          <w:trHeight w:val="203"/>
        </w:trPr>
        <w:tc>
          <w:tcPr>
            <w:tcW w:w="4740" w:type="dxa"/>
            <w:vAlign w:val="bottom"/>
          </w:tcPr>
          <w:p>
            <w:pPr>
              <w:spacing w:after="0"/>
              <w:rPr>
                <w:sz w:val="17"/>
                <w:szCs w:val="17"/>
                <w:color w:val="auto"/>
              </w:rPr>
            </w:pP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Primary earnings per common and common</w:t>
            </w: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equivalent share</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$ 0.28</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$ 0.21</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Discontinued hotel operations, net</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0.09</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0.07</w:t>
            </w: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Spin-off transaction expenses, net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Change in accounting policy, net</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(0.08)</w:t>
            </w:r>
          </w:p>
        </w:tc>
      </w:tr>
      <w:tr>
        <w:trPr>
          <w:trHeight w:val="203"/>
        </w:trPr>
        <w:tc>
          <w:tcPr>
            <w:tcW w:w="4740" w:type="dxa"/>
            <w:vAlign w:val="bottom"/>
          </w:tcPr>
          <w:p>
            <w:pPr>
              <w:spacing w:after="0"/>
              <w:rPr>
                <w:sz w:val="17"/>
                <w:szCs w:val="17"/>
                <w:color w:val="auto"/>
              </w:rPr>
            </w:pP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income</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$ 0.22</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$ 0.20</w:t>
            </w:r>
          </w:p>
        </w:tc>
      </w:tr>
      <w:tr>
        <w:trPr>
          <w:trHeight w:val="203"/>
        </w:trPr>
        <w:tc>
          <w:tcPr>
            <w:tcW w:w="4740" w:type="dxa"/>
            <w:vAlign w:val="bottom"/>
          </w:tcPr>
          <w:p>
            <w:pPr>
              <w:spacing w:after="0"/>
              <w:rPr>
                <w:sz w:val="17"/>
                <w:szCs w:val="17"/>
                <w:color w:val="auto"/>
              </w:rPr>
            </w:pP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Fully diluted earnings per share</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number of primary common and</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equivalent shares outstanding</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103,014,188</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102,907,234</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Additional shares based on period-</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end price applicable to:</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Restricted stock</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11,618</w:t>
            </w: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Stock options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67,557</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rPr>
                <w:sz w:val="17"/>
                <w:szCs w:val="17"/>
                <w:color w:val="auto"/>
              </w:rPr>
            </w:pP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number of fully diluted common and</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equivalent shares outstanding</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103,081,745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102,918,852</w:t>
            </w:r>
          </w:p>
        </w:tc>
      </w:tr>
      <w:tr>
        <w:trPr>
          <w:trHeight w:val="203"/>
        </w:trPr>
        <w:tc>
          <w:tcPr>
            <w:tcW w:w="4740" w:type="dxa"/>
            <w:vAlign w:val="bottom"/>
          </w:tcPr>
          <w:p>
            <w:pPr>
              <w:spacing w:after="0"/>
              <w:rPr>
                <w:sz w:val="17"/>
                <w:szCs w:val="17"/>
                <w:color w:val="auto"/>
              </w:rPr>
            </w:pP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Fully diluted earnings per common and</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equivalent share</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from continuing operations</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$ 0.28</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$ 0.21</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Earnings from discontinued hotel</w:t>
            </w: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7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operations, net</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0.09</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0.07</w:t>
            </w: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Spin-off transaction expenses, net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740" w:type="dxa"/>
            <w:vAlign w:val="bottom"/>
          </w:tcPr>
          <w:p>
            <w:pPr>
              <w:ind w:left="420"/>
              <w:spacing w:after="0"/>
              <w:rPr>
                <w:sz w:val="20"/>
                <w:szCs w:val="20"/>
                <w:color w:val="auto"/>
              </w:rPr>
            </w:pPr>
            <w:r>
              <w:rPr>
                <w:rFonts w:ascii="Courier New" w:cs="Courier New" w:eastAsia="Courier New" w:hAnsi="Courier New"/>
                <w:sz w:val="18"/>
                <w:szCs w:val="18"/>
                <w:color w:val="auto"/>
              </w:rPr>
              <w:t>Change in accounting policy, net</w:t>
            </w:r>
          </w:p>
        </w:tc>
        <w:tc>
          <w:tcPr>
            <w:tcW w:w="1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(0.08)</w:t>
            </w:r>
          </w:p>
        </w:tc>
      </w:tr>
      <w:tr>
        <w:trPr>
          <w:trHeight w:val="203"/>
        </w:trPr>
        <w:tc>
          <w:tcPr>
            <w:tcW w:w="4740" w:type="dxa"/>
            <w:vAlign w:val="bottom"/>
          </w:tcPr>
          <w:p>
            <w:pPr>
              <w:spacing w:after="0"/>
              <w:rPr>
                <w:sz w:val="17"/>
                <w:szCs w:val="17"/>
                <w:color w:val="auto"/>
              </w:rPr>
            </w:pP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income</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$ 0.22</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$ 0.20</w:t>
            </w:r>
          </w:p>
        </w:tc>
      </w:tr>
      <w:tr>
        <w:trPr>
          <w:trHeight w:val="203"/>
        </w:trPr>
        <w:tc>
          <w:tcPr>
            <w:tcW w:w="4740" w:type="dxa"/>
            <w:vAlign w:val="bottom"/>
          </w:tcPr>
          <w:p>
            <w:pPr>
              <w:spacing w:after="0"/>
              <w:rPr>
                <w:sz w:val="17"/>
                <w:szCs w:val="17"/>
                <w:color w:val="auto"/>
              </w:rPr>
            </w:pP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740" w:type="dxa"/>
            <w:vAlign w:val="bottom"/>
          </w:tcPr>
          <w:p>
            <w:pPr>
              <w:ind w:left="4220"/>
              <w:spacing w:after="0"/>
              <w:rPr>
                <w:sz w:val="20"/>
                <w:szCs w:val="20"/>
                <w:color w:val="auto"/>
              </w:rPr>
            </w:pPr>
            <w:r>
              <w:rPr>
                <w:rFonts w:ascii="Courier New" w:cs="Courier New" w:eastAsia="Courier New" w:hAnsi="Courier New"/>
                <w:sz w:val="18"/>
                <w:szCs w:val="18"/>
                <w:color w:val="auto"/>
              </w:rPr>
              <w:t>-49-</w:t>
            </w: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49" w:name="page50"/>
    <w:bookmarkEnd w:id="49"/>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37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Consolidated Condensed Balance Sheets and the Consolidated Condensed Statements of Income and is qualified in its entirety by reference to such financial statements.</w:t>
      </w:r>
    </w:p>
    <w:p>
      <w:pPr>
        <w:spacing w:after="0" w:line="202"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ind w:left="1960"/>
        <w:spacing w:after="0" w:line="238" w:lineRule="auto"/>
        <w:rPr>
          <w:sz w:val="20"/>
          <w:szCs w:val="20"/>
          <w:color w:val="auto"/>
        </w:rPr>
      </w:pPr>
      <w:r>
        <w:rPr>
          <w:rFonts w:ascii="Courier New" w:cs="Courier New" w:eastAsia="Courier New" w:hAnsi="Courier New"/>
          <w:sz w:val="18"/>
          <w:szCs w:val="18"/>
          <w:color w:val="auto"/>
        </w:rPr>
        <w:t>3-MOS</w:t>
      </w:r>
    </w:p>
    <w:p>
      <w:pPr>
        <w:ind w:left="3760"/>
        <w:spacing w:after="0"/>
        <w:rPr>
          <w:sz w:val="20"/>
          <w:szCs w:val="20"/>
          <w:color w:val="auto"/>
        </w:rPr>
      </w:pPr>
      <w:r>
        <w:rPr>
          <w:rFonts w:ascii="Courier New" w:cs="Courier New" w:eastAsia="Courier New" w:hAnsi="Courier New"/>
          <w:sz w:val="18"/>
          <w:szCs w:val="18"/>
          <w:color w:val="auto"/>
        </w:rPr>
        <w:t>DEC-31-1995</w:t>
      </w:r>
    </w:p>
    <w:p>
      <w:pPr>
        <w:ind w:left="4280"/>
        <w:spacing w:after="0" w:line="237" w:lineRule="auto"/>
        <w:rPr>
          <w:sz w:val="20"/>
          <w:szCs w:val="20"/>
          <w:color w:val="auto"/>
        </w:rPr>
      </w:pPr>
      <w:r>
        <w:rPr>
          <w:rFonts w:ascii="Courier New" w:cs="Courier New" w:eastAsia="Courier New" w:hAnsi="Courier New"/>
          <w:sz w:val="18"/>
          <w:szCs w:val="18"/>
          <w:color w:val="auto"/>
        </w:rPr>
        <w:t>MAR-31-1995</w:t>
      </w:r>
    </w:p>
    <w:p>
      <w:pPr>
        <w:ind w:left="5440"/>
        <w:spacing w:after="0" w:line="238" w:lineRule="auto"/>
        <w:rPr>
          <w:sz w:val="20"/>
          <w:szCs w:val="20"/>
          <w:color w:val="auto"/>
        </w:rPr>
      </w:pPr>
      <w:r>
        <w:rPr>
          <w:rFonts w:ascii="Courier New" w:cs="Courier New" w:eastAsia="Courier New" w:hAnsi="Courier New"/>
          <w:sz w:val="18"/>
          <w:szCs w:val="18"/>
          <w:color w:val="auto"/>
        </w:rPr>
        <w:t>71,200</w:t>
      </w:r>
    </w:p>
    <w:p>
      <w:pPr>
        <w:ind w:left="5340"/>
        <w:spacing w:after="0"/>
        <w:rPr>
          <w:sz w:val="20"/>
          <w:szCs w:val="20"/>
          <w:color w:val="auto"/>
        </w:rPr>
      </w:pPr>
      <w:r>
        <w:rPr>
          <w:rFonts w:ascii="Courier New" w:cs="Courier New" w:eastAsia="Courier New" w:hAnsi="Courier New"/>
          <w:sz w:val="18"/>
          <w:szCs w:val="18"/>
          <w:color w:val="auto"/>
        </w:rPr>
        <w:t>0</w:t>
      </w:r>
    </w:p>
    <w:p>
      <w:pPr>
        <w:ind w:left="4700"/>
        <w:spacing w:after="0" w:line="237" w:lineRule="auto"/>
        <w:rPr>
          <w:sz w:val="20"/>
          <w:szCs w:val="20"/>
          <w:color w:val="auto"/>
        </w:rPr>
      </w:pPr>
      <w:r>
        <w:rPr>
          <w:rFonts w:ascii="Courier New" w:cs="Courier New" w:eastAsia="Courier New" w:hAnsi="Courier New"/>
          <w:sz w:val="18"/>
          <w:szCs w:val="18"/>
          <w:color w:val="auto"/>
        </w:rPr>
        <w:t>51,349</w:t>
      </w:r>
    </w:p>
    <w:p>
      <w:pPr>
        <w:ind w:left="4820"/>
        <w:spacing w:after="0"/>
        <w:rPr>
          <w:sz w:val="20"/>
          <w:szCs w:val="20"/>
          <w:color w:val="auto"/>
        </w:rPr>
      </w:pPr>
      <w:r>
        <w:rPr>
          <w:rFonts w:ascii="Courier New" w:cs="Courier New" w:eastAsia="Courier New" w:hAnsi="Courier New"/>
          <w:sz w:val="18"/>
          <w:szCs w:val="18"/>
          <w:color w:val="auto"/>
        </w:rPr>
        <w:t>10,417</w:t>
      </w:r>
    </w:p>
    <w:p>
      <w:pPr>
        <w:ind w:left="4920"/>
        <w:spacing w:after="0" w:line="237" w:lineRule="auto"/>
        <w:rPr>
          <w:sz w:val="20"/>
          <w:szCs w:val="20"/>
          <w:color w:val="auto"/>
        </w:rPr>
      </w:pPr>
      <w:r>
        <w:rPr>
          <w:rFonts w:ascii="Courier New" w:cs="Courier New" w:eastAsia="Courier New" w:hAnsi="Courier New"/>
          <w:sz w:val="18"/>
          <w:szCs w:val="18"/>
          <w:color w:val="auto"/>
        </w:rPr>
        <w:t>11,194</w:t>
      </w:r>
    </w:p>
    <w:p>
      <w:pPr>
        <w:ind w:left="4280"/>
        <w:spacing w:after="0"/>
        <w:rPr>
          <w:sz w:val="20"/>
          <w:szCs w:val="20"/>
          <w:color w:val="auto"/>
        </w:rPr>
      </w:pPr>
      <w:r>
        <w:rPr>
          <w:rFonts w:ascii="Courier New" w:cs="Courier New" w:eastAsia="Courier New" w:hAnsi="Courier New"/>
          <w:sz w:val="18"/>
          <w:szCs w:val="18"/>
          <w:color w:val="auto"/>
        </w:rPr>
        <w:t>165,748</w:t>
      </w:r>
    </w:p>
    <w:p>
      <w:pPr>
        <w:ind w:left="5120"/>
        <w:spacing w:after="0" w:line="237" w:lineRule="auto"/>
        <w:rPr>
          <w:sz w:val="20"/>
          <w:szCs w:val="20"/>
          <w:color w:val="auto"/>
        </w:rPr>
      </w:pPr>
      <w:r>
        <w:rPr>
          <w:rFonts w:ascii="Courier New" w:cs="Courier New" w:eastAsia="Courier New" w:hAnsi="Courier New"/>
          <w:sz w:val="18"/>
          <w:szCs w:val="18"/>
          <w:color w:val="auto"/>
        </w:rPr>
        <w:t>1,621,398</w:t>
      </w:r>
    </w:p>
    <w:p>
      <w:pPr>
        <w:ind w:left="4500"/>
        <w:spacing w:after="0" w:line="238" w:lineRule="auto"/>
        <w:rPr>
          <w:sz w:val="20"/>
          <w:szCs w:val="20"/>
          <w:color w:val="auto"/>
        </w:rPr>
      </w:pPr>
      <w:r>
        <w:rPr>
          <w:rFonts w:ascii="Courier New" w:cs="Courier New" w:eastAsia="Courier New" w:hAnsi="Courier New"/>
          <w:sz w:val="18"/>
          <w:szCs w:val="18"/>
          <w:color w:val="auto"/>
        </w:rPr>
        <w:t>489,919</w:t>
      </w:r>
    </w:p>
    <w:p>
      <w:pPr>
        <w:ind w:left="4280"/>
        <w:spacing w:after="0"/>
        <w:rPr>
          <w:sz w:val="20"/>
          <w:szCs w:val="20"/>
          <w:color w:val="auto"/>
        </w:rPr>
      </w:pPr>
      <w:r>
        <w:rPr>
          <w:rFonts w:ascii="Courier New" w:cs="Courier New" w:eastAsia="Courier New" w:hAnsi="Courier New"/>
          <w:sz w:val="18"/>
          <w:szCs w:val="18"/>
          <w:color w:val="auto"/>
        </w:rPr>
        <w:t>1,743,092</w:t>
      </w:r>
    </w:p>
    <w:p>
      <w:pPr>
        <w:ind w:left="3760"/>
        <w:spacing w:after="0" w:line="237" w:lineRule="auto"/>
        <w:rPr>
          <w:sz w:val="20"/>
          <w:szCs w:val="20"/>
          <w:color w:val="auto"/>
        </w:rPr>
      </w:pPr>
      <w:r>
        <w:rPr>
          <w:rFonts w:ascii="Courier New" w:cs="Courier New" w:eastAsia="Courier New" w:hAnsi="Courier New"/>
          <w:sz w:val="18"/>
          <w:szCs w:val="18"/>
          <w:color w:val="auto"/>
        </w:rPr>
        <w:t>229,676</w:t>
      </w:r>
    </w:p>
    <w:p>
      <w:pPr>
        <w:ind w:left="5240"/>
        <w:spacing w:after="0"/>
        <w:rPr>
          <w:sz w:val="20"/>
          <w:szCs w:val="20"/>
          <w:color w:val="auto"/>
        </w:rPr>
      </w:pPr>
      <w:r>
        <w:rPr>
          <w:rFonts w:ascii="Courier New" w:cs="Courier New" w:eastAsia="Courier New" w:hAnsi="Courier New"/>
          <w:sz w:val="18"/>
          <w:szCs w:val="18"/>
          <w:color w:val="auto"/>
        </w:rPr>
        <w:t>758,150</w:t>
      </w:r>
    </w:p>
    <w:p>
      <w:pPr>
        <w:ind w:left="5240"/>
        <w:spacing w:after="0" w:line="237" w:lineRule="auto"/>
        <w:rPr>
          <w:sz w:val="20"/>
          <w:szCs w:val="20"/>
          <w:color w:val="auto"/>
        </w:rPr>
      </w:pPr>
      <w:r>
        <w:rPr>
          <w:rFonts w:ascii="Courier New" w:cs="Courier New" w:eastAsia="Courier New" w:hAnsi="Courier New"/>
          <w:sz w:val="18"/>
          <w:szCs w:val="18"/>
          <w:color w:val="auto"/>
        </w:rPr>
        <w:t>10,252</w:t>
      </w:r>
    </w:p>
    <w:p>
      <w:pPr>
        <w:ind w:left="4400"/>
        <w:spacing w:after="0"/>
        <w:rPr>
          <w:sz w:val="20"/>
          <w:szCs w:val="20"/>
          <w:color w:val="auto"/>
        </w:rPr>
      </w:pPr>
      <w:r>
        <w:rPr>
          <w:rFonts w:ascii="Courier New" w:cs="Courier New" w:eastAsia="Courier New" w:hAnsi="Courier New"/>
          <w:sz w:val="18"/>
          <w:szCs w:val="18"/>
          <w:color w:val="auto"/>
        </w:rPr>
        <w:t>0</w:t>
      </w:r>
    </w:p>
    <w:p>
      <w:pPr>
        <w:ind w:left="5440"/>
        <w:spacing w:after="0" w:line="237" w:lineRule="auto"/>
        <w:rPr>
          <w:sz w:val="20"/>
          <w:szCs w:val="20"/>
          <w:color w:val="auto"/>
        </w:rPr>
      </w:pPr>
      <w:r>
        <w:rPr>
          <w:rFonts w:ascii="Courier New" w:cs="Courier New" w:eastAsia="Courier New" w:hAnsi="Courier New"/>
          <w:sz w:val="18"/>
          <w:szCs w:val="18"/>
          <w:color w:val="auto"/>
        </w:rPr>
        <w:t>0</w:t>
      </w:r>
    </w:p>
    <w:p>
      <w:pPr>
        <w:ind w:left="4920"/>
        <w:spacing w:after="0" w:line="238" w:lineRule="auto"/>
        <w:rPr>
          <w:sz w:val="20"/>
          <w:szCs w:val="20"/>
          <w:color w:val="auto"/>
        </w:rPr>
      </w:pPr>
      <w:r>
        <w:rPr>
          <w:rFonts w:ascii="Courier New" w:cs="Courier New" w:eastAsia="Courier New" w:hAnsi="Courier New"/>
          <w:sz w:val="18"/>
          <w:szCs w:val="18"/>
          <w:color w:val="auto"/>
        </w:rPr>
        <w:t>642,961</w:t>
      </w:r>
    </w:p>
    <w:p>
      <w:pPr>
        <w:ind w:left="2820"/>
        <w:spacing w:after="0"/>
        <w:rPr>
          <w:sz w:val="20"/>
          <w:szCs w:val="20"/>
          <w:color w:val="auto"/>
        </w:rPr>
      </w:pPr>
      <w:r>
        <w:rPr>
          <w:rFonts w:ascii="Courier New" w:cs="Courier New" w:eastAsia="Courier New" w:hAnsi="Courier New"/>
          <w:sz w:val="18"/>
          <w:szCs w:val="18"/>
          <w:color w:val="auto"/>
        </w:rPr>
        <w:t>1,743,092</w:t>
      </w:r>
    </w:p>
    <w:p>
      <w:pPr>
        <w:ind w:left="5860"/>
        <w:spacing w:after="0" w:line="237" w:lineRule="auto"/>
        <w:rPr>
          <w:sz w:val="20"/>
          <w:szCs w:val="20"/>
          <w:color w:val="auto"/>
        </w:rPr>
      </w:pPr>
      <w:r>
        <w:rPr>
          <w:rFonts w:ascii="Courier New" w:cs="Courier New" w:eastAsia="Courier New" w:hAnsi="Courier New"/>
          <w:sz w:val="18"/>
          <w:szCs w:val="18"/>
          <w:color w:val="auto"/>
        </w:rPr>
        <w:t>0</w:t>
      </w:r>
    </w:p>
    <w:p>
      <w:pPr>
        <w:ind w:left="4280"/>
        <w:spacing w:after="0"/>
        <w:rPr>
          <w:sz w:val="20"/>
          <w:szCs w:val="20"/>
          <w:color w:val="auto"/>
        </w:rPr>
      </w:pPr>
      <w:r>
        <w:rPr>
          <w:rFonts w:ascii="Courier New" w:cs="Courier New" w:eastAsia="Courier New" w:hAnsi="Courier New"/>
          <w:sz w:val="18"/>
          <w:szCs w:val="18"/>
          <w:color w:val="auto"/>
        </w:rPr>
        <w:t>356,481</w:t>
      </w:r>
    </w:p>
    <w:p>
      <w:pPr>
        <w:ind w:left="608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277,101</w:t>
      </w:r>
    </w:p>
    <w:p>
      <w:pPr>
        <w:ind w:left="4500"/>
        <w:spacing w:after="0" w:line="237" w:lineRule="auto"/>
        <w:rPr>
          <w:sz w:val="20"/>
          <w:szCs w:val="20"/>
          <w:color w:val="auto"/>
        </w:rPr>
      </w:pPr>
      <w:r>
        <w:rPr>
          <w:rFonts w:ascii="Courier New" w:cs="Courier New" w:eastAsia="Courier New" w:hAnsi="Courier New"/>
          <w:sz w:val="18"/>
          <w:szCs w:val="18"/>
          <w:color w:val="auto"/>
        </w:rPr>
        <w:t>5,382</w:t>
      </w:r>
    </w:p>
    <w:p>
      <w:pPr>
        <w:ind w:left="4500"/>
        <w:spacing w:after="0"/>
        <w:rPr>
          <w:sz w:val="20"/>
          <w:szCs w:val="20"/>
          <w:color w:val="auto"/>
        </w:rPr>
      </w:pPr>
      <w:r>
        <w:rPr>
          <w:rFonts w:ascii="Courier New" w:cs="Courier New" w:eastAsia="Courier New" w:hAnsi="Courier New"/>
          <w:sz w:val="18"/>
          <w:szCs w:val="18"/>
          <w:color w:val="auto"/>
        </w:rPr>
        <w:t>1,577</w:t>
      </w:r>
    </w:p>
    <w:p>
      <w:pPr>
        <w:ind w:left="4180"/>
        <w:spacing w:after="0" w:line="237" w:lineRule="auto"/>
        <w:rPr>
          <w:sz w:val="20"/>
          <w:szCs w:val="20"/>
          <w:color w:val="auto"/>
        </w:rPr>
      </w:pPr>
      <w:r>
        <w:rPr>
          <w:rFonts w:ascii="Courier New" w:cs="Courier New" w:eastAsia="Courier New" w:hAnsi="Courier New"/>
          <w:sz w:val="18"/>
          <w:szCs w:val="18"/>
          <w:color w:val="auto"/>
        </w:rPr>
        <w:t>22,064</w:t>
      </w:r>
    </w:p>
    <w:p>
      <w:pPr>
        <w:ind w:left="4500"/>
        <w:spacing w:after="0" w:line="238" w:lineRule="auto"/>
        <w:rPr>
          <w:sz w:val="20"/>
          <w:szCs w:val="20"/>
          <w:color w:val="auto"/>
        </w:rPr>
      </w:pPr>
      <w:r>
        <w:rPr>
          <w:rFonts w:ascii="Courier New" w:cs="Courier New" w:eastAsia="Courier New" w:hAnsi="Courier New"/>
          <w:sz w:val="18"/>
          <w:szCs w:val="18"/>
          <w:color w:val="auto"/>
        </w:rPr>
        <w:t>52,390</w:t>
      </w:r>
    </w:p>
    <w:p>
      <w:pPr>
        <w:ind w:left="4820"/>
        <w:spacing w:after="0"/>
        <w:rPr>
          <w:sz w:val="20"/>
          <w:szCs w:val="20"/>
          <w:color w:val="auto"/>
        </w:rPr>
      </w:pPr>
      <w:r>
        <w:rPr>
          <w:rFonts w:ascii="Courier New" w:cs="Courier New" w:eastAsia="Courier New" w:hAnsi="Courier New"/>
          <w:sz w:val="18"/>
          <w:szCs w:val="18"/>
          <w:color w:val="auto"/>
        </w:rPr>
        <w:t>20,357</w:t>
      </w:r>
    </w:p>
    <w:p>
      <w:pPr>
        <w:ind w:left="4080"/>
        <w:spacing w:after="0" w:line="237" w:lineRule="auto"/>
        <w:rPr>
          <w:sz w:val="20"/>
          <w:szCs w:val="20"/>
          <w:color w:val="auto"/>
        </w:rPr>
      </w:pPr>
      <w:r>
        <w:rPr>
          <w:rFonts w:ascii="Courier New" w:cs="Courier New" w:eastAsia="Courier New" w:hAnsi="Courier New"/>
          <w:sz w:val="18"/>
          <w:szCs w:val="18"/>
          <w:color w:val="auto"/>
        </w:rPr>
        <w:t>28,696</w:t>
      </w:r>
    </w:p>
    <w:p>
      <w:pPr>
        <w:ind w:left="4700"/>
        <w:spacing w:after="0"/>
        <w:rPr>
          <w:sz w:val="20"/>
          <w:szCs w:val="20"/>
          <w:color w:val="auto"/>
        </w:rPr>
      </w:pPr>
      <w:r>
        <w:rPr>
          <w:rFonts w:ascii="Courier New" w:cs="Courier New" w:eastAsia="Courier New" w:hAnsi="Courier New"/>
          <w:sz w:val="18"/>
          <w:szCs w:val="18"/>
          <w:color w:val="auto"/>
        </w:rPr>
        <w:t>5,594</w:t>
      </w:r>
    </w:p>
    <w:p>
      <w:pPr>
        <w:ind w:left="5020"/>
        <w:spacing w:after="0" w:line="237" w:lineRule="auto"/>
        <w:rPr>
          <w:sz w:val="20"/>
          <w:szCs w:val="20"/>
          <w:color w:val="auto"/>
        </w:rPr>
      </w:pPr>
      <w:r>
        <w:rPr>
          <w:rFonts w:ascii="Courier New" w:cs="Courier New" w:eastAsia="Courier New" w:hAnsi="Courier New"/>
          <w:sz w:val="18"/>
          <w:szCs w:val="18"/>
          <w:color w:val="auto"/>
        </w:rPr>
        <w:t>0</w:t>
      </w:r>
    </w:p>
    <w:p>
      <w:pPr>
        <w:ind w:left="5660"/>
        <w:spacing w:after="0"/>
        <w:rPr>
          <w:sz w:val="20"/>
          <w:szCs w:val="20"/>
          <w:color w:val="auto"/>
        </w:rPr>
      </w:pPr>
      <w:r>
        <w:rPr>
          <w:rFonts w:ascii="Courier New" w:cs="Courier New" w:eastAsia="Courier New" w:hAnsi="Courier New"/>
          <w:sz w:val="18"/>
          <w:szCs w:val="18"/>
          <w:color w:val="auto"/>
        </w:rPr>
        <w:t>0</w:t>
      </w:r>
    </w:p>
    <w:p>
      <w:pPr>
        <w:jc w:val="center"/>
        <w:ind w:right="-80"/>
        <w:spacing w:after="0" w:line="237" w:lineRule="auto"/>
        <w:rPr>
          <w:sz w:val="20"/>
          <w:szCs w:val="20"/>
          <w:color w:val="auto"/>
        </w:rPr>
      </w:pPr>
      <w:r>
        <w:rPr>
          <w:rFonts w:ascii="Courier New" w:cs="Courier New" w:eastAsia="Courier New" w:hAnsi="Courier New"/>
          <w:sz w:val="18"/>
          <w:szCs w:val="18"/>
          <w:color w:val="auto"/>
        </w:rPr>
        <w:t>23,102</w:t>
      </w:r>
    </w:p>
    <w:p>
      <w:pPr>
        <w:jc w:val="center"/>
        <w:ind w:right="-80"/>
        <w:spacing w:after="0" w:line="238" w:lineRule="auto"/>
        <w:rPr>
          <w:sz w:val="20"/>
          <w:szCs w:val="20"/>
          <w:color w:val="auto"/>
        </w:rPr>
      </w:pPr>
      <w:r>
        <w:rPr>
          <w:rFonts w:ascii="Courier New" w:cs="Courier New" w:eastAsia="Courier New" w:hAnsi="Courier New"/>
          <w:sz w:val="18"/>
          <w:szCs w:val="18"/>
          <w:color w:val="auto"/>
        </w:rPr>
        <w:t>0.22</w:t>
      </w:r>
    </w:p>
    <w:p>
      <w:pPr>
        <w:jc w:val="center"/>
        <w:ind w:right="-80"/>
        <w:spacing w:after="0"/>
        <w:rPr>
          <w:sz w:val="20"/>
          <w:szCs w:val="20"/>
          <w:color w:val="auto"/>
        </w:rPr>
      </w:pPr>
      <w:r>
        <w:rPr>
          <w:rFonts w:ascii="Courier New" w:cs="Courier New" w:eastAsia="Courier New" w:hAnsi="Courier New"/>
          <w:sz w:val="18"/>
          <w:szCs w:val="18"/>
          <w:color w:val="auto"/>
        </w:rPr>
        <w:t>0.22</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lowerRoman"/>
      <w:start w:val="2"/>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2019-12-13T19:20:27Z</dcterms:created>
  <dcterms:modified xsi:type="dcterms:W3CDTF">2019-12-13T19:20:27Z</dcterms:modified>
</cp:coreProperties>
</file>