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380" w:right="720" w:hanging="372"/>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380" w:right="700" w:hanging="372"/>
        <w:spacing w:after="0" w:line="256" w:lineRule="auto"/>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p>
      <w:pPr>
        <w:ind w:left="3840"/>
        <w:spacing w:after="0"/>
        <w:tabs>
          <w:tab w:leader="none" w:pos="64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394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180" w:type="dxa"/>
            <w:vAlign w:val="bottom"/>
          </w:tcPr>
          <w:p>
            <w:pPr>
              <w:jc w:val="center"/>
              <w:ind w:left="1962"/>
              <w:spacing w:after="0"/>
              <w:rPr>
                <w:sz w:val="20"/>
                <w:szCs w:val="20"/>
                <w:color w:val="auto"/>
              </w:rPr>
            </w:pPr>
            <w:r>
              <w:rPr>
                <w:rFonts w:ascii="Arial" w:cs="Arial" w:eastAsia="Arial" w:hAnsi="Arial"/>
                <w:sz w:val="18"/>
                <w:szCs w:val="18"/>
                <w:b w:val="1"/>
                <w:bCs w:val="1"/>
                <w:color w:val="auto"/>
                <w:w w:val="90"/>
              </w:rPr>
              <w:t>46</w:t>
            </w:r>
            <w:r>
              <w:rPr>
                <w:rFonts w:ascii="Arial" w:cs="Arial" w:eastAsia="Arial" w:hAnsi="Arial"/>
                <w:sz w:val="16"/>
                <w:szCs w:val="16"/>
                <w:color w:val="auto"/>
                <w:w w:val="90"/>
              </w:rPr>
              <w:t>-</w:t>
            </w:r>
            <w:r>
              <w:rPr>
                <w:rFonts w:ascii="Arial" w:cs="Arial" w:eastAsia="Arial" w:hAnsi="Arial"/>
                <w:sz w:val="18"/>
                <w:szCs w:val="18"/>
                <w:b w:val="1"/>
                <w:bCs w:val="1"/>
                <w:color w:val="auto"/>
                <w:w w:val="90"/>
              </w:rPr>
              <w:t>3657681</w:t>
            </w:r>
          </w:p>
        </w:tc>
      </w:tr>
      <w:tr>
        <w:trPr>
          <w:trHeight w:val="148"/>
        </w:trPr>
        <w:tc>
          <w:tcPr>
            <w:tcW w:w="3940" w:type="dxa"/>
            <w:vAlign w:val="bottom"/>
          </w:tcPr>
          <w:p>
            <w:pPr>
              <w:jc w:val="center"/>
              <w:ind w:right="19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11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line="221" w:lineRule="auto"/>
        <w:rPr>
          <w:sz w:val="20"/>
          <w:szCs w:val="20"/>
          <w:color w:val="auto"/>
        </w:rPr>
      </w:pPr>
      <w:r>
        <w:rPr>
          <w:rFonts w:ascii="Arial" w:cs="Arial" w:eastAsia="Arial" w:hAnsi="Arial"/>
          <w:sz w:val="14"/>
          <w:szCs w:val="14"/>
          <w:b w:val="1"/>
          <w:bCs w:val="1"/>
          <w:color w:val="auto"/>
        </w:rPr>
        <w:t>N/A</w:t>
      </w: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1" w:lineRule="exact"/>
        <w:rPr>
          <w:sz w:val="24"/>
          <w:szCs w:val="24"/>
          <w:color w:val="auto"/>
        </w:rPr>
      </w:pPr>
    </w:p>
    <w:tbl>
      <w:tblPr>
        <w:tblLayout w:type="fixed"/>
        <w:tblInd w:w="108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2220" w:type="dxa"/>
            <w:vAlign w:val="bottom"/>
          </w:tcPr>
          <w:p>
            <w:pPr>
              <w:spacing w:after="0"/>
              <w:rPr>
                <w:sz w:val="16"/>
                <w:szCs w:val="16"/>
                <w:color w:val="auto"/>
              </w:rPr>
            </w:pPr>
          </w:p>
        </w:tc>
        <w:tc>
          <w:tcPr>
            <w:tcW w:w="2760" w:type="dxa"/>
            <w:vAlign w:val="bottom"/>
            <w:gridSpan w:val="2"/>
          </w:tcPr>
          <w:p>
            <w:pPr>
              <w:jc w:val="center"/>
              <w:ind w:right="1460"/>
              <w:spacing w:after="0"/>
              <w:rPr>
                <w:sz w:val="20"/>
                <w:szCs w:val="20"/>
                <w:color w:val="auto"/>
              </w:rPr>
            </w:pPr>
            <w:r>
              <w:rPr>
                <w:rFonts w:ascii="Arial" w:cs="Arial" w:eastAsia="Arial" w:hAnsi="Arial"/>
                <w:sz w:val="16"/>
                <w:szCs w:val="16"/>
                <w:b w:val="1"/>
                <w:bCs w:val="1"/>
                <w:color w:val="auto"/>
                <w:w w:val="92"/>
              </w:rPr>
              <w:t>Trading Symbol(s)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20" w:type="dxa"/>
            <w:vAlign w:val="bottom"/>
          </w:tcPr>
          <w:p>
            <w:pPr>
              <w:spacing w:after="0"/>
              <w:rPr>
                <w:sz w:val="16"/>
                <w:szCs w:val="16"/>
                <w:color w:val="auto"/>
              </w:rPr>
            </w:pPr>
          </w:p>
        </w:tc>
      </w:tr>
      <w:tr>
        <w:trPr>
          <w:trHeight w:val="20"/>
        </w:trPr>
        <w:tc>
          <w:tcPr>
            <w:tcW w:w="3900" w:type="dxa"/>
            <w:vAlign w:val="bottom"/>
            <w:gridSpan w:val="3"/>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3900" w:type="dxa"/>
            <w:vAlign w:val="bottom"/>
            <w:gridSpan w:val="3"/>
          </w:tcPr>
          <w:p>
            <w:pPr>
              <w:jc w:val="center"/>
              <w:ind w:right="1540"/>
              <w:spacing w:after="0"/>
              <w:rPr>
                <w:sz w:val="20"/>
                <w:szCs w:val="20"/>
                <w:color w:val="auto"/>
              </w:rPr>
            </w:pPr>
            <w:r>
              <w:rPr>
                <w:rFonts w:ascii="Arial" w:cs="Arial" w:eastAsia="Arial" w:hAnsi="Arial"/>
                <w:sz w:val="16"/>
                <w:szCs w:val="16"/>
                <w:b w:val="1"/>
                <w:bCs w:val="1"/>
                <w:color w:val="auto"/>
                <w:w w:val="91"/>
              </w:rPr>
              <w:t>Common Stock, $.00001 par value</w:t>
            </w:r>
          </w:p>
        </w:tc>
        <w:tc>
          <w:tcPr>
            <w:tcW w:w="2760" w:type="dxa"/>
            <w:vAlign w:val="bottom"/>
            <w:gridSpan w:val="2"/>
          </w:tcPr>
          <w:p>
            <w:pPr>
              <w:jc w:val="center"/>
              <w:ind w:right="1460"/>
              <w:spacing w:after="0"/>
              <w:rPr>
                <w:sz w:val="20"/>
                <w:szCs w:val="20"/>
                <w:color w:val="auto"/>
              </w:rPr>
            </w:pPr>
            <w:r>
              <w:rPr>
                <w:rFonts w:ascii="Arial" w:cs="Arial" w:eastAsia="Arial" w:hAnsi="Arial"/>
                <w:sz w:val="16"/>
                <w:szCs w:val="16"/>
                <w:b w:val="1"/>
                <w:bCs w:val="1"/>
                <w:color w:val="auto"/>
              </w:rPr>
              <w:t>ERI</w:t>
            </w:r>
          </w:p>
        </w:tc>
        <w:tc>
          <w:tcPr>
            <w:tcW w:w="25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12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80" w:firstLine="510"/>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62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19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01"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940"/>
        <w:spacing w:after="0" w:line="307"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$0.00001 par value per share, outstanding as of May 6, 2020 was 77,816,973.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63"/>
        </w:trPr>
        <w:tc>
          <w:tcPr>
            <w:tcW w:w="108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80" w:type="dxa"/>
            <w:vAlign w:val="bottom"/>
          </w:tcPr>
          <w:p>
            <w:pPr>
              <w:spacing w:after="0"/>
              <w:rPr>
                <w:sz w:val="23"/>
                <w:szCs w:val="23"/>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at March 31, 2020 (unaudited) and December 31,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80" w:type="dxa"/>
            <w:vAlign w:val="bottom"/>
          </w:tcPr>
          <w:p>
            <w:pPr>
              <w:spacing w:after="0"/>
              <w:rPr>
                <w:sz w:val="23"/>
                <w:szCs w:val="23"/>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80" w:type="dxa"/>
            <w:vAlign w:val="bottom"/>
          </w:tcPr>
          <w:p>
            <w:pPr>
              <w:spacing w:after="0"/>
              <w:rPr>
                <w:sz w:val="23"/>
                <w:szCs w:val="23"/>
                <w:color w:val="auto"/>
              </w:rPr>
            </w:pPr>
          </w:p>
        </w:tc>
        <w:tc>
          <w:tcPr>
            <w:tcW w:w="10020" w:type="dxa"/>
            <w:vAlign w:val="bottom"/>
          </w:tcPr>
          <w:p>
            <w:pPr>
              <w:ind w:left="140"/>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Consolidated Statements of Comprehensive (Loss) Income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80" w:type="dxa"/>
            <w:vAlign w:val="bottom"/>
          </w:tcPr>
          <w:p>
            <w:pPr>
              <w:spacing w:after="0"/>
              <w:rPr>
                <w:sz w:val="23"/>
                <w:szCs w:val="23"/>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80" w:type="dxa"/>
            <w:vAlign w:val="bottom"/>
          </w:tcPr>
          <w:p>
            <w:pPr>
              <w:spacing w:after="0"/>
              <w:rPr>
                <w:sz w:val="23"/>
                <w:szCs w:val="23"/>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80" w:type="dxa"/>
            <w:vAlign w:val="bottom"/>
          </w:tcPr>
          <w:p>
            <w:pPr>
              <w:spacing w:after="0"/>
              <w:rPr>
                <w:sz w:val="23"/>
                <w:szCs w:val="23"/>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Notes to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1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0800" w:type="dxa"/>
            <w:vAlign w:val="bottom"/>
            <w:gridSpan w:val="2"/>
          </w:tcPr>
          <w:p>
            <w:pPr>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PART II. 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0800" w:type="dxa"/>
            <w:vAlign w:val="bottom"/>
            <w:gridSpan w:val="2"/>
          </w:tcPr>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648"/>
        </w:trPr>
        <w:tc>
          <w:tcPr>
            <w:tcW w:w="780" w:type="dxa"/>
            <w:vAlign w:val="bottom"/>
          </w:tcPr>
          <w:p>
            <w:pPr>
              <w:spacing w:after="0"/>
              <w:rPr>
                <w:sz w:val="24"/>
                <w:szCs w:val="24"/>
                <w:color w:val="auto"/>
              </w:rPr>
            </w:pPr>
          </w:p>
        </w:tc>
        <w:tc>
          <w:tcPr>
            <w:tcW w:w="10020" w:type="dxa"/>
            <w:vAlign w:val="bottom"/>
          </w:tcPr>
          <w:p>
            <w:pPr>
              <w:ind w:left="48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00"/>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060" w:type="dxa"/>
            <w:vAlign w:val="bottom"/>
            <w:shd w:val="clear" w:color="auto" w:fill="CFF0FC"/>
          </w:tcPr>
          <w:p>
            <w:pPr>
              <w:ind w:left="3680"/>
              <w:spacing w:after="0"/>
              <w:rPr>
                <w:sz w:val="20"/>
                <w:szCs w:val="20"/>
                <w:color w:val="auto"/>
              </w:rPr>
            </w:pPr>
            <w:r>
              <w:rPr>
                <w:rFonts w:ascii="Arial" w:cs="Arial" w:eastAsia="Arial" w:hAnsi="Arial"/>
                <w:sz w:val="16"/>
                <w:szCs w:val="16"/>
                <w:b w:val="1"/>
                <w:bCs w:val="1"/>
                <w:color w:val="auto"/>
              </w:rPr>
              <w:t>ASSETS</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671,747</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206,317</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Restricted cash and investments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Marketable securities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34,634</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53,899</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from affiliates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3,806</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18,379</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27,741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30,966</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Assets held for sale</w:t>
            </w:r>
          </w:p>
        </w:tc>
        <w:tc>
          <w:tcPr>
            <w:tcW w:w="1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442,461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253,135</w:t>
            </w:r>
          </w:p>
        </w:tc>
        <w:tc>
          <w:tcPr>
            <w:tcW w:w="120" w:type="dxa"/>
            <w:vAlign w:val="bottom"/>
            <w:tcBorders>
              <w:bottom w:val="single" w:sz="8" w:color="CFF0FC"/>
            </w:tcBorders>
          </w:tcPr>
          <w:p>
            <w:pPr>
              <w:spacing w:after="0"/>
              <w:rPr>
                <w:sz w:val="18"/>
                <w:szCs w:val="18"/>
                <w:color w:val="auto"/>
              </w:rPr>
            </w:pPr>
          </w:p>
        </w:tc>
      </w:tr>
      <w:tr>
        <w:trPr>
          <w:trHeight w:val="213"/>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1,242,406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604,643</w:t>
            </w: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135,898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135,828</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2,455,332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2,614,524</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Gaming licenses and other intangibles, net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1,063,169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1,111,398</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810,187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909,717</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Right-of-use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129,889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188,219</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Other assets, net</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76,224</w:t>
            </w:r>
          </w:p>
        </w:tc>
        <w:tc>
          <w:tcPr>
            <w:tcW w:w="120" w:type="dxa"/>
            <w:vAlign w:val="bottom"/>
            <w:shd w:val="clear" w:color="auto" w:fill="CFF0FC"/>
          </w:tcPr>
          <w:p>
            <w:pPr>
              <w:spacing w:after="0"/>
              <w:rPr>
                <w:sz w:val="19"/>
                <w:szCs w:val="19"/>
                <w:color w:val="auto"/>
              </w:rPr>
            </w:pPr>
          </w:p>
        </w:tc>
      </w:tr>
      <w:tr>
        <w:trPr>
          <w:trHeight w:val="247"/>
        </w:trPr>
        <w:tc>
          <w:tcPr>
            <w:tcW w:w="70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5,891,172</w:t>
            </w:r>
          </w:p>
        </w:tc>
        <w:tc>
          <w:tcPr>
            <w:tcW w:w="22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5,640,553</w:t>
            </w:r>
          </w:p>
        </w:tc>
        <w:tc>
          <w:tcPr>
            <w:tcW w:w="120" w:type="dxa"/>
            <w:vAlign w:val="bottom"/>
          </w:tcPr>
          <w:p>
            <w:pPr>
              <w:spacing w:after="0"/>
              <w:rPr>
                <w:sz w:val="21"/>
                <w:szCs w:val="21"/>
                <w:color w:val="auto"/>
              </w:rPr>
            </w:pPr>
          </w:p>
        </w:tc>
      </w:tr>
      <w:tr>
        <w:trPr>
          <w:trHeight w:val="199"/>
        </w:trPr>
        <w:tc>
          <w:tcPr>
            <w:tcW w:w="7060" w:type="dxa"/>
            <w:vAlign w:val="bottom"/>
            <w:tcBorders>
              <w:top w:val="single" w:sz="8" w:color="CFF0FC"/>
            </w:tcBorders>
            <w:shd w:val="clear" w:color="auto" w:fill="CFF0FC"/>
          </w:tcPr>
          <w:p>
            <w:pPr>
              <w:ind w:left="2220"/>
              <w:spacing w:after="0"/>
              <w:rPr>
                <w:sz w:val="20"/>
                <w:szCs w:val="20"/>
                <w:color w:val="auto"/>
              </w:rPr>
            </w:pPr>
            <w:r>
              <w:rPr>
                <w:rFonts w:ascii="Arial" w:cs="Arial" w:eastAsia="Arial" w:hAnsi="Arial"/>
                <w:sz w:val="16"/>
                <w:szCs w:val="16"/>
                <w:b w:val="1"/>
                <w:bCs w:val="1"/>
                <w:color w:val="auto"/>
              </w:rPr>
              <w:t>LIABILITIES AND STOCKHOLDERS’ EQUITY</w:t>
            </w:r>
          </w:p>
        </w:tc>
        <w:tc>
          <w:tcPr>
            <w:tcW w:w="1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246,109</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246,175</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61,951</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property, gaming and other taxes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43,050</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Accrued payroll and related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65,246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62,337</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interest</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36,480</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44,727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23,898</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lease obligation</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19,991</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Accrued other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157,230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157,079</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Liabilities related to assets held for sale</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131,672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37,485</w:t>
            </w:r>
          </w:p>
        </w:tc>
        <w:tc>
          <w:tcPr>
            <w:tcW w:w="120" w:type="dxa"/>
            <w:vAlign w:val="bottom"/>
            <w:shd w:val="clear" w:color="auto" w:fill="CFF0FC"/>
          </w:tcPr>
          <w:p>
            <w:pPr>
              <w:spacing w:after="0"/>
              <w:rPr>
                <w:sz w:val="19"/>
                <w:szCs w:val="19"/>
                <w:color w:val="auto"/>
              </w:rPr>
            </w:pPr>
          </w:p>
        </w:tc>
      </w:tr>
      <w:tr>
        <w:trPr>
          <w:trHeight w:val="206"/>
        </w:trPr>
        <w:tc>
          <w:tcPr>
            <w:tcW w:w="70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771,008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688,446</w:t>
            </w:r>
          </w:p>
        </w:tc>
        <w:tc>
          <w:tcPr>
            <w:tcW w:w="120" w:type="dxa"/>
            <w:vAlign w:val="bottom"/>
          </w:tcPr>
          <w:p>
            <w:pPr>
              <w:spacing w:after="0"/>
              <w:rPr>
                <w:sz w:val="17"/>
                <w:szCs w:val="17"/>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Long-term financing obligation to GLPI</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973,122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970,519</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2,780,691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2,324,541</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197,266</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Long-term lease obligation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99,449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176,932</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168,559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165,592</w:t>
            </w:r>
          </w:p>
        </w:tc>
        <w:tc>
          <w:tcPr>
            <w:tcW w:w="120" w:type="dxa"/>
            <w:vAlign w:val="bottom"/>
            <w:shd w:val="clear" w:color="auto" w:fill="CFF0FC"/>
          </w:tcPr>
          <w:p>
            <w:pPr>
              <w:spacing w:after="0"/>
              <w:rPr>
                <w:sz w:val="19"/>
                <w:szCs w:val="19"/>
                <w:color w:val="auto"/>
              </w:rPr>
            </w:pPr>
          </w:p>
        </w:tc>
      </w:tr>
      <w:tr>
        <w:trPr>
          <w:trHeight w:val="207"/>
        </w:trPr>
        <w:tc>
          <w:tcPr>
            <w:tcW w:w="70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4,950,963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4,523,296</w:t>
            </w:r>
          </w:p>
        </w:tc>
        <w:tc>
          <w:tcPr>
            <w:tcW w:w="120" w:type="dxa"/>
            <w:vAlign w:val="bottom"/>
          </w:tcPr>
          <w:p>
            <w:pPr>
              <w:spacing w:after="0"/>
              <w:rPr>
                <w:sz w:val="17"/>
                <w:szCs w:val="17"/>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13)</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STOCKHOLDERS' EQUITY: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200,000,000 shares authorized, 77,802,894</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77,569,117 issued and outstanding, net of treasury shares, par value</w:t>
            </w: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$0.00001 as of March 31, 2020 and December 31, 2019, respectively</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Paid-in capital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759,547</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190,825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366,463</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Treasury stock at cost, 223,823 shares held at March 31, 2020 and December 31, 2019</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(9,131)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(9,131)</w:t>
            </w: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FF0FC"/>
          </w:tcPr>
          <w:p>
            <w:pPr>
              <w:spacing w:after="0"/>
              <w:rPr>
                <w:sz w:val="19"/>
                <w:szCs w:val="19"/>
                <w:color w:val="auto"/>
              </w:rPr>
            </w:pPr>
          </w:p>
        </w:tc>
      </w:tr>
      <w:tr>
        <w:trPr>
          <w:trHeight w:val="206"/>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1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940,209</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1,117,257</w:t>
            </w:r>
          </w:p>
        </w:tc>
        <w:tc>
          <w:tcPr>
            <w:tcW w:w="120" w:type="dxa"/>
            <w:vAlign w:val="bottom"/>
            <w:tcBorders>
              <w:bottom w:val="single" w:sz="8" w:color="CFF0FC"/>
            </w:tcBorders>
          </w:tcPr>
          <w:p>
            <w:pPr>
              <w:spacing w:after="0"/>
              <w:rPr>
                <w:sz w:val="17"/>
                <w:szCs w:val="17"/>
                <w:color w:val="auto"/>
              </w:rPr>
            </w:pPr>
          </w:p>
        </w:tc>
      </w:tr>
      <w:tr>
        <w:trPr>
          <w:trHeight w:val="20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5,891,172</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5,640,553</w:t>
            </w:r>
          </w:p>
        </w:tc>
        <w:tc>
          <w:tcPr>
            <w:tcW w:w="120" w:type="dxa"/>
            <w:vAlign w:val="bottom"/>
            <w:shd w:val="clear" w:color="auto" w:fill="CFF0FC"/>
          </w:tcPr>
          <w:p>
            <w:pPr>
              <w:spacing w:after="0"/>
              <w:rPr>
                <w:sz w:val="18"/>
                <w:szCs w:val="18"/>
                <w:color w:val="auto"/>
              </w:rPr>
            </w:pP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2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339,749</w:t>
            </w:r>
          </w:p>
        </w:tc>
        <w:tc>
          <w:tcPr>
            <w:tcW w:w="3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470,686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56,246</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Hotel</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48,376</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28,698</w:t>
            </w:r>
          </w:p>
        </w:tc>
        <w:tc>
          <w:tcPr>
            <w:tcW w:w="3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revenues</w:t>
            </w:r>
          </w:p>
        </w:tc>
        <w:tc>
          <w:tcPr>
            <w:tcW w:w="18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473,069</w:t>
            </w:r>
          </w:p>
        </w:tc>
        <w:tc>
          <w:tcPr>
            <w:tcW w:w="3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159,156</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53,255</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Hotel</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22,268</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9,181</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24,953</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91,675</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16,482</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160,758</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50,433</w:t>
            </w:r>
          </w:p>
        </w:tc>
        <w:tc>
          <w:tcPr>
            <w:tcW w:w="3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588,161</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Gain on sale or disposal of property and equipment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1,458</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Transaction expenses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(9,294)</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(Loss) income from unconsolidated affiliates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18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(123,180)</w:t>
            </w:r>
          </w:p>
        </w:tc>
        <w:tc>
          <w:tcPr>
            <w:tcW w:w="3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(66,464)</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(73,510)</w:t>
            </w: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4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investments and marketable securities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(23,008)</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18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(89,630)</w:t>
            </w:r>
          </w:p>
        </w:tc>
        <w:tc>
          <w:tcPr>
            <w:tcW w:w="36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(212,810)</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37,172</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(175,638)</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(loss) income per share of common stock:</w:t>
            </w: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(2.25)</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FF0FC"/>
            </w:tcBorders>
            <w:vMerge w:val="continue"/>
          </w:tcPr>
          <w:p>
            <w:pPr>
              <w:spacing w:after="0"/>
              <w:rPr>
                <w:sz w:val="21"/>
                <w:szCs w:val="21"/>
                <w:color w:val="auto"/>
              </w:rPr>
            </w:pPr>
          </w:p>
        </w:tc>
        <w:tc>
          <w:tcPr>
            <w:tcW w:w="18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6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1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77,954,038</w:t>
            </w:r>
          </w:p>
        </w:tc>
        <w:tc>
          <w:tcPr>
            <w:tcW w:w="3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77,567,147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77,954,038</w:t>
            </w: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78,589,110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8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8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(175,638)</w:t>
            </w: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120" w:type="dxa"/>
            <w:vAlign w:val="bottom"/>
            <w:shd w:val="clear" w:color="auto" w:fill="CFF0FC"/>
          </w:tcPr>
          <w:p>
            <w:pPr>
              <w:spacing w:after="0"/>
              <w:rPr>
                <w:sz w:val="19"/>
                <w:szCs w:val="19"/>
                <w:color w:val="auto"/>
              </w:rPr>
            </w:pP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income, net of tax</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(175,638)</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4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Balance, December 31, 2019</w:t>
            </w:r>
          </w:p>
        </w:tc>
        <w:tc>
          <w:tcPr>
            <w:tcW w:w="860" w:type="dxa"/>
            <w:vAlign w:val="bottom"/>
          </w:tcPr>
          <w:p>
            <w:pPr>
              <w:jc w:val="right"/>
              <w:spacing w:after="0"/>
              <w:rPr>
                <w:sz w:val="20"/>
                <w:szCs w:val="20"/>
                <w:color w:val="auto"/>
              </w:rPr>
            </w:pPr>
            <w:r>
              <w:rPr>
                <w:rFonts w:ascii="Arial" w:cs="Arial" w:eastAsia="Arial" w:hAnsi="Arial"/>
                <w:sz w:val="16"/>
                <w:szCs w:val="16"/>
                <w:color w:val="auto"/>
              </w:rPr>
              <w:t>77,792,940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759,547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366,463</w:t>
            </w:r>
          </w:p>
        </w:tc>
        <w:tc>
          <w:tcPr>
            <w:tcW w:w="2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223,823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1,117,257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356,367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(175,638)</w:t>
            </w:r>
          </w:p>
        </w:tc>
        <w:tc>
          <w:tcPr>
            <w:tcW w:w="1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(175,638)</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withheld related to net share</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stock awards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(122,590)</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(7,152)</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(7,152)</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Balance, March 31, 2020</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78,026,717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758,137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190,825</w:t>
            </w:r>
          </w:p>
        </w:tc>
        <w:tc>
          <w:tcPr>
            <w:tcW w:w="2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223,823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940,209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77,438,889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748,076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290,206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223,823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1,029,153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260"/>
              <w:spacing w:after="0"/>
              <w:rPr>
                <w:sz w:val="20"/>
                <w:szCs w:val="20"/>
                <w:color w:val="auto"/>
              </w:rPr>
            </w:pPr>
            <w:r>
              <w:rPr>
                <w:rFonts w:ascii="Arial" w:cs="Arial" w:eastAsia="Arial" w:hAnsi="Arial"/>
                <w:sz w:val="16"/>
                <w:szCs w:val="16"/>
                <w:color w:val="auto"/>
              </w:rPr>
              <w:t>Cumulative change in accounting</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60"/>
              <w:spacing w:after="0"/>
              <w:rPr>
                <w:sz w:val="20"/>
                <w:szCs w:val="20"/>
                <w:color w:val="auto"/>
              </w:rPr>
            </w:pPr>
            <w:r>
              <w:rPr>
                <w:rFonts w:ascii="Arial" w:cs="Arial" w:eastAsia="Arial" w:hAnsi="Arial"/>
                <w:sz w:val="16"/>
                <w:szCs w:val="16"/>
                <w:color w:val="auto"/>
              </w:rPr>
              <w:t>principle, net of tax</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(4,744)</w:t>
            </w:r>
          </w:p>
        </w:tc>
        <w:tc>
          <w:tcPr>
            <w:tcW w:w="1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330,641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38,229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withheld related to net share</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stock awards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(106,542)</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120" w:type="dxa"/>
            <w:vAlign w:val="bottom"/>
          </w:tcPr>
          <w:p>
            <w:pPr>
              <w:spacing w:after="0"/>
              <w:rPr>
                <w:sz w:val="20"/>
                <w:szCs w:val="20"/>
                <w:color w:val="auto"/>
              </w:rPr>
            </w:pPr>
            <w:r>
              <w:rPr>
                <w:rFonts w:ascii="Arial" w:cs="Arial" w:eastAsia="Arial" w:hAnsi="Arial"/>
                <w:sz w:val="16"/>
                <w:szCs w:val="16"/>
                <w:color w:val="auto"/>
              </w:rPr>
              <w:t>Balance, March 31, 2019</w:t>
            </w:r>
          </w:p>
        </w:tc>
        <w:tc>
          <w:tcPr>
            <w:tcW w:w="860" w:type="dxa"/>
            <w:vAlign w:val="bottom"/>
          </w:tcPr>
          <w:p>
            <w:pPr>
              <w:jc w:val="right"/>
              <w:spacing w:after="0"/>
              <w:rPr>
                <w:sz w:val="20"/>
                <w:szCs w:val="20"/>
                <w:color w:val="auto"/>
              </w:rPr>
            </w:pPr>
            <w:r>
              <w:rPr>
                <w:rFonts w:ascii="Arial" w:cs="Arial" w:eastAsia="Arial" w:hAnsi="Arial"/>
                <w:sz w:val="16"/>
                <w:szCs w:val="16"/>
                <w:color w:val="auto"/>
              </w:rPr>
              <w:t>77,662,988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748,702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323,691</w:t>
            </w:r>
          </w:p>
        </w:tc>
        <w:tc>
          <w:tcPr>
            <w:tcW w:w="2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223,823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1,063,264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w w:val="99"/>
              </w:rPr>
              <w:t>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3"/>
                <w:szCs w:val="13"/>
                <w:b w:val="1"/>
                <w:bCs w:val="1"/>
                <w:color w:val="auto"/>
              </w:rPr>
              <w:t>March 31,</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540" w:type="dxa"/>
            <w:vAlign w:val="bottom"/>
            <w:tcBorders>
              <w:bottom w:val="single" w:sz="8" w:color="CFF0FC"/>
            </w:tcBorders>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42"/>
        </w:trPr>
        <w:tc>
          <w:tcPr>
            <w:tcW w:w="65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spacing w:after="0"/>
              <w:rPr>
                <w:sz w:val="20"/>
                <w:szCs w:val="20"/>
                <w:color w:val="auto"/>
              </w:rPr>
            </w:pPr>
            <w:r>
              <w:rPr>
                <w:rFonts w:ascii="Arial" w:cs="Arial" w:eastAsia="Arial" w:hAnsi="Arial"/>
                <w:sz w:val="13"/>
                <w:szCs w:val="13"/>
                <w:color w:val="auto"/>
              </w:rPr>
              <w:t>Net (loss) income</w:t>
            </w:r>
          </w:p>
        </w:tc>
        <w:tc>
          <w:tcPr>
            <w:tcW w:w="2280" w:type="dxa"/>
            <w:vAlign w:val="bottom"/>
            <w:gridSpan w:val="2"/>
          </w:tcPr>
          <w:p>
            <w:pPr>
              <w:jc w:val="right"/>
              <w:ind w:right="724"/>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(175,638)</w:t>
            </w: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38,229</w:t>
            </w:r>
          </w:p>
        </w:tc>
        <w:tc>
          <w:tcPr>
            <w:tcW w:w="120" w:type="dxa"/>
            <w:vAlign w:val="bottom"/>
          </w:tcPr>
          <w:p>
            <w:pPr>
              <w:spacing w:after="0"/>
              <w:rPr>
                <w:sz w:val="12"/>
                <w:szCs w:val="12"/>
                <w:color w:val="auto"/>
              </w:rPr>
            </w:pPr>
          </w:p>
        </w:tc>
      </w:tr>
      <w:tr>
        <w:trPr>
          <w:trHeight w:val="134"/>
        </w:trPr>
        <w:tc>
          <w:tcPr>
            <w:tcW w:w="6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(loss) income to net cash provided by operating</w:t>
            </w:r>
          </w:p>
        </w:tc>
        <w:tc>
          <w:tcPr>
            <w:tcW w:w="14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65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activities: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50,433</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57,757</w:t>
            </w: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4,187</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4,547</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(1,889)</w:t>
            </w:r>
          </w:p>
        </w:tc>
        <w:tc>
          <w:tcPr>
            <w:tcW w:w="4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(1,397)</w:t>
            </w: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 loss (gain) of unconsolidated affiliates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(605)</w:t>
            </w:r>
          </w:p>
        </w:tc>
      </w:tr>
      <w:tr>
        <w:trPr>
          <w:trHeight w:val="149"/>
        </w:trPr>
        <w:tc>
          <w:tcPr>
            <w:tcW w:w="6540" w:type="dxa"/>
            <w:vAlign w:val="bottom"/>
          </w:tcPr>
          <w:p>
            <w:pPr>
              <w:ind w:left="260"/>
              <w:spacing w:after="0"/>
              <w:rPr>
                <w:sz w:val="20"/>
                <w:szCs w:val="20"/>
                <w:color w:val="auto"/>
              </w:rPr>
            </w:pPr>
            <w:r>
              <w:rPr>
                <w:rFonts w:ascii="Arial" w:cs="Arial" w:eastAsia="Arial" w:hAnsi="Arial"/>
                <w:sz w:val="13"/>
                <w:szCs w:val="13"/>
                <w:color w:val="auto"/>
              </w:rPr>
              <w:t>Loss on extinguishment of debt</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158</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 amortization</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855</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Unrealized loss on investments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23,008</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1,460</w:t>
            </w: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compensation expense</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4,948</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Gain on sale or disposal of property and equipment</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(1,458)</w:t>
            </w:r>
          </w:p>
        </w:tc>
        <w:tc>
          <w:tcPr>
            <w:tcW w:w="4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(22,318)</w:t>
            </w:r>
          </w:p>
        </w:tc>
      </w:tr>
      <w:tr>
        <w:trPr>
          <w:trHeight w:val="149"/>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Impairment charges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160,758</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(Benefit) provision for deferred income taxes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(39,130)</w:t>
            </w: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5,224</w:t>
            </w: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spacing w:after="0"/>
              <w:rPr>
                <w:sz w:val="20"/>
                <w:szCs w:val="20"/>
                <w:color w:val="auto"/>
              </w:rPr>
            </w:pPr>
            <w:r>
              <w:rPr>
                <w:rFonts w:ascii="Arial" w:cs="Arial" w:eastAsia="Arial" w:hAnsi="Arial"/>
                <w:sz w:val="13"/>
                <w:szCs w:val="13"/>
                <w:color w:val="auto"/>
              </w:rPr>
              <w:t>Change in operating assets and liabilities: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8,603</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(3,933)</w:t>
            </w: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Prepaid expenses and other assets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589</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14,331</w:t>
            </w:r>
          </w:p>
        </w:tc>
        <w:tc>
          <w:tcPr>
            <w:tcW w:w="120" w:type="dxa"/>
            <w:vAlign w:val="bottom"/>
          </w:tcPr>
          <w:p>
            <w:pPr>
              <w:spacing w:after="0"/>
              <w:rPr>
                <w:sz w:val="12"/>
                <w:szCs w:val="12"/>
                <w:color w:val="auto"/>
              </w:rPr>
            </w:pPr>
          </w:p>
        </w:tc>
      </w:tr>
      <w:tr>
        <w:trPr>
          <w:trHeight w:val="149"/>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payable</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20,829</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(26,398)</w:t>
            </w: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Accounts payable and accrued other liabilities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(27,135)</w:t>
            </w:r>
          </w:p>
        </w:tc>
        <w:tc>
          <w:tcPr>
            <w:tcW w:w="4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(8,183)</w:t>
            </w:r>
          </w:p>
        </w:tc>
      </w:tr>
      <w:tr>
        <w:trPr>
          <w:trHeight w:val="142"/>
        </w:trPr>
        <w:tc>
          <w:tcPr>
            <w:tcW w:w="654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4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30,524</w:t>
            </w:r>
          </w:p>
        </w:tc>
        <w:tc>
          <w:tcPr>
            <w:tcW w:w="4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65,440</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540" w:type="dxa"/>
            <w:vAlign w:val="bottom"/>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property and equipment, net</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(23,201)</w:t>
            </w: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(38,360)</w:t>
            </w: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Purchase of restricted investments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(82)</w:t>
            </w:r>
          </w:p>
        </w:tc>
        <w:tc>
          <w:tcPr>
            <w:tcW w:w="4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 and proceeds from sale of businesses, property and equipment, net of cash sold</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10,515</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167,945</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Investment in and loans to unconsolidated affiliates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(321)</w:t>
            </w:r>
          </w:p>
        </w:tc>
        <w:tc>
          <w:tcPr>
            <w:tcW w:w="4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2"/>
        </w:trPr>
        <w:tc>
          <w:tcPr>
            <w:tcW w:w="654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Net cash (used in) provided by investing activities</w:t>
            </w:r>
          </w:p>
        </w:tc>
        <w:tc>
          <w:tcPr>
            <w:tcW w:w="14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(13,089)</w:t>
            </w:r>
          </w:p>
        </w:tc>
        <w:tc>
          <w:tcPr>
            <w:tcW w:w="4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129,505</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540" w:type="dxa"/>
            <w:vAlign w:val="bottom"/>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(205,000)</w:t>
            </w:r>
          </w:p>
        </w:tc>
      </w:tr>
      <w:tr>
        <w:trPr>
          <w:trHeight w:val="149"/>
        </w:trPr>
        <w:tc>
          <w:tcPr>
            <w:tcW w:w="6540" w:type="dxa"/>
            <w:vAlign w:val="bottom"/>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465,000</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Term Loan</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(10,000)</w:t>
            </w: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540" w:type="dxa"/>
            <w:vAlign w:val="bottom"/>
          </w:tcPr>
          <w:p>
            <w:pPr>
              <w:ind w:left="260"/>
              <w:spacing w:after="0"/>
              <w:rPr>
                <w:sz w:val="20"/>
                <w:szCs w:val="20"/>
                <w:color w:val="auto"/>
              </w:rPr>
            </w:pPr>
            <w:r>
              <w:rPr>
                <w:rFonts w:ascii="Arial" w:cs="Arial" w:eastAsia="Arial" w:hAnsi="Arial"/>
                <w:sz w:val="13"/>
                <w:szCs w:val="13"/>
                <w:color w:val="auto"/>
              </w:rPr>
              <w:t>Debt issuance costs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(386)</w:t>
            </w: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Taxes paid related to net share settlement of equity awards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(7,152)</w:t>
            </w: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(4,322)</w:t>
            </w:r>
          </w:p>
        </w:tc>
      </w:tr>
      <w:tr>
        <w:trPr>
          <w:trHeight w:val="148"/>
        </w:trPr>
        <w:tc>
          <w:tcPr>
            <w:tcW w:w="6540" w:type="dxa"/>
            <w:vAlign w:val="bottom"/>
          </w:tcPr>
          <w:p>
            <w:pPr>
              <w:ind w:left="260"/>
              <w:spacing w:after="0"/>
              <w:rPr>
                <w:sz w:val="20"/>
                <w:szCs w:val="20"/>
                <w:color w:val="auto"/>
              </w:rPr>
            </w:pPr>
            <w:r>
              <w:rPr>
                <w:rFonts w:ascii="Arial" w:cs="Arial" w:eastAsia="Arial" w:hAnsi="Arial"/>
                <w:sz w:val="13"/>
                <w:szCs w:val="13"/>
                <w:color w:val="auto"/>
              </w:rPr>
              <w:t>Payments on other long-term payables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(109)</w:t>
            </w:r>
          </w:p>
        </w:tc>
        <w:tc>
          <w:tcPr>
            <w:tcW w:w="4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(118)</w:t>
            </w:r>
          </w:p>
        </w:tc>
      </w:tr>
      <w:tr>
        <w:trPr>
          <w:trHeight w:val="142"/>
        </w:trPr>
        <w:tc>
          <w:tcPr>
            <w:tcW w:w="654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14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447,739</w:t>
            </w:r>
          </w:p>
        </w:tc>
        <w:tc>
          <w:tcPr>
            <w:tcW w:w="4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(209,826)</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Increase (decrease) in cash, cash equivalents and restricted cash</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465,174</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(14,881)</w:t>
            </w:r>
          </w:p>
        </w:tc>
      </w:tr>
      <w:tr>
        <w:trPr>
          <w:trHeight w:val="149"/>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Cash, cash equivalents and restricted cash, beginning of period</w:t>
            </w:r>
          </w:p>
        </w:tc>
        <w:tc>
          <w:tcPr>
            <w:tcW w:w="14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216,578</w:t>
            </w:r>
          </w:p>
        </w:tc>
        <w:tc>
          <w:tcPr>
            <w:tcW w:w="42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246,691</w:t>
            </w:r>
          </w:p>
        </w:tc>
        <w:tc>
          <w:tcPr>
            <w:tcW w:w="120" w:type="dxa"/>
            <w:vAlign w:val="bottom"/>
            <w:tcBorders>
              <w:bottom w:val="single" w:sz="8" w:color="CFF0FC"/>
            </w:tcBorders>
          </w:tcPr>
          <w:p>
            <w:pPr>
              <w:spacing w:after="0"/>
              <w:rPr>
                <w:sz w:val="12"/>
                <w:szCs w:val="12"/>
                <w:color w:val="auto"/>
              </w:rPr>
            </w:pPr>
          </w:p>
        </w:tc>
      </w:tr>
      <w:tr>
        <w:trPr>
          <w:trHeight w:val="142"/>
        </w:trPr>
        <w:tc>
          <w:tcPr>
            <w:tcW w:w="654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Cash, cash equivalents and restricted cash, end of period</w:t>
            </w:r>
          </w:p>
        </w:tc>
        <w:tc>
          <w:tcPr>
            <w:tcW w:w="14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724"/>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681,752</w:t>
            </w:r>
          </w:p>
        </w:tc>
        <w:tc>
          <w:tcPr>
            <w:tcW w:w="4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231,810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6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14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65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AMOUNTS REPORTED WITHIN THE CONDENSED CONSOLIDATED BALANCE SHEETS: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540" w:type="dxa"/>
            <w:vAlign w:val="bottom"/>
          </w:tcPr>
          <w:p>
            <w:pPr>
              <w:ind w:left="260"/>
              <w:spacing w:after="0"/>
              <w:rPr>
                <w:sz w:val="20"/>
                <w:szCs w:val="20"/>
                <w:color w:val="auto"/>
              </w:rPr>
            </w:pPr>
            <w:r>
              <w:rPr>
                <w:rFonts w:ascii="Arial" w:cs="Arial" w:eastAsia="Arial" w:hAnsi="Arial"/>
                <w:sz w:val="13"/>
                <w:szCs w:val="13"/>
                <w:color w:val="auto"/>
              </w:rPr>
              <w:t>Cash and cash equivalents</w:t>
            </w:r>
          </w:p>
        </w:tc>
        <w:tc>
          <w:tcPr>
            <w:tcW w:w="2280" w:type="dxa"/>
            <w:vAlign w:val="bottom"/>
            <w:gridSpan w:val="2"/>
          </w:tcPr>
          <w:p>
            <w:pPr>
              <w:jc w:val="right"/>
              <w:ind w:right="72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671,747</w:t>
            </w:r>
          </w:p>
        </w:tc>
        <w:tc>
          <w:tcPr>
            <w:tcW w:w="420" w:type="dxa"/>
            <w:vAlign w:val="bottom"/>
          </w:tcPr>
          <w:p>
            <w:pPr>
              <w:spacing w:after="0"/>
              <w:rPr>
                <w:sz w:val="12"/>
                <w:szCs w:val="12"/>
                <w:color w:val="auto"/>
              </w:rPr>
            </w:pP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216,883</w:t>
            </w: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cash</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3,567</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7,892</w:t>
            </w:r>
          </w:p>
        </w:tc>
        <w:tc>
          <w:tcPr>
            <w:tcW w:w="120" w:type="dxa"/>
            <w:vAlign w:val="bottom"/>
            <w:shd w:val="clear" w:color="auto" w:fill="CFF0FC"/>
          </w:tcPr>
          <w:p>
            <w:pPr>
              <w:spacing w:after="0"/>
              <w:rPr>
                <w:sz w:val="12"/>
                <w:szCs w:val="12"/>
                <w:color w:val="auto"/>
              </w:rPr>
            </w:pPr>
          </w:p>
        </w:tc>
      </w:tr>
      <w:tr>
        <w:trPr>
          <w:trHeight w:val="149"/>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Restricted and escrow cash included in other noncurrent assets</w:t>
            </w:r>
          </w:p>
        </w:tc>
        <w:tc>
          <w:tcPr>
            <w:tcW w:w="14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6,438</w:t>
            </w:r>
          </w:p>
        </w:tc>
        <w:tc>
          <w:tcPr>
            <w:tcW w:w="42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7,035</w:t>
            </w:r>
          </w:p>
        </w:tc>
        <w:tc>
          <w:tcPr>
            <w:tcW w:w="120" w:type="dxa"/>
            <w:vAlign w:val="bottom"/>
            <w:tcBorders>
              <w:bottom w:val="single" w:sz="8" w:color="CFF0FC"/>
            </w:tcBorders>
          </w:tcPr>
          <w:p>
            <w:pPr>
              <w:spacing w:after="0"/>
              <w:rPr>
                <w:sz w:val="12"/>
                <w:szCs w:val="12"/>
                <w:color w:val="auto"/>
              </w:rPr>
            </w:pPr>
          </w:p>
        </w:tc>
      </w:tr>
      <w:tr>
        <w:trPr>
          <w:trHeight w:val="142"/>
        </w:trPr>
        <w:tc>
          <w:tcPr>
            <w:tcW w:w="65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cash, cash equivalents and restricted cash</w:t>
            </w:r>
          </w:p>
        </w:tc>
        <w:tc>
          <w:tcPr>
            <w:tcW w:w="14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724"/>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681,752</w:t>
            </w:r>
          </w:p>
        </w:tc>
        <w:tc>
          <w:tcPr>
            <w:tcW w:w="4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231,810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6540" w:type="dxa"/>
            <w:vAlign w:val="bottom"/>
            <w:shd w:val="clear" w:color="auto" w:fill="CFF0FC"/>
          </w:tcPr>
          <w:p>
            <w:pPr>
              <w:spacing w:after="0"/>
              <w:rPr>
                <w:sz w:val="20"/>
                <w:szCs w:val="20"/>
                <w:color w:val="auto"/>
              </w:rPr>
            </w:pPr>
            <w:r>
              <w:rPr>
                <w:rFonts w:ascii="Arial" w:cs="Arial" w:eastAsia="Arial" w:hAnsi="Arial"/>
                <w:sz w:val="13"/>
                <w:szCs w:val="13"/>
                <w:color w:val="auto"/>
              </w:rPr>
              <w:t>SUPPLEMENTAL DISCLOSURE OF CASH FLOW INFORMATION:</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540" w:type="dxa"/>
            <w:vAlign w:val="bottom"/>
          </w:tcPr>
          <w:p>
            <w:pPr>
              <w:ind w:left="260"/>
              <w:spacing w:after="0"/>
              <w:rPr>
                <w:sz w:val="20"/>
                <w:szCs w:val="20"/>
                <w:color w:val="auto"/>
              </w:rPr>
            </w:pPr>
            <w:r>
              <w:rPr>
                <w:rFonts w:ascii="Arial" w:cs="Arial" w:eastAsia="Arial" w:hAnsi="Arial"/>
                <w:sz w:val="13"/>
                <w:szCs w:val="13"/>
                <w:color w:val="auto"/>
              </w:rPr>
              <w:t>Interest paid</w:t>
            </w:r>
          </w:p>
        </w:tc>
        <w:tc>
          <w:tcPr>
            <w:tcW w:w="2280" w:type="dxa"/>
            <w:vAlign w:val="bottom"/>
            <w:gridSpan w:val="2"/>
          </w:tcPr>
          <w:p>
            <w:pPr>
              <w:jc w:val="right"/>
              <w:ind w:right="72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63,527</w:t>
            </w:r>
          </w:p>
        </w:tc>
        <w:tc>
          <w:tcPr>
            <w:tcW w:w="420" w:type="dxa"/>
            <w:vAlign w:val="bottom"/>
          </w:tcPr>
          <w:p>
            <w:pPr>
              <w:spacing w:after="0"/>
              <w:rPr>
                <w:sz w:val="12"/>
                <w:szCs w:val="12"/>
                <w:color w:val="auto"/>
              </w:rPr>
            </w:pP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62,885</w:t>
            </w:r>
          </w:p>
        </w:tc>
        <w:tc>
          <w:tcPr>
            <w:tcW w:w="120" w:type="dxa"/>
            <w:vAlign w:val="bottom"/>
          </w:tcPr>
          <w:p>
            <w:pPr>
              <w:spacing w:after="0"/>
              <w:rPr>
                <w:sz w:val="12"/>
                <w:szCs w:val="12"/>
                <w:color w:val="auto"/>
              </w:rPr>
            </w:pPr>
          </w:p>
        </w:tc>
      </w:tr>
      <w:tr>
        <w:trPr>
          <w:trHeight w:val="148"/>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(refunded) paid, net</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(16,141)</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38,898</w:t>
            </w:r>
          </w:p>
        </w:tc>
        <w:tc>
          <w:tcPr>
            <w:tcW w:w="120" w:type="dxa"/>
            <w:vAlign w:val="bottom"/>
            <w:shd w:val="clear" w:color="auto" w:fill="CFF0FC"/>
          </w:tcPr>
          <w:p>
            <w:pPr>
              <w:spacing w:after="0"/>
              <w:rPr>
                <w:sz w:val="12"/>
                <w:szCs w:val="12"/>
                <w:color w:val="auto"/>
              </w:rPr>
            </w:pPr>
          </w:p>
        </w:tc>
      </w:tr>
      <w:tr>
        <w:trPr>
          <w:trHeight w:val="148"/>
        </w:trPr>
        <w:tc>
          <w:tcPr>
            <w:tcW w:w="6540" w:type="dxa"/>
            <w:vAlign w:val="bottom"/>
          </w:tcPr>
          <w:p>
            <w:pPr>
              <w:spacing w:after="0"/>
              <w:rPr>
                <w:sz w:val="20"/>
                <w:szCs w:val="20"/>
                <w:color w:val="auto"/>
              </w:rPr>
            </w:pPr>
            <w:r>
              <w:rPr>
                <w:rFonts w:ascii="Arial" w:cs="Arial" w:eastAsia="Arial" w:hAnsi="Arial"/>
                <w:sz w:val="13"/>
                <w:szCs w:val="13"/>
                <w:color w:val="auto"/>
              </w:rPr>
              <w:t>NON-CASH FINANCING ACTIVITIES:</w:t>
            </w: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Payables for capital expenditures</w:t>
            </w: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15,957</w:t>
            </w:r>
          </w:p>
        </w:tc>
        <w:tc>
          <w:tcPr>
            <w:tcW w:w="4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10,676</w:t>
            </w:r>
          </w:p>
        </w:tc>
        <w:tc>
          <w:tcPr>
            <w:tcW w:w="120" w:type="dxa"/>
            <w:vAlign w:val="bottom"/>
            <w:shd w:val="clear" w:color="auto" w:fill="CFF0FC"/>
          </w:tcPr>
          <w:p>
            <w:pPr>
              <w:spacing w:after="0"/>
              <w:rPr>
                <w:sz w:val="12"/>
                <w:szCs w:val="1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760" w:firstLine="54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Eldorado Resorts, Inc. (“ERI” or the “Company”), a Nevada corporation formed in September 2013, and its consolidated subsidiaries.</w:t>
      </w:r>
    </w:p>
    <w:p>
      <w:pPr>
        <w:spacing w:after="0" w:line="170"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The Company is a geographically diversified gaming and hospitality company with 23 gaming facilities in 11 states as of March 31, 2020. The Company’s properties, which are located in Colorado, Florida, Illinois, Indiana, Iowa, Mississippi, Missouri, Louisiana, Nevada, New Jersey and Ohio, feature approximately 23,900 slot machines, video lottery terminals (“VLTs”) and e-tables, approximately 660 table games and approximately 11,300 hotel rooms. The Company’s primary source of revenue is generated by gaming operations, and the Company utilizes its hotels, restaurants, bars, entertainment, racing, sportsbook offerings, retail shops and other services to attract customers to its properties.</w:t>
      </w:r>
    </w:p>
    <w:p>
      <w:pPr>
        <w:spacing w:after="0" w:line="176"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The Company was founded in 1973 by the Carano family with the opening of the Eldorado Hotel Casino in Reno, Nevada. In 1993, the Company partnered with MGM Resorts International to build Silver Legacy Resort Casino, the first mega-themed resort in Reno. In 2005, the Company acquired its first property outside of Reno when it purchased a casino in Shreveport, Louisiana, now known as Eldorado Shreveport. In September 2014, the Company merged with MTR Gaming Group, Inc. and acquired gaming and racing facilities in Ohio, Pennsylvania and West Virginia. The following year, in November 2015, the Company acquired Circus Circus Reno (“Circus Reno”) and the 50% membership interest in the Silver Legacy that was owned by MGM Resorts International. On May 1, 2017, the Company completed its acquisition of Isle of Capri Casinos, Inc. (“Isle” or “Isle of Capri”), adding 13 gaming properties to its portfolio (the “Isle Acquisition”). On August 7, 2018, the Company acquired the Elgin Riverboat Resort – Riverboat Casino d/b/a Grand Victoria Casino (“Elgin”) (the “Elgin Acquisition”). On October 1, 2018, the Company completed its acquisition of Tropicana Entertainment, Inc. (“Tropicana”), adding seven properties to its portfolio (the “Tropicana Acquisition”).</w:t>
      </w:r>
    </w:p>
    <w:p>
      <w:pPr>
        <w:spacing w:after="0" w:line="181" w:lineRule="exact"/>
        <w:rPr>
          <w:sz w:val="20"/>
          <w:szCs w:val="20"/>
          <w:color w:val="auto"/>
        </w:rPr>
      </w:pPr>
    </w:p>
    <w:p>
      <w:pPr>
        <w:ind w:right="140" w:firstLine="546"/>
        <w:spacing w:after="0" w:line="279" w:lineRule="auto"/>
        <w:rPr>
          <w:sz w:val="20"/>
          <w:szCs w:val="20"/>
          <w:color w:val="auto"/>
        </w:rPr>
      </w:pPr>
      <w:r>
        <w:rPr>
          <w:rFonts w:ascii="Arial" w:cs="Arial" w:eastAsia="Arial" w:hAnsi="Arial"/>
          <w:sz w:val="17"/>
          <w:szCs w:val="17"/>
          <w:color w:val="auto"/>
        </w:rPr>
        <w:t>On January 11, 2019 and March 8, 2019, respectively, the Company completed its sales of Presque Isle Downs &amp; Casino (“Presque”) and Lady Luck Casino Nemacolin (“Nemacolin”), which are both located in Pennsylvania. On December 6, 2019, the Company completed its sales of Mountaineer Casino, Racetrack and Resort (“Mountaineer”), Isle Casino Cape Girardeau (“Cape Girardeau”) and Lady Luck Casino Caruthersville (“Caruthersville”). Mountaineer is located in West Virginia and Cape Girardeau and Caruthersville are located in Missouri.</w:t>
      </w:r>
    </w:p>
    <w:p>
      <w:pPr>
        <w:spacing w:after="0" w:line="212" w:lineRule="exact"/>
        <w:rPr>
          <w:sz w:val="20"/>
          <w:szCs w:val="20"/>
          <w:color w:val="auto"/>
        </w:rPr>
      </w:pPr>
    </w:p>
    <w:p>
      <w:pPr>
        <w:ind w:right="220" w:firstLine="546"/>
        <w:spacing w:after="0" w:line="271" w:lineRule="auto"/>
        <w:rPr>
          <w:sz w:val="20"/>
          <w:szCs w:val="20"/>
          <w:color w:val="auto"/>
        </w:rPr>
      </w:pPr>
      <w:r>
        <w:rPr>
          <w:rFonts w:ascii="Arial" w:cs="Arial" w:eastAsia="Arial" w:hAnsi="Arial"/>
          <w:sz w:val="17"/>
          <w:szCs w:val="17"/>
          <w:color w:val="auto"/>
        </w:rPr>
        <w:t>On June 24, 2019, the Company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In connection with the execution of the Merger Agreement, the Company also entered into a Master Transaction Agreement (the “MTA”) with VICI Properties L.P., a Delaware limited partnership (“VICI”), pursuant to which, among other things, the Company has agreed to consummate one or more sale and leaseback transactions with VICI and/or its affiliates with respect to certain property described in the MTA. Consummation of the Merger is subject to the satisfaction or waiver of certain conditions, including anti-trust and regulatory approvals. The Company expects that the Merger will be consummated in mid-2020.</w:t>
      </w:r>
    </w:p>
    <w:p>
      <w:pPr>
        <w:spacing w:after="0" w:line="205"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On July 10, 2019, the Company entered into a definitive agreement to sell the equity interests of Rainbow Casino Vicksburg Partnership, L.P. and IOC-Kansas City, L.L.C., the entities that hold Lady Luck Casino Vicksburg and Isle of Capri Casino Kansas City, to Twin River Worldwide Holdings, Inc. (“Twin River”). The definitive agreement provides that the consummation of the sale is subject to satisfaction of customary conditions, including receipt of required regulatory approvals. The transaction is expected to be consummated in the second quarter of 2020. See Note 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140" w:firstLine="546"/>
        <w:spacing w:after="0" w:line="270" w:lineRule="auto"/>
        <w:rPr>
          <w:sz w:val="20"/>
          <w:szCs w:val="20"/>
          <w:color w:val="auto"/>
        </w:rPr>
      </w:pPr>
      <w:r>
        <w:rPr>
          <w:rFonts w:ascii="Arial" w:cs="Arial" w:eastAsia="Arial" w:hAnsi="Arial"/>
          <w:sz w:val="17"/>
          <w:szCs w:val="17"/>
          <w:color w:val="auto"/>
        </w:rPr>
        <w:t>On January 13, 2020 and March 9, 2020, respectively, the Company entered into definitive purchase agreements to sell the equity interests of Eldorado Resort Casino Shreveport Joint Venture and Columbia Properties Tahoe, LLC, the entities that hold Eldorado Shreveport and MontBleu, to Maverick Gaming LLC (“Maverick”). On April 24, 2020, the agreements with Maverick were terminated and the Company entered into a definitive purchase agreement with Twin River Worldwide Holdings, Inc. and certain of its affiliates for the sale of the equity interests of Eldorado Resort Casino Shreveport Joint Venture and Columbia Properties Tahoe, LLC for aggregate consideration of $155 million, subject to a working capital adjustment. The definitive agreement provides that the consummation of the sale is subject to satisfaction of customary conditions, including receipt of required regulatory approvals, and further provides that the Company’s obligation to consummate the sale is subject to the closing of the Merger with Caesars and the buyer’s obligation to consummate the sale is subject to receipt of financing sufficient to enable it to pay the consideration due at closing. The transaction is expected to close in the first quarter of 2021.</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Segment</w:t>
            </w:r>
          </w:p>
        </w:tc>
        <w:tc>
          <w:tcPr>
            <w:tcW w:w="5400" w:type="dxa"/>
            <w:vAlign w:val="bottom"/>
            <w:gridSpan w:val="2"/>
          </w:tcPr>
          <w:p>
            <w:pPr>
              <w:ind w:left="2280"/>
              <w:spacing w:after="0"/>
              <w:rPr>
                <w:sz w:val="20"/>
                <w:szCs w:val="20"/>
                <w:color w:val="auto"/>
              </w:rPr>
            </w:pPr>
            <w:r>
              <w:rPr>
                <w:rFonts w:ascii="Arial" w:cs="Arial" w:eastAsia="Arial" w:hAnsi="Arial"/>
                <w:sz w:val="14"/>
                <w:szCs w:val="14"/>
                <w:b w:val="1"/>
                <w:bCs w:val="1"/>
                <w:color w:val="auto"/>
              </w:rPr>
              <w:t>Property</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 Acquired</w:t>
            </w:r>
          </w:p>
        </w:tc>
        <w:tc>
          <w:tcPr>
            <w:tcW w:w="1680" w:type="dxa"/>
            <w:vAlign w:val="bottom"/>
          </w:tcPr>
          <w:p>
            <w:pPr>
              <w:ind w:left="680"/>
              <w:spacing w:after="0"/>
              <w:rPr>
                <w:sz w:val="20"/>
                <w:szCs w:val="20"/>
                <w:color w:val="auto"/>
              </w:rPr>
            </w:pPr>
            <w:r>
              <w:rPr>
                <w:rFonts w:ascii="Arial" w:cs="Arial" w:eastAsia="Arial" w:hAnsi="Arial"/>
                <w:sz w:val="14"/>
                <w:szCs w:val="14"/>
                <w:b w:val="1"/>
                <w:bCs w:val="1"/>
                <w:color w:val="auto"/>
              </w:rPr>
              <w:t>State</w:t>
            </w:r>
          </w:p>
        </w:tc>
      </w:tr>
      <w:tr>
        <w:trPr>
          <w:trHeight w:val="156"/>
        </w:trPr>
        <w:tc>
          <w:tcPr>
            <w:tcW w:w="134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West</w:t>
            </w:r>
          </w:p>
        </w:tc>
        <w:tc>
          <w:tcPr>
            <w:tcW w:w="280" w:type="dxa"/>
            <w:vAlign w:val="bottom"/>
            <w:tcBorders>
              <w:top w:val="single" w:sz="8" w:color="CFF0FC"/>
            </w:tcBorders>
            <w:shd w:val="clear" w:color="auto" w:fill="CFF0FC"/>
          </w:tcPr>
          <w:p>
            <w:pPr>
              <w:spacing w:after="0"/>
              <w:rPr>
                <w:sz w:val="13"/>
                <w:szCs w:val="13"/>
                <w:color w:val="auto"/>
              </w:rPr>
            </w:pPr>
          </w:p>
        </w:tc>
        <w:tc>
          <w:tcPr>
            <w:tcW w:w="512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Eldorado Resort Casino Reno ("Eldorado Reno")</w:t>
            </w:r>
          </w:p>
        </w:tc>
        <w:tc>
          <w:tcPr>
            <w:tcW w:w="280" w:type="dxa"/>
            <w:vAlign w:val="bottom"/>
            <w:tcBorders>
              <w:top w:val="single" w:sz="8" w:color="CFF0FC"/>
            </w:tcBorders>
            <w:shd w:val="clear" w:color="auto" w:fill="CFF0FC"/>
          </w:tcPr>
          <w:p>
            <w:pPr>
              <w:spacing w:after="0"/>
              <w:rPr>
                <w:sz w:val="13"/>
                <w:szCs w:val="13"/>
                <w:color w:val="auto"/>
              </w:rPr>
            </w:pPr>
          </w:p>
        </w:tc>
        <w:tc>
          <w:tcPr>
            <w:tcW w:w="224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(a)</w:t>
            </w:r>
          </w:p>
        </w:tc>
        <w:tc>
          <w:tcPr>
            <w:tcW w:w="300" w:type="dxa"/>
            <w:vAlign w:val="bottom"/>
            <w:tcBorders>
              <w:top w:val="single" w:sz="8" w:color="CFF0FC"/>
            </w:tcBorders>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Nevada</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Silver Legacy Resort Casino ("Silver Legacy")</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(a)</w:t>
            </w:r>
          </w:p>
        </w:tc>
        <w:tc>
          <w:tcPr>
            <w:tcW w:w="1680" w:type="dxa"/>
            <w:vAlign w:val="bottom"/>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Circus Circus Reno ("Circus Reno")</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(a)</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MontBleu Casino Resort &amp; Spa ("MontBleu")</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October 1, 2018 (c)</w:t>
            </w:r>
          </w:p>
        </w:tc>
        <w:tc>
          <w:tcPr>
            <w:tcW w:w="1680" w:type="dxa"/>
            <w:vAlign w:val="bottom"/>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Tropicana Laughlin Hotel &amp; Casino ("Laughlin")</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1"/>
              </w:rPr>
              <w:t>October 1, 2018</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Isle Casino Hotel - Blackhawk ("Isle Black Hawk")</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tcPr>
          <w:p>
            <w:pPr>
              <w:ind w:left="260"/>
              <w:spacing w:after="0"/>
              <w:rPr>
                <w:sz w:val="20"/>
                <w:szCs w:val="20"/>
                <w:color w:val="auto"/>
              </w:rPr>
            </w:pPr>
            <w:r>
              <w:rPr>
                <w:rFonts w:ascii="Arial" w:cs="Arial" w:eastAsia="Arial" w:hAnsi="Arial"/>
                <w:sz w:val="14"/>
                <w:szCs w:val="14"/>
                <w:color w:val="auto"/>
              </w:rPr>
              <w:t>Colorado</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Lady Luck Casino - Black Hawk ("Lady Luck Black Hawk")</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Colorado</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16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Midwest (b)</w:t>
            </w: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Isle Casino Waterloo ("Waterloo")</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Iowa</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Isle Casino Bettendorf ("Bettendorf")</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tcPr>
          <w:p>
            <w:pPr>
              <w:ind w:left="260"/>
              <w:spacing w:after="0"/>
              <w:rPr>
                <w:sz w:val="20"/>
                <w:szCs w:val="20"/>
                <w:color w:val="auto"/>
              </w:rPr>
            </w:pPr>
            <w:r>
              <w:rPr>
                <w:rFonts w:ascii="Arial" w:cs="Arial" w:eastAsia="Arial" w:hAnsi="Arial"/>
                <w:sz w:val="14"/>
                <w:szCs w:val="14"/>
                <w:color w:val="auto"/>
              </w:rPr>
              <w:t>Iowa</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Isle of Capri Casino Boonville ("Boonville")</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Isle of Capri Casino Kansas City ("Kansas City")</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May 1, 2017 (c)</w:t>
            </w:r>
          </w:p>
        </w:tc>
        <w:tc>
          <w:tcPr>
            <w:tcW w:w="1680" w:type="dxa"/>
            <w:vAlign w:val="bottom"/>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r>
      <w:tr>
        <w:trPr>
          <w:trHeight w:val="162"/>
        </w:trPr>
        <w:tc>
          <w:tcPr>
            <w:tcW w:w="1620" w:type="dxa"/>
            <w:vAlign w:val="bottom"/>
            <w:gridSpan w:val="2"/>
          </w:tcPr>
          <w:p>
            <w:pPr>
              <w:ind w:left="260"/>
              <w:spacing w:after="0"/>
              <w:rPr>
                <w:sz w:val="20"/>
                <w:szCs w:val="20"/>
                <w:color w:val="auto"/>
              </w:rPr>
            </w:pPr>
            <w:r>
              <w:rPr>
                <w:rFonts w:ascii="Arial" w:cs="Arial" w:eastAsia="Arial" w:hAnsi="Arial"/>
                <w:sz w:val="14"/>
                <w:szCs w:val="14"/>
                <w:color w:val="auto"/>
              </w:rPr>
              <w:t>South</w:t>
            </w: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Isle Casino Racing Pompano Park ("Pompano")</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tcPr>
          <w:p>
            <w:pPr>
              <w:ind w:left="260"/>
              <w:spacing w:after="0"/>
              <w:rPr>
                <w:sz w:val="20"/>
                <w:szCs w:val="20"/>
                <w:color w:val="auto"/>
              </w:rPr>
            </w:pPr>
            <w:r>
              <w:rPr>
                <w:rFonts w:ascii="Arial" w:cs="Arial" w:eastAsia="Arial" w:hAnsi="Arial"/>
                <w:sz w:val="14"/>
                <w:szCs w:val="14"/>
                <w:color w:val="auto"/>
              </w:rPr>
              <w:t>Florida</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Eldorado Resort Casino Shreveport ("Eldorado Shreveport")</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6"/>
              </w:rPr>
              <w:t>(a) (c)</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Louisiana</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Isle of Capri Casino Hotel Lake Charles ("Lake Charles")</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tcPr>
          <w:p>
            <w:pPr>
              <w:ind w:left="260"/>
              <w:spacing w:after="0"/>
              <w:rPr>
                <w:sz w:val="20"/>
                <w:szCs w:val="20"/>
                <w:color w:val="auto"/>
              </w:rPr>
            </w:pPr>
            <w:r>
              <w:rPr>
                <w:rFonts w:ascii="Arial" w:cs="Arial" w:eastAsia="Arial" w:hAnsi="Arial"/>
                <w:sz w:val="14"/>
                <w:szCs w:val="14"/>
                <w:color w:val="auto"/>
              </w:rPr>
              <w:t>Louisiana</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Belle of Baton Rouge Casino &amp; Hotel ("Baton Rouge")</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1"/>
              </w:rPr>
              <w:t>October 1, 2018</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Louisiana</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Isle of Capri Casino Lula ("Lula")</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May 1, 2017</w:t>
            </w:r>
          </w:p>
        </w:tc>
        <w:tc>
          <w:tcPr>
            <w:tcW w:w="1680" w:type="dxa"/>
            <w:vAlign w:val="bottom"/>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Lady Luck Casino Vicksburg ("Vicksburg")</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4"/>
              </w:rPr>
              <w:t>May 1, 2017 (c)</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Trop Casino Greenville ("Greenville")</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October 1, 2018</w:t>
            </w:r>
          </w:p>
        </w:tc>
        <w:tc>
          <w:tcPr>
            <w:tcW w:w="1680" w:type="dxa"/>
            <w:vAlign w:val="bottom"/>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r>
      <w:tr>
        <w:trPr>
          <w:trHeight w:val="162"/>
        </w:trPr>
        <w:tc>
          <w:tcPr>
            <w:tcW w:w="1620" w:type="dxa"/>
            <w:vAlign w:val="bottom"/>
            <w:gridSpan w:val="2"/>
          </w:tcPr>
          <w:p>
            <w:pPr>
              <w:ind w:left="260"/>
              <w:spacing w:after="0"/>
              <w:rPr>
                <w:sz w:val="20"/>
                <w:szCs w:val="20"/>
                <w:color w:val="auto"/>
              </w:rPr>
            </w:pPr>
            <w:r>
              <w:rPr>
                <w:rFonts w:ascii="Arial" w:cs="Arial" w:eastAsia="Arial" w:hAnsi="Arial"/>
                <w:sz w:val="14"/>
                <w:szCs w:val="14"/>
                <w:color w:val="auto"/>
              </w:rPr>
              <w:t>East (b)</w:t>
            </w: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Eldorado Gaming Scioto Downs ("Scioto Downs")</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(a)</w:t>
            </w:r>
          </w:p>
        </w:tc>
        <w:tc>
          <w:tcPr>
            <w:tcW w:w="1680" w:type="dxa"/>
            <w:vAlign w:val="bottom"/>
          </w:tcPr>
          <w:p>
            <w:pPr>
              <w:ind w:left="260"/>
              <w:spacing w:after="0"/>
              <w:rPr>
                <w:sz w:val="20"/>
                <w:szCs w:val="20"/>
                <w:color w:val="auto"/>
              </w:rPr>
            </w:pPr>
            <w:r>
              <w:rPr>
                <w:rFonts w:ascii="Arial" w:cs="Arial" w:eastAsia="Arial" w:hAnsi="Arial"/>
                <w:sz w:val="14"/>
                <w:szCs w:val="14"/>
                <w:color w:val="auto"/>
              </w:rPr>
              <w:t>Ohio</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Tropicana Casino and Resort, Atlantic City ("Trop AC")</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1"/>
              </w:rPr>
              <w:t>October 1, 2018</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16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Central</w:t>
            </w: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Grand Victoria Casino ("Elgin")</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August 7, 2018</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Illinois</w:t>
            </w:r>
          </w:p>
        </w:tc>
      </w:tr>
      <w:tr>
        <w:trPr>
          <w:trHeight w:val="162"/>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gridSpan w:val="2"/>
          </w:tcPr>
          <w:p>
            <w:pPr>
              <w:ind w:left="260"/>
              <w:spacing w:after="0"/>
              <w:rPr>
                <w:sz w:val="20"/>
                <w:szCs w:val="20"/>
                <w:color w:val="auto"/>
              </w:rPr>
            </w:pPr>
            <w:r>
              <w:rPr>
                <w:rFonts w:ascii="Arial" w:cs="Arial" w:eastAsia="Arial" w:hAnsi="Arial"/>
                <w:sz w:val="14"/>
                <w:szCs w:val="14"/>
                <w:color w:val="auto"/>
              </w:rPr>
              <w:t>Lumière Place Casino ("Lumière")</w:t>
            </w:r>
          </w:p>
        </w:tc>
        <w:tc>
          <w:tcPr>
            <w:tcW w:w="254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October 1, 2018</w:t>
            </w:r>
          </w:p>
        </w:tc>
        <w:tc>
          <w:tcPr>
            <w:tcW w:w="1680" w:type="dxa"/>
            <w:vAlign w:val="bottom"/>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Tropicana Evansville ("Evansville")</w:t>
            </w:r>
          </w:p>
        </w:tc>
        <w:tc>
          <w:tcPr>
            <w:tcW w:w="25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1"/>
              </w:rPr>
              <w:t>October 1, 2018</w:t>
            </w:r>
          </w:p>
        </w:tc>
        <w:tc>
          <w:tcPr>
            <w:tcW w:w="1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Indiana</w:t>
            </w:r>
          </w:p>
        </w:tc>
      </w:tr>
    </w:tbl>
    <w:p>
      <w:pPr>
        <w:spacing w:after="0" w:line="237"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Property was aggregated into segment prior to January 1, 2016.</w:t>
      </w:r>
    </w:p>
    <w:p>
      <w:pPr>
        <w:ind w:left="540" w:right="80" w:hanging="532"/>
        <w:spacing w:after="0" w:line="221"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Presque was sold on January 11, 2019, Nemacolin was sold on March 8, 2019 and Mountaineer was sold on December 6, 2019. All three properties were previously reported in the East segment. Cape Girardeau and Caruthersville were sold on December 6, 2019. Both properties were previously reported in the Midwest segment.</w:t>
      </w:r>
    </w:p>
    <w:p>
      <w:pPr>
        <w:ind w:left="540" w:right="320" w:hanging="532"/>
        <w:spacing w:after="0" w:line="237"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entered into agreements to sell Kansas City, Vicksburg, Eldorado Shreveport and MontBleu. The Kansas City and Vicksburg sales are expected to close in the second quarter of 2020. The Eldorado Shreveport and MontBleu sales are expected to close in the first quarter of 2021.</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92"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The Company’s principal operating activities occur in five geographic regions and reportable segments. The reportable segments are based on the similar characteristics of the operating segments within the regions in which they operate: West, Midwest, South, East, and Central. See the table above for a listing of properties included in each segment.</w:t>
      </w:r>
    </w:p>
    <w:p>
      <w:pPr>
        <w:spacing w:after="0" w:line="161"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 presentation of financial information herein for periods after the Company’s sales of Presque and Nemacolin on January 11, 2019 and March 8, 2019, respectively, and the Company’s sales of Mountaineer, Cape Girardeau and Caruthersville on December 6, 2019 are not fully comparable to the periods prior to their respective sale dates. See Note 4.</w:t>
      </w:r>
    </w:p>
    <w:p>
      <w:pPr>
        <w:spacing w:after="0" w:line="184"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121" w:lineRule="exact"/>
        <w:rPr>
          <w:sz w:val="20"/>
          <w:szCs w:val="20"/>
          <w:color w:val="auto"/>
        </w:rPr>
      </w:pPr>
    </w:p>
    <w:p>
      <w:pPr>
        <w:ind w:right="20" w:firstLine="546"/>
        <w:spacing w:after="0" w:line="285" w:lineRule="auto"/>
        <w:rPr>
          <w:sz w:val="20"/>
          <w:szCs w:val="20"/>
          <w:color w:val="auto"/>
        </w:rPr>
      </w:pPr>
      <w:r>
        <w:rPr>
          <w:rFonts w:ascii="Arial" w:cs="Arial" w:eastAsia="Arial" w:hAnsi="Arial"/>
          <w:sz w:val="16"/>
          <w:szCs w:val="16"/>
          <w:color w:val="auto"/>
        </w:rPr>
        <w:t>In January 2020, an outbreak of a new strain of coronavirus (“COVID-19”) was identified and has since spread throughout much of the world, including the United States. All of the Company’s casino properties have been temporarily closed since March 18, 2020 due to orders issued by various state government agencies in connection with the COVID-19 pandemic. As a result of these closures, the COVID-19 pandemic has had an adverse effect on the Company’s business, financial condition and results of operations for the three months ended March 31, 2020. The Company continued to pay its full-time employees through April 10, 2020, including tips and tokes. Effective April 11, 2020, the Company furloughed approximately 90% of its employees, implemented salary reductions and committed to continue to provide benefits to its employees through June 30, 2020. As a result of these payroll changes combined with other cost saving measures, the Company’s daily operating expenses reduced significantly. In an effort to maintain liquidity and provide financial flexibility as the effects of COVID-19 continue to evolve and impact global financial markets, the Company borrowed $465 million under its revolving credit facility on March 16, 2020. The extent of the ongoing and future effects of the COVID-19 pandemic on the Company’s business and the casino resort industry generally is uncertain, but the Company expects that it will continue to have a significant impact on its business, results of operations and financial condition. The extent and duration of the impact of COVID-19 will ultimately depend on future developments, including but not limited to, the duration and severity of the outbreak, the length of time that the Company’s casinos remain closed, the Company’s ability to adapt to new operating procedures upon re-opening of its casinos, the impact on consumer demand and discretionary spending, the length of time it takes for demand to return and the Company’s ability to adjust its cost structures for the duration of the outbreak’s impact on its operations. Due to declines in recent performance and the expected impact on future cash flows as a result of COVID-19, the Company recognized impairment charges related to goodwill and trade names for the three months ended March 31, 2020. See Note 7 for details.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2020</w:t>
      </w:r>
    </w:p>
    <w:p>
      <w:pPr>
        <w:spacing w:after="0" w:line="131"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In June 2016 (modified in November 2018), the Financial Accounting Standards Board (“FASB”) issued ASU No 2016-13, Financial Instruments – Credit Losses related to the timing of recognizing impairment losses on financial assets. The new guidance lowers the threshold on when losses are incurred, from a determination that a loss is probable to a determination that a loss is expected. The change in guidance is applicable to our evaluation of the Casino Reinvestment Development Authority (“CRDA”) investments. The guidance is effective for interim and annual periods beginning after December 15, 2019. Adoption of the guidance required a modified-retrospective approach and a cumulative adjustment to retained earnings to the first reporting period that the update is effective. The Company adopted the new guidance on January 1, 2020. Adoption of this guidance did not have a material impact on the Company’s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right="60" w:firstLine="546"/>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was effective for annual and interim periods beginning after December 15, 2019. The Company adopted the new guidance on January 1, 2020. Adoption of this guidance did not have a material impact on the Company’s Consolidated Financial Statements.</w:t>
      </w:r>
    </w:p>
    <w:p>
      <w:pPr>
        <w:spacing w:after="0" w:line="289"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was effective for annual and interim periods beginning after December 15, 2019. The Company adopted the new guidance on January 1, 2020. Adoption of this guidance did not have a material impact on the Company’s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17"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In August 2018, the FASB issued ASU No 2018-14, Compensation –Retirement Benefits – Defined Benefit Plans – General. This amendment improves disclosures over defined benefit plans and is effective for interim and annual periods ending after December 15, 2020 with early adoption allowed. The Company anticipates adopting this amendment during the first quarter of 2021, and currently does not expect it to have a significant impact on its Consolidated Financial Statements.</w:t>
      </w:r>
    </w:p>
    <w:p>
      <w:pPr>
        <w:spacing w:after="0" w:line="22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In December 2019, the FASB issued ASU 2019-12, Simplifying the Accounting for Income Taxes. This amendment modifies accounting guidelines for income taxes and is effective for annual and interim periods beginning after December 15, 2020 with early adoption allowed. The Company will adopt the new guidance on January 1, 2021. The Company is evaluating the qualitative and quantitative effect the new guidance will have on its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21"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60 years. Except for the Master Lease with GLP Capital, L.P., the operating partnership of Gaming and Leisure Properties, Inc. (“GLPI”), (see Note 9), the Company’s lease agreements do not contain any material residual value guarantees or material restrictive covenants.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expense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8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Classification on the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54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1000"/>
              <w:spacing w:after="0"/>
              <w:rPr>
                <w:sz w:val="20"/>
                <w:szCs w:val="20"/>
                <w:color w:val="auto"/>
              </w:rPr>
            </w:pPr>
            <w:r>
              <w:rPr>
                <w:rFonts w:ascii="Arial" w:cs="Arial" w:eastAsia="Arial" w:hAnsi="Arial"/>
                <w:sz w:val="14"/>
                <w:szCs w:val="14"/>
                <w:b w:val="1"/>
                <w:bCs w:val="1"/>
                <w:color w:val="auto"/>
              </w:rPr>
              <w:t>Statement of Operations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3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Operating lease expense</w:t>
            </w: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Operating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Short-term and variable lease expense</w:t>
            </w:r>
          </w:p>
        </w:tc>
        <w:tc>
          <w:tcPr>
            <w:tcW w:w="3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expense</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Finance lease expense:</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on lease liabilities</w:t>
            </w:r>
          </w:p>
        </w:tc>
        <w:tc>
          <w:tcPr>
            <w:tcW w:w="3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ROU assets</w:t>
            </w:r>
          </w:p>
        </w:tc>
        <w:tc>
          <w:tcPr>
            <w:tcW w:w="38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expense</w:t>
            </w:r>
          </w:p>
        </w:tc>
        <w:tc>
          <w:tcPr>
            <w:tcW w:w="3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42,980</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500" w:type="dxa"/>
            <w:vAlign w:val="bottom"/>
            <w:vMerge w:val="restart"/>
          </w:tcPr>
          <w:p>
            <w:pPr>
              <w:ind w:left="16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560"/>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214"/>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5,246</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22,029</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360" w:firstLine="546"/>
        <w:spacing w:after="0" w:line="277" w:lineRule="auto"/>
        <w:rPr>
          <w:sz w:val="20"/>
          <w:szCs w:val="20"/>
          <w:color w:val="auto"/>
        </w:rPr>
      </w:pPr>
      <w:r>
        <w:rPr>
          <w:rFonts w:ascii="Arial" w:cs="Arial" w:eastAsia="Arial" w:hAnsi="Arial"/>
          <w:sz w:val="18"/>
          <w:szCs w:val="18"/>
          <w:color w:val="auto"/>
        </w:rPr>
        <w:t>In addition to the payments made for operating leases noted above, the Company paid $8.8 million and $11.8 million in short-term and variable leases for the three months ended March 31, 2020 and 2019,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recorded on a gross basis. Such fees are based upon a predetermined percentage of handle as contracted with the other race tracks.</w:t>
      </w:r>
    </w:p>
    <w:p>
      <w:pPr>
        <w:spacing w:after="0" w:line="178"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A summary of net revenues disaggregated by type of revenue and reportable segment is presented below (amounts in thousands). Refer to Notes 1 and 15 for additional information on the Company’s reportable segments.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7"/>
          </w:tcPr>
          <w:p>
            <w:pPr>
              <w:jc w:val="right"/>
              <w:ind w:right="493"/>
              <w:spacing w:after="0"/>
              <w:rPr>
                <w:sz w:val="20"/>
                <w:szCs w:val="20"/>
                <w:color w:val="auto"/>
              </w:rPr>
            </w:pPr>
            <w:r>
              <w:rPr>
                <w:rFonts w:ascii="Arial" w:cs="Arial" w:eastAsia="Arial" w:hAnsi="Arial"/>
                <w:sz w:val="14"/>
                <w:szCs w:val="14"/>
                <w:b w:val="1"/>
                <w:bCs w:val="1"/>
                <w:color w:val="auto"/>
              </w:rPr>
              <w:t>Three Months Ended March 31, 2020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Corporate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West</w:t>
            </w:r>
          </w:p>
        </w:tc>
        <w:tc>
          <w:tcPr>
            <w:tcW w:w="180" w:type="dxa"/>
            <w:vAlign w:val="bottom"/>
          </w:tcPr>
          <w:p>
            <w:pPr>
              <w:spacing w:after="0"/>
              <w:rPr>
                <w:sz w:val="10"/>
                <w:szCs w:val="10"/>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Midwest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South</w:t>
            </w:r>
          </w:p>
        </w:tc>
        <w:tc>
          <w:tcPr>
            <w:tcW w:w="240" w:type="dxa"/>
            <w:vAlign w:val="bottom"/>
          </w:tcPr>
          <w:p>
            <w:pPr>
              <w:spacing w:after="0"/>
              <w:rPr>
                <w:sz w:val="10"/>
                <w:szCs w:val="10"/>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East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Central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and Other</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44,977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53,313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79,652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81,876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105,490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97,052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108,056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99,705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473,069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7"/>
          </w:tcPr>
          <w:p>
            <w:pPr>
              <w:jc w:val="right"/>
              <w:ind w:right="493"/>
              <w:spacing w:after="0"/>
              <w:rPr>
                <w:sz w:val="20"/>
                <w:szCs w:val="20"/>
                <w:color w:val="auto"/>
              </w:rPr>
            </w:pPr>
            <w:r>
              <w:rPr>
                <w:rFonts w:ascii="Arial" w:cs="Arial" w:eastAsia="Arial" w:hAnsi="Arial"/>
                <w:sz w:val="14"/>
                <w:szCs w:val="14"/>
                <w:b w:val="1"/>
                <w:bCs w:val="1"/>
                <w:color w:val="auto"/>
              </w:rPr>
              <w:t>Three Months Ended March 31, 2019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Corporate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West</w:t>
            </w:r>
          </w:p>
        </w:tc>
        <w:tc>
          <w:tcPr>
            <w:tcW w:w="180" w:type="dxa"/>
            <w:vAlign w:val="bottom"/>
          </w:tcPr>
          <w:p>
            <w:pPr>
              <w:spacing w:after="0"/>
              <w:rPr>
                <w:sz w:val="10"/>
                <w:szCs w:val="10"/>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Midwest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South</w:t>
            </w:r>
          </w:p>
        </w:tc>
        <w:tc>
          <w:tcPr>
            <w:tcW w:w="240" w:type="dxa"/>
            <w:vAlign w:val="bottom"/>
          </w:tcPr>
          <w:p>
            <w:pPr>
              <w:spacing w:after="0"/>
              <w:rPr>
                <w:sz w:val="10"/>
                <w:szCs w:val="10"/>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East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Central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and Other</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85,169</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124,951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118,095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96,787</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132,714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166,233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120,472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17" w:lineRule="exact"/>
        <w:rPr>
          <w:sz w:val="20"/>
          <w:szCs w:val="20"/>
          <w:color w:val="auto"/>
        </w:rPr>
      </w:pPr>
    </w:p>
    <w:p>
      <w:pPr>
        <w:ind w:right="140" w:firstLine="546"/>
        <w:spacing w:after="0" w:line="290" w:lineRule="auto"/>
        <w:rPr>
          <w:sz w:val="20"/>
          <w:szCs w:val="20"/>
          <w:color w:val="auto"/>
        </w:rPr>
      </w:pPr>
      <w:r>
        <w:rPr>
          <w:rFonts w:ascii="Arial" w:cs="Arial" w:eastAsia="Arial" w:hAnsi="Arial"/>
          <w:sz w:val="16"/>
          <w:szCs w:val="16"/>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which represents the deferred allocation of revenue relating to player loyalty program incentives earned, and (3) customer deposits and other deferred revenue, which is primarily funds deposited by customers related to gaming play, advance payments on goods and services yet to be provided (such as advance ticket sales and deposits on rooms and convention space or for unpaid wagers), and deferred revenues associated with the Company’s interests in William Hill (see Note 6) and The Stars Group (“TSG”). Except for deferred revenues related to William Hill and TSG, these liabilities are generally expected to be recognized as revenue within one year of being purchased, earned, or deposited and are recorded within accrued other liabilities on the Company’s 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ind w:left="560"/>
        <w:spacing w:after="0"/>
        <w:rPr>
          <w:sz w:val="20"/>
          <w:szCs w:val="20"/>
          <w:color w:val="auto"/>
        </w:rPr>
      </w:pPr>
      <w:r>
        <w:rPr>
          <w:rFonts w:ascii="Arial" w:cs="Arial" w:eastAsia="Arial" w:hAnsi="Arial"/>
          <w:sz w:val="18"/>
          <w:szCs w:val="18"/>
          <w:color w:val="auto"/>
        </w:rPr>
        <w:t>The following table summarizes the activity related to contract and contract-related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Outstanding Chip Liability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Player Loyalty Liability</w:t>
            </w:r>
          </w:p>
        </w:tc>
        <w:tc>
          <w:tcPr>
            <w:tcW w:w="260" w:type="dxa"/>
            <w:vAlign w:val="bottom"/>
          </w:tcPr>
          <w:p>
            <w:pPr>
              <w:spacing w:after="0"/>
              <w:rPr>
                <w:sz w:val="14"/>
                <w:szCs w:val="14"/>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Customer Deposits and Other</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Deferred Revenue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8,930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171,641</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8,775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172,027</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 (decrease)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46"/>
        <w:spacing w:after="0" w:line="311" w:lineRule="auto"/>
        <w:rPr>
          <w:sz w:val="20"/>
          <w:szCs w:val="20"/>
          <w:color w:val="auto"/>
        </w:rPr>
      </w:pPr>
      <w:r>
        <w:rPr>
          <w:rFonts w:ascii="Arial" w:cs="Arial" w:eastAsia="Arial" w:hAnsi="Arial"/>
          <w:sz w:val="16"/>
          <w:szCs w:val="16"/>
          <w:color w:val="auto"/>
        </w:rPr>
        <w:t>The March 31, 2020 balances exclude liabilities related to assets held for sale recorded in 2020 and 2019 (see Note 4). The significant change in customer deposits and other deferred revenue during the three months ended March 31, 2019 was primarily attributed to the initial recognition of the Company’s interests in William Hill, which is recorded in other long-term liabilities on the Consolidated Balance Sheets (see Note 6).</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Kansas City, Vicksburg, Eldorado Shreveport and MontBleu</w:t>
      </w:r>
    </w:p>
    <w:p>
      <w:pPr>
        <w:spacing w:after="0" w:line="117" w:lineRule="exact"/>
        <w:rPr>
          <w:sz w:val="20"/>
          <w:szCs w:val="20"/>
          <w:color w:val="auto"/>
        </w:rPr>
      </w:pPr>
    </w:p>
    <w:p>
      <w:pPr>
        <w:jc w:val="both"/>
        <w:ind w:right="60" w:firstLine="546"/>
        <w:spacing w:after="0" w:line="263" w:lineRule="auto"/>
        <w:rPr>
          <w:sz w:val="20"/>
          <w:szCs w:val="20"/>
          <w:color w:val="auto"/>
        </w:rPr>
      </w:pPr>
      <w:r>
        <w:rPr>
          <w:rFonts w:ascii="Arial" w:cs="Arial" w:eastAsia="Arial" w:hAnsi="Arial"/>
          <w:sz w:val="18"/>
          <w:szCs w:val="18"/>
          <w:color w:val="auto"/>
        </w:rPr>
        <w:t>On July 10, 2019, the Company entered into a definitive agreement to sell the equity interests of the entities that hold Vicksburg and Kansas City to Twin River for approximately $230 million, subject to a working capital adjustment. The definitive agreements provide that the consummation of the sales are subject to satisfaction of customary conditions, including receipt of required regulatory approvals.</w:t>
      </w:r>
    </w:p>
    <w:p>
      <w:pPr>
        <w:spacing w:after="0" w:line="184"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On January 13, 2020 and March 9, 2020, respectively, the Company entered into definitive purchase agreements to sell the equity interests of Eldorado Resort Casino Shreveport Joint Venture and Columbia Properties Tahoe, LLC, the entities that hold Eldorado Shreveport and MontBleu, to Maverick. On April 24, 2020, the purchase agreements with Maverick were terminated and the Company entered into a definitive purchase agreement with Twin River and certain of its affiliates for the sale of the equity interests of Eldorado Resort Casino Shreveport Joint Venture and Columbia Properties Tahoe, LLC for aggregate consideration of $155 million. The definitive agreement provides that the consummation of the sale is subject to satisfaction of customary conditions, including receipt of required regulatory approvals, and further provides that the Company’s obligation to consummate the sale is subject to the closing of the Merger with Caesars and the buyer’s obligation to consummate the sale is subject to receipt of financing sufficient to enable it to pay the consideration due at closing.</w:t>
      </w:r>
    </w:p>
    <w:p>
      <w:pPr>
        <w:spacing w:after="0" w:line="178"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Kansas City and Vicksburg met the requirements for presentation as assets held for sale under generally accepted accounting principles as of December 31, 2019 and March 31, 2020. Eldorado Shreveport and MontBleu met the requirements for presentation as assets held for sale as of March 31, 2020. However, none of the pending divestitures met the requirements for presentation as discontinued operations and are included in income from continuing operations in the periods presented.</w:t>
      </w:r>
    </w:p>
    <w:p>
      <w:pPr>
        <w:spacing w:after="0" w:line="187"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As a result of the agreement to sell MontBleu, an impairment charge totaling $45.6 million was recorded during the three months ended March 31, 2020 due to the carrying value exceeding the estimated net sales proceeds. The impairment charges resulted in a reduction to the carrying amounts of the right-of-use assets, property and equipment, goodwill and other intangibles totaling $17.8 million (see Note 7), $23.2 million and $4.6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 w:name="page14"/>
    <w:bookmarkEnd w:id="13"/>
    <w:p>
      <w:pPr>
        <w:ind w:right="420" w:firstLine="546"/>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March 31, 2020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3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Shreveport</w:t>
            </w:r>
          </w:p>
        </w:tc>
        <w:tc>
          <w:tcPr>
            <w:tcW w:w="160" w:type="dxa"/>
            <w:vAlign w:val="bottom"/>
          </w:tcPr>
          <w:p>
            <w:pPr>
              <w:spacing w:after="0"/>
              <w:rPr>
                <w:sz w:val="20"/>
                <w:szCs w:val="20"/>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b w:val="1"/>
                <w:bCs w:val="1"/>
                <w:color w:val="auto"/>
              </w:rPr>
              <w:t>MontBleu</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w w:val="99"/>
              </w:rPr>
              <w:t>Kansas City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Vicksburg</w:t>
            </w:r>
          </w:p>
        </w:tc>
        <w:tc>
          <w:tcPr>
            <w:tcW w:w="22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3,177</w:t>
            </w:r>
          </w:p>
        </w:tc>
        <w:tc>
          <w:tcPr>
            <w:tcW w:w="60" w:type="dxa"/>
            <w:vAlign w:val="bottom"/>
          </w:tcPr>
          <w:p>
            <w:pPr>
              <w:spacing w:after="0"/>
              <w:rPr>
                <w:sz w:val="19"/>
                <w:szCs w:val="19"/>
                <w:color w:val="auto"/>
              </w:rPr>
            </w:pPr>
          </w:p>
        </w:tc>
      </w:tr>
      <w:tr>
        <w:trPr>
          <w:trHeight w:val="229"/>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from affiliates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FF0FC"/>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1,784</w:t>
            </w:r>
          </w:p>
        </w:tc>
        <w:tc>
          <w:tcPr>
            <w:tcW w:w="60" w:type="dxa"/>
            <w:vAlign w:val="bottom"/>
          </w:tcPr>
          <w:p>
            <w:pPr>
              <w:spacing w:after="0"/>
              <w:rPr>
                <w:sz w:val="19"/>
                <w:szCs w:val="19"/>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76,652</w:t>
            </w:r>
          </w:p>
        </w:tc>
        <w:tc>
          <w:tcPr>
            <w:tcW w:w="60" w:type="dxa"/>
            <w:vAlign w:val="bottom"/>
            <w:shd w:val="clear" w:color="auto" w:fill="CFF0FC"/>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6,698</w:t>
            </w:r>
          </w:p>
        </w:tc>
        <w:tc>
          <w:tcPr>
            <w:tcW w:w="60" w:type="dxa"/>
            <w:vAlign w:val="bottom"/>
          </w:tcPr>
          <w:p>
            <w:pPr>
              <w:spacing w:after="0"/>
              <w:rPr>
                <w:sz w:val="19"/>
                <w:szCs w:val="19"/>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191,968</w:t>
            </w:r>
          </w:p>
        </w:tc>
        <w:tc>
          <w:tcPr>
            <w:tcW w:w="60" w:type="dxa"/>
            <w:vAlign w:val="bottom"/>
            <w:shd w:val="clear" w:color="auto" w:fill="CFF0FC"/>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48,429</w:t>
            </w:r>
          </w:p>
        </w:tc>
        <w:tc>
          <w:tcPr>
            <w:tcW w:w="60" w:type="dxa"/>
            <w:vAlign w:val="bottom"/>
          </w:tcPr>
          <w:p>
            <w:pPr>
              <w:spacing w:after="0"/>
              <w:rPr>
                <w:sz w:val="19"/>
                <w:szCs w:val="19"/>
                <w:color w:val="auto"/>
              </w:rPr>
            </w:pPr>
          </w:p>
        </w:tc>
      </w:tr>
      <w:tr>
        <w:trPr>
          <w:trHeight w:val="229"/>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intangibles, net</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90,329</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113,611</w:t>
            </w:r>
          </w:p>
        </w:tc>
        <w:tc>
          <w:tcPr>
            <w:tcW w:w="60" w:type="dxa"/>
            <w:vAlign w:val="bottom"/>
            <w:shd w:val="clear" w:color="auto" w:fill="CFF0FC"/>
          </w:tcPr>
          <w:p>
            <w:pPr>
              <w:spacing w:after="0"/>
              <w:rPr>
                <w:sz w:val="19"/>
                <w:szCs w:val="19"/>
                <w:color w:val="auto"/>
              </w:rPr>
            </w:pPr>
          </w:p>
        </w:tc>
      </w:tr>
      <w:tr>
        <w:trPr>
          <w:trHeight w:val="263"/>
        </w:trPr>
        <w:tc>
          <w:tcPr>
            <w:tcW w:w="3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8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121,472</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66,894</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206,614</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47,481</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442,461</w:t>
            </w:r>
          </w:p>
        </w:tc>
        <w:tc>
          <w:tcPr>
            <w:tcW w:w="60" w:type="dxa"/>
            <w:vAlign w:val="bottom"/>
            <w:tcBorders>
              <w:bottom w:val="single" w:sz="8" w:color="CFF0FC"/>
            </w:tcBorders>
          </w:tcPr>
          <w:p>
            <w:pPr>
              <w:spacing w:after="0"/>
              <w:rPr>
                <w:sz w:val="22"/>
                <w:szCs w:val="22"/>
                <w:color w:val="auto"/>
              </w:rPr>
            </w:pPr>
          </w:p>
        </w:tc>
      </w:tr>
      <w:tr>
        <w:trPr>
          <w:trHeight w:val="210"/>
        </w:trPr>
        <w:tc>
          <w:tcPr>
            <w:tcW w:w="39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60" w:type="dxa"/>
            <w:vAlign w:val="bottom"/>
            <w:shd w:val="clear" w:color="auto" w:fill="CFF0FC"/>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Accrued payroll and related</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4,773</w:t>
            </w:r>
          </w:p>
        </w:tc>
        <w:tc>
          <w:tcPr>
            <w:tcW w:w="60" w:type="dxa"/>
            <w:vAlign w:val="bottom"/>
          </w:tcPr>
          <w:p>
            <w:pPr>
              <w:spacing w:after="0"/>
              <w:rPr>
                <w:sz w:val="19"/>
                <w:szCs w:val="19"/>
                <w:color w:val="auto"/>
              </w:rPr>
            </w:pPr>
          </w:p>
        </w:tc>
      </w:tr>
      <w:tr>
        <w:trPr>
          <w:trHeight w:val="229"/>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property and other taxes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60" w:type="dxa"/>
            <w:vAlign w:val="bottom"/>
            <w:shd w:val="clear" w:color="auto" w:fill="CFF0FC"/>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Short-term lease obligation</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7,968</w:t>
            </w:r>
          </w:p>
        </w:tc>
        <w:tc>
          <w:tcPr>
            <w:tcW w:w="60" w:type="dxa"/>
            <w:vAlign w:val="bottom"/>
          </w:tcPr>
          <w:p>
            <w:pPr>
              <w:spacing w:after="0"/>
              <w:rPr>
                <w:sz w:val="19"/>
                <w:szCs w:val="19"/>
                <w:color w:val="auto"/>
              </w:rPr>
            </w:pPr>
          </w:p>
        </w:tc>
      </w:tr>
      <w:tr>
        <w:trPr>
          <w:trHeight w:val="229"/>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Long-term lease obligations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33,721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109,966</w:t>
            </w:r>
          </w:p>
        </w:tc>
        <w:tc>
          <w:tcPr>
            <w:tcW w:w="60" w:type="dxa"/>
            <w:vAlign w:val="bottom"/>
            <w:shd w:val="clear" w:color="auto" w:fill="CFF0FC"/>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Accrued other liabilities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5,824</w:t>
            </w:r>
          </w:p>
        </w:tc>
        <w:tc>
          <w:tcPr>
            <w:tcW w:w="60" w:type="dxa"/>
            <w:vAlign w:val="bottom"/>
          </w:tcPr>
          <w:p>
            <w:pPr>
              <w:spacing w:after="0"/>
              <w:rPr>
                <w:sz w:val="19"/>
                <w:szCs w:val="19"/>
                <w:color w:val="auto"/>
              </w:rPr>
            </w:pPr>
          </w:p>
        </w:tc>
      </w:tr>
      <w:tr>
        <w:trPr>
          <w:trHeight w:val="229"/>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long-term liabilities</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FF0FC"/>
          </w:tcPr>
          <w:p>
            <w:pPr>
              <w:spacing w:after="0"/>
              <w:rPr>
                <w:sz w:val="19"/>
                <w:szCs w:val="19"/>
                <w:color w:val="auto"/>
              </w:rPr>
            </w:pPr>
          </w:p>
        </w:tc>
      </w:tr>
      <w:tr>
        <w:trPr>
          <w:trHeight w:val="223"/>
        </w:trPr>
        <w:tc>
          <w:tcPr>
            <w:tcW w:w="3960" w:type="dxa"/>
            <w:vAlign w:val="bottom"/>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131,672</w:t>
            </w:r>
          </w:p>
        </w:tc>
        <w:tc>
          <w:tcPr>
            <w:tcW w:w="6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December 31, 2019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December 31, 2019</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71"/>
              <w:spacing w:after="0"/>
              <w:rPr>
                <w:sz w:val="20"/>
                <w:szCs w:val="20"/>
                <w:color w:val="auto"/>
              </w:rPr>
            </w:pPr>
            <w:r>
              <w:rPr>
                <w:rFonts w:ascii="Arial" w:cs="Arial" w:eastAsia="Arial" w:hAnsi="Arial"/>
                <w:sz w:val="14"/>
                <w:szCs w:val="14"/>
                <w:b w:val="1"/>
                <w:bCs w:val="1"/>
                <w:color w:val="auto"/>
              </w:rPr>
              <w:t>Kansas City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Vicksburg</w:t>
            </w:r>
          </w:p>
        </w:tc>
        <w:tc>
          <w:tcPr>
            <w:tcW w:w="32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 net</w:t>
            </w:r>
          </w:p>
        </w:tc>
        <w:tc>
          <w:tcPr>
            <w:tcW w:w="22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1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intangibles, net</w:t>
            </w:r>
          </w:p>
        </w:tc>
        <w:tc>
          <w:tcPr>
            <w:tcW w:w="1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19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205,766</w:t>
            </w:r>
          </w:p>
        </w:tc>
        <w:tc>
          <w:tcPr>
            <w:tcW w:w="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47,369</w:t>
            </w:r>
          </w:p>
        </w:tc>
        <w:tc>
          <w:tcPr>
            <w:tcW w:w="2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Liabilities:</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Accrued payroll and related</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property and other taxes</w:t>
            </w:r>
          </w:p>
        </w:tc>
        <w:tc>
          <w:tcPr>
            <w:tcW w:w="1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Short-term lease obligation</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Long-term lease obligation</w:t>
            </w:r>
          </w:p>
        </w:tc>
        <w:tc>
          <w:tcPr>
            <w:tcW w:w="1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Accrued other liabilities</w:t>
            </w:r>
          </w:p>
        </w:tc>
        <w:tc>
          <w:tcPr>
            <w:tcW w:w="1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80" w:type="dxa"/>
            <w:vAlign w:val="bottom"/>
            <w:vMerge w:val="restart"/>
          </w:tcPr>
          <w:p>
            <w:pPr>
              <w:jc w:val="right"/>
              <w:ind w:right="49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following information presents the net revenues and net income (loss) for the Company’s properties that are held for sale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March 31, 2020</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56"/>
              <w:spacing w:after="0"/>
              <w:rPr>
                <w:sz w:val="20"/>
                <w:szCs w:val="20"/>
                <w:color w:val="auto"/>
              </w:rPr>
            </w:pPr>
            <w:r>
              <w:rPr>
                <w:rFonts w:ascii="Arial" w:cs="Arial" w:eastAsia="Arial" w:hAnsi="Arial"/>
                <w:sz w:val="14"/>
                <w:szCs w:val="14"/>
                <w:b w:val="1"/>
                <w:bCs w:val="1"/>
                <w:color w:val="auto"/>
              </w:rPr>
              <w:t>Shreveport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MontBleu</w:t>
            </w:r>
          </w:p>
        </w:tc>
        <w:tc>
          <w:tcPr>
            <w:tcW w:w="240" w:type="dxa"/>
            <w:vAlign w:val="bottom"/>
          </w:tcPr>
          <w:p>
            <w:pPr>
              <w:spacing w:after="0"/>
              <w:rPr>
                <w:sz w:val="19"/>
                <w:szCs w:val="19"/>
                <w:color w:val="auto"/>
              </w:rPr>
            </w:pPr>
          </w:p>
        </w:tc>
        <w:tc>
          <w:tcPr>
            <w:tcW w:w="1300" w:type="dxa"/>
            <w:vAlign w:val="bottom"/>
          </w:tcPr>
          <w:p>
            <w:pPr>
              <w:jc w:val="right"/>
              <w:ind w:right="316"/>
              <w:spacing w:after="0"/>
              <w:rPr>
                <w:sz w:val="20"/>
                <w:szCs w:val="20"/>
                <w:color w:val="auto"/>
              </w:rPr>
            </w:pPr>
            <w:r>
              <w:rPr>
                <w:rFonts w:ascii="Arial" w:cs="Arial" w:eastAsia="Arial" w:hAnsi="Arial"/>
                <w:sz w:val="14"/>
                <w:szCs w:val="14"/>
                <w:b w:val="1"/>
                <w:bCs w:val="1"/>
                <w:color w:val="auto"/>
              </w:rPr>
              <w:t>Kansas City</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Vicksburg</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22,550</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8,617</w:t>
            </w: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13,748</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(42,164)</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Mountaineer, Caruthersville and Cape Girardeau Divestitures</w:t>
      </w:r>
    </w:p>
    <w:p>
      <w:pPr>
        <w:spacing w:after="0" w:line="11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sales of Mountaineer, Caruthersville and Cape Girardeau were consummated on December 6, 2019. Mountaineer was previously reported in the East segment and Caruthersville and Cape Girardeau were previously reported in the Midwest segment.</w:t>
      </w:r>
    </w:p>
    <w:p>
      <w:pPr>
        <w:spacing w:after="0" w:line="170"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Prior to the closing date, Mountaineer, Cape Girardeau and Caruthersville met the requirements for presentation as assets held for sale. However, they did not meet the requirements for presentation as discontinued operations. Mountaineer was reported in the East segment and Cape Girardeau and Caruthersville were reported in Midwest segment.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presents the net revenues and net income of Mountaineer, Cape Girardeau and Caruthersville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(in thousands):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Three Months ended March 31, 2019</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Mountaineer</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Cape Girardeau</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Caruthersville</w:t>
            </w:r>
          </w:p>
        </w:tc>
        <w:tc>
          <w:tcPr>
            <w:tcW w:w="100" w:type="dxa"/>
            <w:vAlign w:val="bottom"/>
            <w:tcBorders>
              <w:bottom w:val="single" w:sz="8" w:color="CFF0FC"/>
            </w:tcBorders>
          </w:tcPr>
          <w:p>
            <w:pPr>
              <w:spacing w:after="0"/>
              <w:rPr>
                <w:sz w:val="13"/>
                <w:szCs w:val="13"/>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Presque and Nemacolin Divestitures</w:t>
      </w:r>
    </w:p>
    <w:p>
      <w:pPr>
        <w:spacing w:after="0" w:line="117" w:lineRule="exact"/>
        <w:rPr>
          <w:sz w:val="20"/>
          <w:szCs w:val="20"/>
          <w:color w:val="auto"/>
        </w:rPr>
      </w:pPr>
    </w:p>
    <w:p>
      <w:pPr>
        <w:ind w:right="240" w:firstLine="546"/>
        <w:spacing w:after="0" w:line="311" w:lineRule="auto"/>
        <w:rPr>
          <w:sz w:val="20"/>
          <w:szCs w:val="20"/>
          <w:color w:val="auto"/>
        </w:rPr>
      </w:pPr>
      <w:r>
        <w:rPr>
          <w:rFonts w:ascii="Arial" w:cs="Arial" w:eastAsia="Arial" w:hAnsi="Arial"/>
          <w:sz w:val="16"/>
          <w:szCs w:val="16"/>
          <w:color w:val="auto"/>
        </w:rPr>
        <w:t>The sale of Presque closed on January 11, 2019 resulting in a gain on sale of $22.1 million, net of final working capital adjustments, for the three months ended March 31, 2019. The sale of Nemacolin closed on March 8, 2019 resulting in a gain on sale of $0.1 million, net of final working capital adjustments, for the three months ended March 31, 2019. Presque and Nemacolin were both previously reported in the East segment.</w:t>
      </w:r>
    </w:p>
    <w:p>
      <w:pPr>
        <w:spacing w:after="0" w:line="149" w:lineRule="exact"/>
        <w:rPr>
          <w:sz w:val="20"/>
          <w:szCs w:val="20"/>
          <w:color w:val="auto"/>
        </w:rPr>
      </w:pPr>
    </w:p>
    <w:p>
      <w:pPr>
        <w:ind w:right="640" w:firstLine="546"/>
        <w:spacing w:after="0" w:line="277" w:lineRule="auto"/>
        <w:rPr>
          <w:sz w:val="20"/>
          <w:szCs w:val="20"/>
          <w:color w:val="auto"/>
        </w:rPr>
      </w:pPr>
      <w:r>
        <w:rPr>
          <w:rFonts w:ascii="Arial" w:cs="Arial" w:eastAsia="Arial" w:hAnsi="Arial"/>
          <w:sz w:val="18"/>
          <w:szCs w:val="18"/>
          <w:color w:val="auto"/>
        </w:rPr>
        <w:t>The following information presents the net revenues and net income (loss) of Presque and Nemacolin prior to the respective divestitures (in thousands):</w:t>
      </w: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6350</wp:posOffset>
            </wp:positionV>
            <wp:extent cx="26485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20" w:val="left"/>
        </w:tabs>
        <w:rPr>
          <w:sz w:val="20"/>
          <w:szCs w:val="20"/>
          <w:color w:val="auto"/>
        </w:rPr>
      </w:pPr>
      <w:r>
        <w:rPr>
          <w:rFonts w:ascii="Arial" w:cs="Arial" w:eastAsia="Arial" w:hAnsi="Arial"/>
          <w:sz w:val="14"/>
          <w:szCs w:val="14"/>
          <w:b w:val="1"/>
          <w:bCs w:val="1"/>
          <w:color w:val="auto"/>
        </w:rPr>
        <w:t>Presque</w:t>
      </w:r>
      <w:r>
        <w:rPr>
          <w:sz w:val="20"/>
          <w:szCs w:val="20"/>
          <w:color w:val="auto"/>
        </w:rPr>
        <w:tab/>
      </w:r>
      <w:r>
        <w:rPr>
          <w:rFonts w:ascii="Arial" w:cs="Arial" w:eastAsia="Arial" w:hAnsi="Arial"/>
          <w:sz w:val="14"/>
          <w:szCs w:val="14"/>
          <w:b w:val="1"/>
          <w:bCs w:val="1"/>
          <w:color w:val="auto"/>
        </w:rPr>
        <w:t>Nemacolin</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82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28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Net revenues</w:t>
            </w:r>
          </w:p>
        </w:tc>
        <w:tc>
          <w:tcPr>
            <w:tcW w:w="19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3,235</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0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4,836</w:t>
            </w:r>
          </w:p>
        </w:tc>
        <w:tc>
          <w:tcPr>
            <w:tcW w:w="80" w:type="dxa"/>
            <w:vAlign w:val="bottom"/>
            <w:shd w:val="clear" w:color="auto" w:fill="CFF0FC"/>
          </w:tcPr>
          <w:p>
            <w:pPr>
              <w:spacing w:after="0"/>
              <w:rPr>
                <w:sz w:val="17"/>
                <w:szCs w:val="17"/>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Net loss</w:t>
            </w: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r>
    </w:tbl>
    <w:p>
      <w:pPr>
        <w:spacing w:after="0" w:line="3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was not be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57" w:lineRule="exact"/>
        <w:rPr>
          <w:sz w:val="20"/>
          <w:szCs w:val="20"/>
          <w:color w:val="auto"/>
        </w:rPr>
      </w:pPr>
    </w:p>
    <w:p>
      <w:pPr>
        <w:ind w:right="440" w:firstLine="546"/>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in 2018. No shares were repurchased in 2019 or during the three months ended March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546"/>
        <w:spacing w:after="0" w:line="293"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Total stock-based compensation expense in the accompanying Consolidated Statements of Operations totaled $5.7 million and $4.9 million during the three months ended March 31, 2020 and 2019, respectively. These amounts are included in corporate expenses and, in the case of certain property positions, general and administrative expenses in the Company’s Consolidated Statements of Operations. The Company recognized an increase in income tax benefit of $2.8 million for the three months ended March 31, 2020, related to stock-based compensation. The Company recognized a reduction in income tax expense of $2.6 million for the three months ended March 31, 2019 for excess tax benefits related to stock-based compensation.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restricted stock unit (“RSU”) activity for the three months ended March 31, 2020 is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3640" w:type="dxa"/>
            <w:vAlign w:val="bottom"/>
            <w:gridSpan w:val="6"/>
          </w:tcPr>
          <w:p>
            <w:pPr>
              <w:ind w:left="104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3"/>
        </w:trPr>
        <w:tc>
          <w:tcPr>
            <w:tcW w:w="76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76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2019</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1,246,641</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500" w:type="dxa"/>
            <w:vAlign w:val="bottom"/>
          </w:tcPr>
          <w:p>
            <w:pPr>
              <w:jc w:val="right"/>
              <w:spacing w:after="0"/>
              <w:rPr>
                <w:sz w:val="20"/>
                <w:szCs w:val="20"/>
                <w:color w:val="auto"/>
              </w:rPr>
            </w:pPr>
            <w:r>
              <w:rPr>
                <w:rFonts w:ascii="Arial" w:cs="Arial" w:eastAsia="Arial" w:hAnsi="Arial"/>
                <w:sz w:val="18"/>
                <w:szCs w:val="18"/>
                <w:color w:val="auto"/>
              </w:rPr>
              <w:t>293,367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(371,108)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March 31, 2020</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1,160,567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Included are 20,615 RSUs granted to non-employee members of the Board of Directors during the three months ended March 31, 2020.</w:t>
      </w:r>
    </w:p>
    <w:p>
      <w:pPr>
        <w:spacing w:after="0" w:line="277"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As of March 31, 2020 and 2019, the Company had $34.2 million and $28.6 million, respectively, of unrecognized compensation expense. The RSUs are expected to be recognized over a weighted-average period of 1.9 years for both periods.</w:t>
      </w:r>
    </w:p>
    <w:p>
      <w:pPr>
        <w:spacing w:after="0" w:line="197"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There was no stock option activity for the three months ended March 31, 2020. Outstanding options as of March 31, 2020 totaled 135,956, of which 125,331 options were exercisable.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in and Advances to Unconsolidated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and Cordish have made cash contributions of $500,000 each and could be required to make additional contributions to a maximum of $2.0 million ($1.0 million per member) at the request of the managing member. The Company has agreed to contribute approximately 130 to 200 acres of land to the joint venture for the project. As of March 31, 2020 and December 31, 2019, we have contributed approximately 20 acres to the joint venture at a fair value of $6.6 million.</w:t>
      </w:r>
    </w:p>
    <w:p>
      <w:pPr>
        <w:spacing w:after="0" w:line="178"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is included in income (loss) from unconsolidated affiliates on the Consolidated Statements of Operations. As of March 31, 2020 and December 31, 2019, the Company’s investment in the joint venture is recorded in investment in and advances to unconsolidated affiliates on the Consolidated Balance Sheets.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In September 2018, the Company entered into a 25-year agreement, which became effective January 29,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 territories</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agreement, in January 2019 the Company received a 20% ownership interest in William Hill US as well as 13.4 million ordinary shares of William Hill PLC, which carry certain time restrictions on when they can be sold. Additionally, the Company receives a profit share from the operations of betting and other gaming activities associated with the Company’s properties. “Skin” in the context of this agreement refers to the Company’s ability to grant to William Hill an online channel that allows William Hill to operate online casino and sports gaming activities in reliance on, and utilizing the benefit of, any licenses granted to the Company or its subsidiaries. As of March 31, 2020 and December 31, 2019, the Company’s receivable from William Hill totaled $0.6 and $3.5 million, respectively, and is reflected in due from affiliates on the Consolidated Balance Sheets.</w:t>
      </w:r>
    </w:p>
    <w:p>
      <w:pPr>
        <w:spacing w:after="0" w:line="172" w:lineRule="exact"/>
        <w:rPr>
          <w:sz w:val="20"/>
          <w:szCs w:val="20"/>
          <w:color w:val="auto"/>
        </w:rPr>
      </w:pPr>
    </w:p>
    <w:p>
      <w:pPr>
        <w:jc w:val="both"/>
        <w:ind w:right="140" w:firstLine="546"/>
        <w:spacing w:after="0" w:line="259" w:lineRule="auto"/>
        <w:rPr>
          <w:sz w:val="20"/>
          <w:szCs w:val="20"/>
          <w:color w:val="auto"/>
        </w:rPr>
      </w:pPr>
      <w:r>
        <w:rPr>
          <w:rFonts w:ascii="Arial" w:cs="Arial" w:eastAsia="Arial" w:hAnsi="Arial"/>
          <w:sz w:val="18"/>
          <w:szCs w:val="18"/>
          <w:color w:val="auto"/>
        </w:rPr>
        <w:t>The Company is accounting for its investment in William Hill US under the equity method. The fair value of the Company’s initial investment in William Hill US of $128.9 million at January 29, 2019 was determined using Level 3 inputs. As of March 31, 2020 and December 31, 2019, the carrying value of the Company’s interest in William Hill US totaled $127.2 million and $127.1 million, respectively, and is recorded in investment in and advances to unconsolidated affiliates on the Consolidated Balance Sheets.</w:t>
      </w:r>
    </w:p>
    <w:p>
      <w:pPr>
        <w:spacing w:after="0" w:line="187"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As of March 31, 2020 and December 31, 2019, the fair value of the William Hill PLC shares totaled $10.0 and $29.3 million, respectively, net of a cumulative unrealized loss of $17.4 million and a cumulative unrealized gain of $2.1 million, respectively, and included in other assets, net on the Consolidated Balance Sheets. The Company recorded unrealized losses totaling $19.3 million and $2.9 million during the three months ended March 31, 2020 and 2019, respectively.</w:t>
      </w:r>
    </w:p>
    <w:p>
      <w:pPr>
        <w:spacing w:after="0" w:line="187" w:lineRule="exact"/>
        <w:rPr>
          <w:sz w:val="20"/>
          <w:szCs w:val="20"/>
          <w:color w:val="auto"/>
        </w:rPr>
      </w:pPr>
    </w:p>
    <w:p>
      <w:pPr>
        <w:ind w:right="300" w:firstLine="546"/>
        <w:spacing w:after="0" w:line="279" w:lineRule="auto"/>
        <w:rPr>
          <w:sz w:val="20"/>
          <w:szCs w:val="20"/>
          <w:color w:val="auto"/>
        </w:rPr>
      </w:pPr>
      <w:r>
        <w:rPr>
          <w:rFonts w:ascii="Arial" w:cs="Arial" w:eastAsia="Arial" w:hAnsi="Arial"/>
          <w:sz w:val="17"/>
          <w:szCs w:val="17"/>
          <w:color w:val="auto"/>
        </w:rPr>
        <w:t>The Company also recorded deferred revenue associated with the William Hill US and William Hill PLC shares and is recognizing revenue on a straight-line basis over the 25-year agreement term. The Company recognized revenue of $1.5 million and $0.2 million during the three months ended March 31, 2020 and 2019, respectively. As of March 31, 2020 and December 31, 2019, the balance of the William Hill deferred revenue totaled $140.6 million and $142.1 million, respectively, and is recorded in other long-term liabilities on the Consolidated Balance Sheets.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December 31,</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vMerge w:val="continue"/>
          </w:tcPr>
          <w:p>
            <w:pPr>
              <w:spacing w:after="0"/>
              <w:rPr>
                <w:sz w:val="22"/>
                <w:szCs w:val="22"/>
                <w:color w:val="auto"/>
              </w:rPr>
            </w:pPr>
          </w:p>
        </w:tc>
        <w:tc>
          <w:tcPr>
            <w:tcW w:w="1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810,187</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909,717</w:t>
            </w:r>
          </w:p>
        </w:tc>
        <w:tc>
          <w:tcPr>
            <w:tcW w:w="380" w:type="dxa"/>
            <w:vAlign w:val="bottom"/>
            <w:tcBorders>
              <w:bottom w:val="single" w:sz="8" w:color="CFF0FC"/>
            </w:tcBorders>
          </w:tcPr>
          <w:p>
            <w:pPr>
              <w:spacing w:after="0"/>
              <w:rPr>
                <w:sz w:val="22"/>
                <w:szCs w:val="22"/>
                <w:color w:val="auto"/>
              </w:rPr>
            </w:pPr>
          </w:p>
        </w:tc>
        <w:tc>
          <w:tcPr>
            <w:tcW w:w="1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Gaming licenses</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872,158</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893,302</w:t>
            </w:r>
          </w:p>
        </w:tc>
        <w:tc>
          <w:tcPr>
            <w:tcW w:w="3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146,279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165,479</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Player loyalty programs</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97,935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100,694</w:t>
            </w:r>
          </w:p>
        </w:tc>
        <w:tc>
          <w:tcPr>
            <w:tcW w:w="38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3 - 4 years</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1,116,372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1,159,475</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Accumulated amortization player loyalty programs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(53,203)</w:t>
            </w: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(48,077)</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gaming licenses and other intangible assets, net</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1,063,169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1,111,398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320" w:firstLine="546"/>
        <w:spacing w:after="0" w:line="308" w:lineRule="auto"/>
        <w:rPr>
          <w:sz w:val="20"/>
          <w:szCs w:val="20"/>
          <w:color w:val="auto"/>
        </w:rPr>
      </w:pPr>
      <w:r>
        <w:rPr>
          <w:rFonts w:ascii="Arial" w:cs="Arial" w:eastAsia="Arial" w:hAnsi="Arial"/>
          <w:sz w:val="17"/>
          <w:szCs w:val="17"/>
          <w:color w:val="auto"/>
        </w:rPr>
        <w:t>Goodwill represents the excess of the purchase prices of acquiring MTR Gaming, Isle, Elgin and Tropicana over the fair market value of the net assets acquired. The following table presents the change to goodwill for the three months ended March 31, 2020 (in thousands):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Goodwill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Goodwill, net</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2019</w:t>
            </w:r>
          </w:p>
        </w:tc>
        <w:tc>
          <w:tcPr>
            <w:tcW w:w="18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921,408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(11,691)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Impairments</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(99,530)</w:t>
            </w: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(99,530)</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held for sale (see Note 4)</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8"/>
                <w:szCs w:val="18"/>
                <w:color w:val="auto"/>
              </w:rPr>
              <w:t>March 31, 2020</w:t>
            </w:r>
          </w:p>
        </w:tc>
        <w:tc>
          <w:tcPr>
            <w:tcW w:w="1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(111,216)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46"/>
        <w:spacing w:after="0" w:line="342" w:lineRule="auto"/>
        <w:rPr>
          <w:sz w:val="20"/>
          <w:szCs w:val="20"/>
          <w:color w:val="auto"/>
        </w:rPr>
      </w:pPr>
      <w:r>
        <w:rPr>
          <w:rFonts w:ascii="Arial" w:cs="Arial" w:eastAsia="Arial" w:hAnsi="Arial"/>
          <w:sz w:val="16"/>
          <w:szCs w:val="16"/>
          <w:color w:val="auto"/>
        </w:rPr>
        <w:t>During the three months ended March 31, 2020, the Company recognized impairment charges related to goodwill and trade names totaling $99.5 million and $15.6 million, respectively, due to declines in recent performance and the expected impact on future cash flows as a result of COVID-19.</w:t>
      </w:r>
    </w:p>
    <w:p>
      <w:pPr>
        <w:spacing w:after="0" w:line="124" w:lineRule="exact"/>
        <w:rPr>
          <w:sz w:val="20"/>
          <w:szCs w:val="20"/>
          <w:color w:val="auto"/>
        </w:rPr>
      </w:pPr>
    </w:p>
    <w:p>
      <w:pPr>
        <w:jc w:val="both"/>
        <w:ind w:right="80" w:firstLine="546"/>
        <w:spacing w:after="0" w:line="286" w:lineRule="auto"/>
        <w:rPr>
          <w:sz w:val="20"/>
          <w:szCs w:val="20"/>
          <w:color w:val="auto"/>
        </w:rPr>
      </w:pPr>
      <w:r>
        <w:rPr>
          <w:rFonts w:ascii="Arial" w:cs="Arial" w:eastAsia="Arial" w:hAnsi="Arial"/>
          <w:sz w:val="17"/>
          <w:szCs w:val="17"/>
          <w:color w:val="auto"/>
        </w:rPr>
        <w:t>Additionally, in conjunction with the classification of MontBleu’s operations as assets held for sale as of March 31, 2020 (see Note 4) as a result of the announced sale, an impairment charge totaling $45.6 million was recorded due to the carrying value exceeding the estimate sales proceeds. Impairment charges recorded by segment for the three months ended March 31, 2020 (in thousands)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Midwest</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52,805</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15,625</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Property, plant and equipment (see Note 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assets (see Note 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102,833</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46"/>
        <w:spacing w:after="0" w:line="311" w:lineRule="auto"/>
        <w:rPr>
          <w:sz w:val="20"/>
          <w:szCs w:val="20"/>
          <w:color w:val="auto"/>
        </w:rPr>
      </w:pPr>
      <w:r>
        <w:rPr>
          <w:rFonts w:ascii="Arial" w:cs="Arial" w:eastAsia="Arial" w:hAnsi="Arial"/>
          <w:sz w:val="16"/>
          <w:szCs w:val="16"/>
          <w:color w:val="auto"/>
        </w:rPr>
        <w:t>Amortization expense with respect to player loyalty programs for the three months ended March 31, 2020 and 2019 totaled $7.5 million and $7.6 million, respectively, which is included in depreciation and amortization in the Consolidated Statements of Operations. Such amortization expense is expected to be $20.6 million for the remainder of 2020 and $21.2 million and $4.2 million for the years ended December 31, 2021 and 2022,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Coronavirus Aid, Relief, and Economic Security Act (the “CARES Act”) was enacted on March 27, 2020. The CARES Act includes, among other things, refundable payroll tax credits, deferment of employer side social security payments, net operating loss carryback periods, alternative minimum tax credit refunds, modifications to the net interest deduction limitations, and technical amendments regarding the income tax depreciation of qualified improvement property placed in service after December 31, 2017. These amendments allow for retroactive accelerated income tax depreciation on certain of our leasehold improvement assets. The Company is currently assessing the financial impact of these technical amendments on our business.</w:t>
      </w:r>
    </w:p>
    <w:p>
      <w:pPr>
        <w:spacing w:after="0" w:line="161"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211"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For the three months ended March 31, 2020, the Company’s tax benefit was $37.2 million. For the three months ended March 31, 2019, the Company’s tax expense was $10.4 million. For the three months ended March 31, 2020, the difference between the effective rate and the statutory rate is attributed primarily to goodwill impairments, true-up of certain state tax benefits, state and local income taxes and changes in the valuation allowance. For the three months ended March 31, 2019, the difference between the effective rate and the statutory rate is attributed primarily to non-deductible expenses, excess tax benefits associated with stock compensation, and state and local income taxes.</w:t>
      </w:r>
    </w:p>
    <w:p>
      <w:pPr>
        <w:spacing w:after="0" w:line="176"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As of March 31, 2020,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8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2008.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Long-Term Financing Obligation</w:t>
      </w:r>
    </w:p>
    <w:p>
      <w:pPr>
        <w:spacing w:after="0" w:line="121"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Under the prior lease accounting standard, the Company’s Master Lease with GLPI was accounted for as a failed sale-leaseback financing obligation equal to the fair value of the leased real estate assets and liabilities acquired in purchase accounting in conjunction with the acquisition of Tropicana in 2018. Upon adoption of ASC 842, the Company re-evaluated the Master Lease and determined this existing failed sale-leaseback transaction would continue to be accounted for as a financing obligation.</w:t>
      </w:r>
    </w:p>
    <w:p>
      <w:pPr>
        <w:spacing w:after="0" w:line="187" w:lineRule="exact"/>
        <w:rPr>
          <w:sz w:val="20"/>
          <w:szCs w:val="20"/>
          <w:color w:val="auto"/>
        </w:rPr>
      </w:pPr>
    </w:p>
    <w:p>
      <w:pPr>
        <w:ind w:right="240" w:firstLine="546"/>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w:t>
      </w:r>
    </w:p>
    <w:p>
      <w:pPr>
        <w:spacing w:after="0" w:line="18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The Master Lease provides for the lease of land, buildings, structures and other improvements on the land (including barges and riverboats), easements and similar appurtenances to the land and improvements relating to the operation of the leased properties. The Master Lease provides for an initial term of fifteen years with no purchase option. At the Company’s option, the Master Lease may be extended for up to four five-year renewal terms beyond the initial 15-year term. If we elect to renew the term of the Master Lease, the renewal will be effective as to all, but not less than all, of the leased property then subject to the Master Lease. The Company does not have the ability to terminate its obligations under the Master Lease prior to its expiration without GLPI’s consent.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7" w:lineRule="exact"/>
        <w:rPr>
          <w:sz w:val="20"/>
          <w:szCs w:val="20"/>
          <w:color w:val="auto"/>
        </w:rPr>
      </w:pPr>
    </w:p>
    <w:p>
      <w:pPr>
        <w:jc w:val="both"/>
        <w:ind w:left="1080" w:right="6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Base Rent: an additional fixed component equal to $13.4 million, subject to adjustment in the event of the termination of the Master Lease with respect to any of the leased properties.</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which is fixed for the first two years, is $13.4 million per year. The actual percentage increase is based on actual performance and is subject to change.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annual rent under the terms of the lease was approximately $87.6 million and subject to annual escalations as referenced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240" w:firstLine="546"/>
        <w:spacing w:after="0" w:line="301" w:lineRule="auto"/>
        <w:rPr>
          <w:sz w:val="20"/>
          <w:szCs w:val="20"/>
          <w:color w:val="auto"/>
        </w:rPr>
      </w:pPr>
      <w:r>
        <w:rPr>
          <w:rFonts w:ascii="Arial" w:cs="Arial" w:eastAsia="Arial" w:hAnsi="Arial"/>
          <w:sz w:val="16"/>
          <w:szCs w:val="16"/>
          <w:color w:val="auto"/>
        </w:rPr>
        <w:t>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spacing w:after="0" w:line="15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estimated future lease payments include the minimum lease payments and were adjusted to reflect estimated lease payments as described in the agreements, including an annual escalator of up to 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ind w:left="560"/>
        <w:spacing w:after="0"/>
        <w:rPr>
          <w:sz w:val="20"/>
          <w:szCs w:val="20"/>
          <w:color w:val="auto"/>
        </w:rPr>
      </w:pPr>
      <w:r>
        <w:rPr>
          <w:rFonts w:ascii="Arial" w:cs="Arial" w:eastAsia="Arial" w:hAnsi="Arial"/>
          <w:sz w:val="17"/>
          <w:szCs w:val="17"/>
          <w:color w:val="auto"/>
        </w:rPr>
        <w:t>The future minimum payments related to the Master Lease financing obligation with GLPI at March 31, 2020 were as follows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2020 (excluding the three months ended March 31, 2020)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66,953</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90,417</w:t>
            </w: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92,990</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94,315</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3,412,357</w:t>
            </w:r>
          </w:p>
        </w:tc>
        <w:tc>
          <w:tcPr>
            <w:tcW w:w="100" w:type="dxa"/>
            <w:vAlign w:val="bottom"/>
            <w:tcBorders>
              <w:bottom w:val="single" w:sz="8" w:color="CFF0FC"/>
            </w:tcBorders>
          </w:tcPr>
          <w:p>
            <w:pPr>
              <w:spacing w:after="0"/>
              <w:rPr>
                <w:sz w:val="19"/>
                <w:szCs w:val="19"/>
                <w:color w:val="auto"/>
              </w:rPr>
            </w:pPr>
          </w:p>
        </w:tc>
      </w:tr>
      <w:tr>
        <w:trPr>
          <w:trHeight w:val="223"/>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future payments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3,848,723</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Less: Amounts representing interest at 10.2%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(3,295,701)</w:t>
            </w:r>
          </w:p>
        </w:tc>
      </w:tr>
      <w:tr>
        <w:trPr>
          <w:trHeight w:val="229"/>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420,100</w:t>
            </w:r>
          </w:p>
        </w:tc>
        <w:tc>
          <w:tcPr>
            <w:tcW w:w="100" w:type="dxa"/>
            <w:vAlign w:val="bottom"/>
            <w:shd w:val="clear" w:color="auto" w:fill="CFF0FC"/>
          </w:tcPr>
          <w:p>
            <w:pPr>
              <w:spacing w:after="0"/>
              <w:rPr>
                <w:sz w:val="19"/>
                <w:szCs w:val="19"/>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Financing obligation to GLPI</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973,122</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Total cash payments and interest expense related to the Master Lease totaled $22.2 million and $24.8 million, respectively, for the three months ended March 31, 2020. Total cash payments and interest expense related to the Master Lease totaled $21.9 million and $24.6 million, respectively, for the three months ended March 31, 2019. For the initial periods of the Master Lease, cash payments are less than the interest expense recognized, which causes the failed sale-leaseback obligation to increase during the initial years of the lease term.</w:t>
      </w:r>
    </w:p>
    <w:p>
      <w:pPr>
        <w:spacing w:after="0" w:line="214"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The Master Lease contains certain covenants, including minimum capital improvement expenditures and a rent coverage ratio. As of March 31, 2020, we were in compliance with all of the covenants under the Master Lease.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48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498,750</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(7,982)</w:t>
            </w:r>
          </w:p>
        </w:tc>
      </w:tr>
      <w:tr>
        <w:trPr>
          <w:trHeight w:val="223"/>
        </w:trPr>
        <w:tc>
          <w:tcPr>
            <w:tcW w:w="4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481,343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6% Senior Notes due 2026</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(17,958)</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Net</w:t>
            </w: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582,042</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2025</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Plus: Unamortized debt premium</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20,214</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(15,939)</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Net</w:t>
            </w: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879,072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879,275</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7% Senior Notes due 2023</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(4,923)</w:t>
            </w:r>
          </w:p>
        </w:tc>
      </w:tr>
      <w:tr>
        <w:trPr>
          <w:trHeight w:val="223"/>
        </w:trPr>
        <w:tc>
          <w:tcPr>
            <w:tcW w:w="4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Lumière Loan</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Long-term notes and other payables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(246,109)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(246,175)</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Total long-term debt</w:t>
            </w: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2,780,691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2,324,541</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Amortization of the debt issuance costs and the discount and/or premium associated with our indebtedness totaled $1.6 million and $1.9 million for the three months ended March 31, 2020 and 2019, respectively. Amortization of debt issuance costs is computed using the effective interest method and is included in interest expense.</w:t>
      </w:r>
    </w:p>
    <w:p>
      <w:pPr>
        <w:spacing w:after="0" w:line="224" w:lineRule="exact"/>
        <w:rPr>
          <w:sz w:val="20"/>
          <w:szCs w:val="20"/>
          <w:color w:val="auto"/>
        </w:rPr>
      </w:pPr>
    </w:p>
    <w:p>
      <w:pPr>
        <w:ind w:right="240" w:firstLine="546"/>
        <w:spacing w:after="0" w:line="311" w:lineRule="auto"/>
        <w:rPr>
          <w:sz w:val="20"/>
          <w:szCs w:val="20"/>
          <w:color w:val="auto"/>
        </w:rPr>
      </w:pPr>
      <w:r>
        <w:rPr>
          <w:rFonts w:ascii="Arial" w:cs="Arial" w:eastAsia="Arial" w:hAnsi="Arial"/>
          <w:sz w:val="16"/>
          <w:szCs w:val="16"/>
          <w:color w:val="auto"/>
        </w:rPr>
        <w:t>In accordance with ASC Topic 470-50, Debt Modifications and Extinguishments (“ASC 470-50”), the Company recognized a loss on the early retirement of debt totaling $0.2 million for the three months ended March 31, 2020 related to a pro-rated write off of deferred financing costs associated with permanent payments on our Term Loan. The Company did not incur a similar loss during the three months ended March 31, 2019.</w:t>
      </w:r>
    </w:p>
    <w:p>
      <w:pPr>
        <w:spacing w:after="0" w:line="176" w:lineRule="exact"/>
        <w:rPr>
          <w:sz w:val="20"/>
          <w:szCs w:val="20"/>
          <w:color w:val="auto"/>
        </w:rPr>
      </w:pPr>
    </w:p>
    <w:p>
      <w:pPr>
        <w:ind w:right="100" w:firstLine="546"/>
        <w:spacing w:after="0" w:line="223"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$246.0 million for the remainder of 2020, $0.2 million in 2021, $0.2 million in 2022, $840.1 million in 2023, $0.2 million in 2024, and $2.0 billion thereafter.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right="120" w:firstLine="546"/>
        <w:spacing w:after="0" w:line="270" w:lineRule="auto"/>
        <w:rPr>
          <w:sz w:val="20"/>
          <w:szCs w:val="20"/>
          <w:color w:val="auto"/>
        </w:rPr>
      </w:pPr>
      <w:r>
        <w:rPr>
          <w:rFonts w:ascii="Arial" w:cs="Arial" w:eastAsia="Arial" w:hAnsi="Arial"/>
          <w:sz w:val="17"/>
          <w:szCs w:val="17"/>
          <w:color w:val="auto"/>
        </w:rPr>
        <w:t>The Company is party to a credit agreement with JPMorgan Chase Bank, N.A., as administrative agent, and the lenders party thereto dated as of April 17, 2017 (as amended the “Credit Facility”), consisting of a $1.45 billion term loan facility (the “Term Loan Facility” or “Term Loan”) and a $500.0 million revolving credit facility (the “Revolving Credit Facility”). The Company’s obligations under the Revolving Credit Facility will mature on October 1, 2023. The Company’s obligations under the Term Loan Facility will mature on April 17, 2024. The Company was required to make quarterly principal payments of $3.6 million on the Term Loan Facility on the last day of each fiscal quarter beginning on June 30, 2017 but satisfied this requirement as a result of the principal prepayment of $444.5 million on September 13, 2017 in conjunction with the issuance of the additional 6% Senior Notes due 2025.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spacing w:after="0" w:line="181"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As of March 31, 2020, the Company had $488.8 million outstanding on the Term Loan and $465.0 outstanding under the Revolving Credit Facility. During the three months ended March 31, 2020, the Company elected to draw down availability under the Revolving Credit Facility as a precautionary measure to enhance its liquidity and provide financial flexibility as the effects of COVID-19 continue to evolve and impact global financial markets. The Company had $16.8 million of available borrowing capacity, after consideration of $18.2 million in outstanding letters of credit under its Revolving Credit Facility, as of March 31, 2020.</w:t>
      </w:r>
    </w:p>
    <w:p>
      <w:pPr>
        <w:spacing w:after="0" w:line="188"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In 2019, the Company utilized $360.0 million and $150.0 million of net proceeds from the sales of Mountaineer, Cape Girardeau and Caruthersville and the sale of Presque, respectively, to repay a portion of amounts outstanding under the Term Loan.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interest rate per annum applicable to loans under the Revolving Credit Facility are, at our option, either LIBOR plus a margin ranging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loans under the Term Loan Facility is, at our option, either LIBOR plus 2.25%, or a base rate plus 1.25%; provided, however, that in no event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LIBOR be less than zero or the base rate be less than 1.00%. Additionally, the Company pays a commitment fee on the unused portion of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of 0.50% per annum. As of March 31, 2020, the weighted average interest rate on the Term Loan and Revolving Credit Facility were 3.25%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2.81%,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We borrowed $246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and (iii)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2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As of March 31, 2020, the Company was in compliance with all of the covenants under the 7% Senior Notes due 2023, 6% Senior Notes due 2025, 6% Senior Notes due 2026, the Credit Facility, the Lumière Loan and the Master Lease. However, the Company’s ability to remain in compliance with the quarterly maintenance covenants under its Credit Agreement and the Master Lease may be negatively impacted if the period of casino closures is prolonged or if the COVID-19 pandemic, measures implemented to curtail its spread or changes in the economy, discretionary spending and consumer confidence have a protracted negative effect on the Company’s business.</w:t>
      </w:r>
    </w:p>
    <w:p>
      <w:pPr>
        <w:spacing w:after="0" w:line="188"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Failure to satisfy the quarterly maintenance covenants contained in the Credit Agreement and the Master Lease would require the Company to seek waivers or amendments of the maintenance covenants. There can be no assurance that the Company will be able to obtain required waivers or amendments, as such matters depend, in part, on factors outside of its control. If the Company fails to satisfy its quarterly maintenance covenants and is unable to obtain such waivers or amendments, its creditors could exercise remedies under the applicable documents governing such indebtedness, including acceleration of such indebtedness, and the lessor under the Master Lease could terminate the Master Lease. The acceleration of indebtedness outstanding under the Credit Agreement or the termination of the Master Lease as a result of failure to satisfy the covenants applicable to such obligations would give rise to an event of default under its outstanding senior notes entitling the holders thereof to accelerate the obligations thereunder.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right="160" w:firstLine="546"/>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080" w:hanging="532"/>
        <w:spacing w:after="0" w:line="207" w:lineRule="exact"/>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200" w:firstLine="546"/>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cash held in money market funds and investments that can be redeemed immediately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5"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i w:val="1"/>
          <w:iCs w:val="1"/>
          <w:color w:val="auto"/>
        </w:rPr>
        <w:t>Restricted Cash and Investments</w:t>
      </w:r>
      <w:r>
        <w:rPr>
          <w:rFonts w:ascii="Arial" w:cs="Arial" w:eastAsia="Arial" w:hAnsi="Arial"/>
          <w:sz w:val="18"/>
          <w:szCs w:val="18"/>
          <w:color w:val="auto"/>
        </w:rPr>
        <w:t>: The estimated fair values of our restricted cash and investments are based upon quoted prices available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(Level 1), or quoted prices for similar assets in active and inactive markets (Level 2), or quoted prices available in active markets adjusted for time restrictions related to the sale of the investment (Level 3) and represent the amounts we would expect to receive if we sold our restricted cash and investments. Restricted investments include shares acquired in conjunction with the Company’s sports betting agreements that contain restrictions related to the ability to liquidate shares within a specified timeframe.</w:t>
      </w:r>
    </w:p>
    <w:p>
      <w:pPr>
        <w:spacing w:after="0" w:line="188"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by the Company’s captive insurance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shares acquired in conjunction with the Company’s sports betting agreements.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8" w:lineRule="exact"/>
        <w:rPr>
          <w:sz w:val="20"/>
          <w:szCs w:val="20"/>
          <w:color w:val="auto"/>
        </w:rPr>
      </w:pPr>
    </w:p>
    <w:p>
      <w:pPr>
        <w:ind w:right="20" w:firstLine="546"/>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term Debt</w:t>
      </w:r>
      <w:r>
        <w:rPr>
          <w:rFonts w:ascii="Arial" w:cs="Arial" w:eastAsia="Arial" w:hAnsi="Arial"/>
          <w:sz w:val="16"/>
          <w:szCs w:val="16"/>
          <w:color w:val="auto"/>
        </w:rPr>
        <w:t>: 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right="240" w:firstLine="546"/>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March 31, 2020 and December 31, 2019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Restricted cash and investments</w:t>
            </w:r>
          </w:p>
        </w:tc>
        <w:tc>
          <w:tcPr>
            <w:tcW w:w="1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14,011</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24,301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9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Restricted cash and investments</w:t>
            </w:r>
          </w:p>
        </w:tc>
        <w:tc>
          <w:tcPr>
            <w:tcW w:w="1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29,283</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27,103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restricted cash and investments valued using Level 3 inputs for the three months ended March 31,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Level 3 Investments</w:t>
            </w:r>
          </w:p>
        </w:tc>
      </w:tr>
      <w:tr>
        <w:trPr>
          <w:trHeight w:val="223"/>
        </w:trPr>
        <w:tc>
          <w:tcPr>
            <w:tcW w:w="8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investment and liabilities at December 31, 2019</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900" w:type="dxa"/>
            <w:vAlign w:val="bottom"/>
          </w:tcPr>
          <w:p>
            <w:pPr>
              <w:spacing w:after="0"/>
              <w:rPr>
                <w:sz w:val="20"/>
                <w:szCs w:val="20"/>
                <w:color w:val="auto"/>
              </w:rPr>
            </w:pPr>
            <w:r>
              <w:rPr>
                <w:rFonts w:ascii="Arial" w:cs="Arial" w:eastAsia="Arial" w:hAnsi="Arial"/>
                <w:sz w:val="18"/>
                <w:szCs w:val="18"/>
                <w:color w:val="auto"/>
              </w:rPr>
              <w:t>Value of additional investment received</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r>
      <w:tr>
        <w:trPr>
          <w:trHeight w:val="230"/>
        </w:trPr>
        <w:tc>
          <w:tcPr>
            <w:tcW w:w="89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w:t>
            </w:r>
          </w:p>
        </w:tc>
        <w:tc>
          <w:tcPr>
            <w:tcW w:w="2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(19,950)</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Fair value at March 31, 2020</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w:t>
            </w:r>
          </w:p>
        </w:tc>
        <w:tc>
          <w:tcPr>
            <w:tcW w:w="10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Level 2 and Level 3 investments during the three months ended March 31, 2020.</w:t>
      </w:r>
    </w:p>
    <w:p>
      <w:pPr>
        <w:spacing w:after="0" w:line="225" w:lineRule="exact"/>
        <w:rPr>
          <w:sz w:val="20"/>
          <w:szCs w:val="20"/>
          <w:color w:val="auto"/>
        </w:rPr>
      </w:pPr>
    </w:p>
    <w:p>
      <w:pPr>
        <w:ind w:right="60" w:firstLine="546"/>
        <w:spacing w:after="0" w:line="287" w:lineRule="auto"/>
        <w:rPr>
          <w:sz w:val="20"/>
          <w:szCs w:val="20"/>
          <w:color w:val="auto"/>
        </w:rPr>
      </w:pPr>
      <w:r>
        <w:rPr>
          <w:rFonts w:ascii="Arial" w:cs="Arial" w:eastAsia="Arial" w:hAnsi="Arial"/>
          <w:sz w:val="16"/>
          <w:szCs w:val="16"/>
          <w:color w:val="auto"/>
        </w:rPr>
        <w:t>In November 2018, the Company entered into a 20-year agreement with TSG pursuant to which it agreed to provide TSG with options to obtain access to a second skin for online sports wagering and third skin for real money online gaming and poker, in each case with respect to the Company’s properties in the United States. Under the terms of the agreement, the Company will receive a revenue share from the operation of the applicable verticals by TSG under the Company’s licenses. Pursuant to the terms of the TSG agreement, the Company received 1.1 million TSG common shares, and an additional $5.0 million in TSG common shares became payable to the Company upon TSG’s exercise of its first option; all shares are subject to a one year restriction from the date they are received. The Company may also receive additional TSG common shares in the future based on TSG net gaming revenue generated in its markets. As of March 31, 2020 and December 31, 2019, the fair value of unrestricted shares in TSG totaled $11.0 million and $14.0 million, respectively, net of cumulative unrealized gains of $0.6 million and $3.7 million, respectively, and is included in marketable securities on the Consolidated Balance Sheet. In addition, as of March 31, 2020, the fair value of restricted shares in TSG totaled $4.0 million, net of cumulative unrealized losses of $0.6 million, and is included in restricted cash and investments on the Consolidated Balance Sheet. The Company recorded unrealized losses of $3.4 million during the three months ended March 31, 2020 and unrealized gains of $1.4 million during the three months ended March 31, 2019.</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March 31, 2020</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2019</w:t>
            </w:r>
          </w:p>
        </w:tc>
      </w:tr>
      <w:tr>
        <w:trPr>
          <w:trHeight w:val="146"/>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5"/>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94"/>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9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7% Senior Notes due 2023</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370,358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327,656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370,077</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390,938</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 Senior Notes due 2025</w:t>
            </w:r>
          </w:p>
        </w:tc>
        <w:tc>
          <w:tcPr>
            <w:tcW w:w="1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879,072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765,625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879,275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922,031</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6% Senior Notes due 2026</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582,580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582,042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662,250</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w:t>
            </w:r>
          </w:p>
        </w:tc>
        <w:tc>
          <w:tcPr>
            <w:tcW w:w="1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481,343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498,127</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Revolving Credit Facility</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Lumière Loan</w:t>
            </w:r>
          </w:p>
        </w:tc>
        <w:tc>
          <w:tcPr>
            <w:tcW w:w="1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Other long-term debt</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20"/>
                <w:szCs w:val="20"/>
                <w:color w:val="auto"/>
              </w:rPr>
            </w:pPr>
          </w:p>
        </w:tc>
      </w:tr>
      <w:tr>
        <w:trPr>
          <w:trHeight w:val="836"/>
        </w:trPr>
        <w:tc>
          <w:tcPr>
            <w:tcW w:w="38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Earnings per Share</w:t>
      </w:r>
    </w:p>
    <w:p>
      <w:pPr>
        <w:spacing w:after="0" w:line="12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months ended March 31, 2020 and 2019 (dollars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available to common stockholders</w:t>
            </w:r>
          </w:p>
        </w:tc>
        <w:tc>
          <w:tcPr>
            <w:tcW w:w="15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Shares outstanding:</w:t>
            </w:r>
          </w:p>
        </w:tc>
        <w:tc>
          <w:tcPr>
            <w:tcW w:w="1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w:t>
            </w:r>
          </w:p>
        </w:tc>
        <w:tc>
          <w:tcPr>
            <w:tcW w:w="1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77,954,038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77,567,147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1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RSUs</w:t>
            </w: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 diluted</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77,954,038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78,589,110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(loss) income per common share attributable to</w:t>
            </w:r>
          </w:p>
        </w:tc>
        <w:tc>
          <w:tcPr>
            <w:tcW w:w="1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40"/>
              <w:spacing w:after="0"/>
              <w:rPr>
                <w:sz w:val="20"/>
                <w:szCs w:val="20"/>
                <w:color w:val="auto"/>
              </w:rPr>
            </w:pPr>
            <w:r>
              <w:rPr>
                <w:rFonts w:ascii="Arial" w:cs="Arial" w:eastAsia="Arial" w:hAnsi="Arial"/>
                <w:sz w:val="18"/>
                <w:szCs w:val="18"/>
                <w:color w:val="auto"/>
              </w:rPr>
              <w:t>common stockholders – basic:</w:t>
            </w:r>
          </w:p>
        </w:tc>
        <w:tc>
          <w:tcPr>
            <w:tcW w:w="2640" w:type="dxa"/>
            <w:vAlign w:val="bottom"/>
            <w:gridSpan w:val="2"/>
          </w:tcPr>
          <w:p>
            <w:pPr>
              <w:jc w:val="right"/>
              <w:ind w:right="9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8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income per common share attributable to</w:t>
            </w:r>
          </w:p>
        </w:tc>
        <w:tc>
          <w:tcPr>
            <w:tcW w:w="15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stockholders – diluted:</w:t>
            </w:r>
          </w:p>
        </w:tc>
        <w:tc>
          <w:tcPr>
            <w:tcW w:w="2640" w:type="dxa"/>
            <w:vAlign w:val="bottom"/>
            <w:gridSpan w:val="2"/>
            <w:shd w:val="clear" w:color="auto" w:fill="CFF0FC"/>
          </w:tcPr>
          <w:p>
            <w:pPr>
              <w:jc w:val="right"/>
              <w:ind w:right="9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(2.25)</w:t>
            </w:r>
          </w:p>
        </w:tc>
        <w:tc>
          <w:tcPr>
            <w:tcW w:w="8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weighted average shares outstanding-diluted calculation above excludes 107,154 stock options and 623,999 RSUs for the three months ended March 31, 2020 as the inclusion of these shares would have an anti-dilutive effect.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31"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are parties to various legal proceedings. Such proceedings can be costly, time consuming and unpredictable and, therefore, no assurance can be given that the final outcome of such proceedings will not materially impact our consolidated financial condition or results of operations. While we maintain insurance coverage that we believe is adequate to mitigate the risks of such proceedings, no assurance can be given that the amount or scope of existing insurance coverage will be sufficient to cover losses arising from such matters.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Litigation</w:t>
      </w:r>
    </w:p>
    <w:p>
      <w:pPr>
        <w:spacing w:after="0" w:line="131" w:lineRule="exact"/>
        <w:rPr>
          <w:sz w:val="20"/>
          <w:szCs w:val="20"/>
          <w:color w:val="auto"/>
        </w:rPr>
      </w:pPr>
    </w:p>
    <w:p>
      <w:pPr>
        <w:ind w:right="140" w:firstLine="546"/>
        <w:spacing w:after="0" w:line="289" w:lineRule="auto"/>
        <w:rPr>
          <w:sz w:val="20"/>
          <w:szCs w:val="20"/>
          <w:color w:val="auto"/>
        </w:rPr>
      </w:pPr>
      <w:r>
        <w:rPr>
          <w:rFonts w:ascii="Arial" w:cs="Arial" w:eastAsia="Arial" w:hAnsi="Arial"/>
          <w:sz w:val="16"/>
          <w:szCs w:val="16"/>
          <w:color w:val="auto"/>
        </w:rPr>
        <w:t xml:space="preserve">In September and October of 2019, eight putative class action lawsuits were filed against the Company and/or Caesars in connection with the Merger. The Company was named as a party in three of such actions: </w:t>
      </w:r>
      <w:r>
        <w:rPr>
          <w:rFonts w:ascii="Arial" w:cs="Arial" w:eastAsia="Arial" w:hAnsi="Arial"/>
          <w:sz w:val="16"/>
          <w:szCs w:val="16"/>
          <w:i w:val="1"/>
          <w:iCs w:val="1"/>
          <w:color w:val="auto"/>
        </w:rPr>
        <w:t>Cazer v. Caesars Entertainment Corp., et al</w:t>
      </w:r>
      <w:r>
        <w:rPr>
          <w:rFonts w:ascii="Arial" w:cs="Arial" w:eastAsia="Arial" w:hAnsi="Arial"/>
          <w:sz w:val="16"/>
          <w:szCs w:val="16"/>
          <w:color w:val="auto"/>
        </w:rPr>
        <w:t xml:space="preserve">, Civil Action No. A-19-801900-C, Eighth Judicial District Court Clark County, Nevada (9/13/2019), </w:t>
      </w:r>
      <w:r>
        <w:rPr>
          <w:rFonts w:ascii="Arial" w:cs="Arial" w:eastAsia="Arial" w:hAnsi="Arial"/>
          <w:sz w:val="16"/>
          <w:szCs w:val="16"/>
          <w:i w:val="1"/>
          <w:iCs w:val="1"/>
          <w:color w:val="auto"/>
        </w:rPr>
        <w:t>Gershman v. Caesars Entertainment Corp., et al</w:t>
      </w:r>
      <w:r>
        <w:rPr>
          <w:rFonts w:ascii="Arial" w:cs="Arial" w:eastAsia="Arial" w:hAnsi="Arial"/>
          <w:sz w:val="16"/>
          <w:szCs w:val="16"/>
          <w:color w:val="auto"/>
        </w:rPr>
        <w:t xml:space="preserve">, Civil Action No 1:19-cv-01720-UNA, United States District Court for the District of Delaware (9/12/2019), and </w:t>
      </w:r>
      <w:r>
        <w:rPr>
          <w:rFonts w:ascii="Arial" w:cs="Arial" w:eastAsia="Arial" w:hAnsi="Arial"/>
          <w:sz w:val="16"/>
          <w:szCs w:val="16"/>
          <w:i w:val="1"/>
          <w:iCs w:val="1"/>
          <w:color w:val="auto"/>
        </w:rPr>
        <w:t>Palkon v. Caesars Entertainment Corp., et al</w:t>
      </w:r>
      <w:r>
        <w:rPr>
          <w:rFonts w:ascii="Arial" w:cs="Arial" w:eastAsia="Arial" w:hAnsi="Arial"/>
          <w:sz w:val="16"/>
          <w:szCs w:val="16"/>
          <w:color w:val="auto"/>
        </w:rPr>
        <w:t>, Civil Action No. 1:19-cv-01679-UNA, United States District Court for the District of Delaware (9/9/2019). In general, those complaints asserted claims under sections 14(a), 20(a) and Rule 14a-9 of the Securities Exchange Act of 1934 challenging the adequacy of certain disclosures in the joint proxy statement/prospectus filed in connection with the Merger. In addition, one of the complaints alleges state law breach of fiduciary duty claims against the Caesars directors. In March 2020, the Company and Caesars reached an agreement with the plaintiffs in those actions to settle those claims in exchange for payment of certain fees to attorneys for the plaintiffs. As a result of that settlement, in March 2020, all eight suits were dismissed. These matters are now concluded.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Securities Action</w:t>
      </w:r>
    </w:p>
    <w:p>
      <w:pPr>
        <w:spacing w:after="0" w:line="131"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 xml:space="preserve">On September 23, 2019, the Company and certain of its officers were named as defendants in a putative class action complaint filed in the United States District Court for the District of New Jersey and captioned as </w:t>
      </w:r>
      <w:r>
        <w:rPr>
          <w:rFonts w:ascii="Arial" w:cs="Arial" w:eastAsia="Arial" w:hAnsi="Arial"/>
          <w:sz w:val="17"/>
          <w:szCs w:val="17"/>
          <w:i w:val="1"/>
          <w:iCs w:val="1"/>
          <w:color w:val="auto"/>
        </w:rPr>
        <w:t>Elberts v. Eldorado Resorts, Inc.</w:t>
      </w:r>
      <w:r>
        <w:rPr>
          <w:rFonts w:ascii="Arial" w:cs="Arial" w:eastAsia="Arial" w:hAnsi="Arial"/>
          <w:sz w:val="17"/>
          <w:szCs w:val="17"/>
          <w:color w:val="auto"/>
        </w:rPr>
        <w:t>, Case No. 2:19-cv-18230-SRC-CLW. The complaint asserted violations of Sections 10(b) and 20(a) of the Securities Exchange Act of 1934 and SEC Rule 10b-5 promulgated under the Securities Exchange Act of 1934. The complaint alleged that the Company made material misstatements and/or omissions during the period from March 1, 2019 through September 2, 2019. The allegations related to disclosure concerning the subpoenas that certain of the Company’s directors and officers received from the SEC, which have been previously disclosed in the proxy statement/prospectus filed by the Company relating to the pending transaction with Caesars. The SEC Investigation is ongoing. In March of 2020, the lead plaintiff decided not to pursue the claims any longer. As a result, this action was voluntarily dismissed by the lead plaintiff on March 17, 2020. This matter is now concluded.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In addition, we are a party to various legal and administrative proceedings, which have arisen in the normal course of our business. Estimated losses are accrued for these proceedings when the loss is probable and can be estimated. The current liability for the estimated losses associated with these proceedings is not material to our consolidated financial condition and those estimated losses are not expected to have a material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17"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As of March 31, 2020, Recreational Enterprises, Inc. (“REI”) owned approximately 11.1%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During the three months ended March 31, 2020 and 2019, there were no related party transactions between the Company and the Carano family other than compensation, including salary and equity incentives, and the CSY Lease listed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17"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The Company owns the entire parcel on which Eldorado Reno is located, except for approximately 30,000 square feet which is leased from C. S. &amp; Y. Associates (“CSY”) which is an entity partially owned by REI (the “CSY Lease”). The CSY Lease expires on June 30, 2057. Rent pursuant to the CSY Lease is $0.6 million annually and paid quarterly during the year. As of March 31, 2020 and December 31, 2019, there were no amounts due to or from CSY. As a result of the impact of COVID-19 on Eldorado Reno’s revenues due to the closure of the casino in March 2020, an amendment was executed to defer rental payments for a portion of 2020, not to exceed three months, until 2021 and 2022.</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15. Segment Information</w:t>
      </w:r>
    </w:p>
    <w:p>
      <w:pPr>
        <w:spacing w:after="0" w:line="121"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The Company’s principal operating activities occur in five geographic regions and reportable segments. The reportable segments are based on the similar characteristics of the operating segments within the regions in which they operate. See Note 1 for a summary of these segments. Also see Notes 4 and 7 for a discussion of the impairment of intangibles and long-lived assets related to certain segments.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for the periods indicated, certain operating data for our five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center"/>
              <w:ind w:left="472"/>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472"/>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4"/>
          </w:tcPr>
          <w:p>
            <w:pPr>
              <w:jc w:val="center"/>
              <w:ind w:left="47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105,490</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118,095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13,143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(97,457)</w:t>
            </w: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Midwest: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60,793</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(19,354)</w:t>
            </w: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97,052</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132,714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(11,194)</w:t>
            </w: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East: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108,056</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Central:</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99,705</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120,472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11,763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(24,305)</w:t>
            </w: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Reportable Segments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4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473,069</w:t>
            </w: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Depreciation and amortization</w:t>
            </w:r>
          </w:p>
        </w:tc>
        <w:tc>
          <w:tcPr>
            <w:tcW w:w="1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4380" w:type="dxa"/>
            <w:vAlign w:val="bottom"/>
            <w:tcBorders>
              <w:bottom w:val="single" w:sz="8" w:color="CFF0FC"/>
            </w:tcBorders>
            <w:vMerge w:val="continue"/>
          </w:tcPr>
          <w:p>
            <w:pPr>
              <w:spacing w:after="0"/>
              <w:rPr>
                <w:sz w:val="21"/>
                <w:szCs w:val="21"/>
                <w:color w:val="auto"/>
              </w:rPr>
            </w:pPr>
          </w:p>
        </w:tc>
        <w:tc>
          <w:tcPr>
            <w:tcW w:w="14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50,433</w:t>
            </w:r>
          </w:p>
        </w:tc>
        <w:tc>
          <w:tcPr>
            <w:tcW w:w="1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57,757</w:t>
            </w:r>
          </w:p>
        </w:tc>
        <w:tc>
          <w:tcPr>
            <w:tcW w:w="80" w:type="dxa"/>
            <w:vAlign w:val="bottom"/>
            <w:tcBorders>
              <w:bottom w:val="single" w:sz="8" w:color="CFF0FC"/>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(loss) income</w:t>
            </w:r>
          </w:p>
        </w:tc>
        <w:tc>
          <w:tcPr>
            <w:tcW w:w="1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(123,180)</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Reconciliations to consolidated net income:</w:t>
            </w: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 income</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(123,180)</w:t>
            </w: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140"/>
              <w:spacing w:after="0"/>
              <w:rPr>
                <w:sz w:val="20"/>
                <w:szCs w:val="20"/>
                <w:color w:val="auto"/>
              </w:rPr>
            </w:pPr>
            <w:r>
              <w:rPr>
                <w:rFonts w:ascii="Arial" w:cs="Arial" w:eastAsia="Arial" w:hAnsi="Arial"/>
                <w:sz w:val="18"/>
                <w:szCs w:val="18"/>
                <w:color w:val="auto"/>
              </w:rPr>
              <w:t>Unallocated (loss) income and expenses:</w:t>
            </w: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(66,464)</w:t>
            </w: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Unrealized loss on investments and marketable securities</w:t>
            </w:r>
          </w:p>
        </w:tc>
        <w:tc>
          <w:tcPr>
            <w:tcW w:w="146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(23,008)</w:t>
            </w:r>
          </w:p>
        </w:tc>
        <w:tc>
          <w:tcPr>
            <w:tcW w:w="300" w:type="dxa"/>
            <w:vAlign w:val="bottom"/>
            <w:shd w:val="clear" w:color="auto" w:fill="CCECFF"/>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37,172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(10,405)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income</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(175,638)</w:t>
            </w:r>
          </w:p>
        </w:tc>
        <w:tc>
          <w:tcPr>
            <w:tcW w:w="1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60" w:type="dxa"/>
            <w:vAlign w:val="bottom"/>
            <w:vMerge w:val="restart"/>
          </w:tcPr>
          <w:p>
            <w:pPr>
              <w:jc w:val="right"/>
              <w:ind w:right="1170"/>
              <w:spacing w:after="0"/>
              <w:rPr>
                <w:sz w:val="20"/>
                <w:szCs w:val="20"/>
                <w:color w:val="auto"/>
              </w:rPr>
            </w:pPr>
            <w:r>
              <w:rPr>
                <w:rFonts w:ascii="Arial" w:cs="Arial" w:eastAsia="Arial" w:hAnsi="Arial"/>
                <w:sz w:val="18"/>
                <w:szCs w:val="18"/>
                <w:color w:val="auto"/>
                <w:w w:val="89"/>
              </w:rPr>
              <w:t>25</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6" w:name="page27"/>
    <w:bookmarkEnd w:id="26"/>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gridSpan w:val="3"/>
          </w:tcPr>
          <w:p>
            <w:pPr>
              <w:jc w:val="right"/>
              <w:ind w:right="536"/>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Net</w:t>
            </w:r>
          </w:p>
        </w:tc>
        <w:tc>
          <w:tcPr>
            <w:tcW w:w="2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West</w:t>
            </w:r>
          </w:p>
        </w:tc>
        <w:tc>
          <w:tcPr>
            <w:tcW w:w="332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8,586</w:t>
            </w:r>
          </w:p>
        </w:tc>
        <w:tc>
          <w:tcPr>
            <w:tcW w:w="22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16,054</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2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ind w:left="120"/>
              <w:spacing w:after="0"/>
              <w:rPr>
                <w:sz w:val="20"/>
                <w:szCs w:val="20"/>
                <w:color w:val="auto"/>
              </w:rPr>
            </w:pPr>
            <w:r>
              <w:rPr>
                <w:rFonts w:ascii="Arial" w:cs="Arial" w:eastAsia="Arial" w:hAnsi="Arial"/>
                <w:sz w:val="18"/>
                <w:szCs w:val="18"/>
                <w:color w:val="auto"/>
              </w:rPr>
              <w:t>South</w:t>
            </w: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3,780</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2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10,574</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ind w:left="120"/>
              <w:spacing w:after="0"/>
              <w:rPr>
                <w:sz w:val="20"/>
                <w:szCs w:val="20"/>
                <w:color w:val="auto"/>
              </w:rPr>
            </w:pPr>
            <w:r>
              <w:rPr>
                <w:rFonts w:ascii="Arial" w:cs="Arial" w:eastAsia="Arial" w:hAnsi="Arial"/>
                <w:sz w:val="18"/>
                <w:szCs w:val="18"/>
                <w:color w:val="auto"/>
              </w:rPr>
              <w:t>Central</w:t>
            </w: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23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23,201</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38,360</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6"/>
          </w:tcPr>
          <w:p>
            <w:pPr>
              <w:ind w:left="540"/>
              <w:spacing w:after="0"/>
              <w:rPr>
                <w:sz w:val="20"/>
                <w:szCs w:val="20"/>
                <w:color w:val="auto"/>
              </w:rPr>
            </w:pPr>
            <w:r>
              <w:rPr>
                <w:rFonts w:ascii="Arial" w:cs="Arial" w:eastAsia="Arial" w:hAnsi="Arial"/>
                <w:sz w:val="14"/>
                <w:szCs w:val="14"/>
                <w:b w:val="1"/>
                <w:bCs w:val="1"/>
                <w:color w:val="auto"/>
              </w:rPr>
              <w:t>Balance sheet as of March 31,</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4"/>
          </w:tcPr>
          <w:p>
            <w:pPr>
              <w:ind w:left="10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w:t>
            </w:r>
          </w:p>
        </w:tc>
        <w:tc>
          <w:tcPr>
            <w:tcW w:w="1940" w:type="dxa"/>
            <w:vAlign w:val="bottom"/>
            <w:shd w:val="clear" w:color="auto" w:fill="CFF0FC"/>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1,659,542</w:t>
            </w:r>
          </w:p>
        </w:tc>
        <w:tc>
          <w:tcPr>
            <w:tcW w:w="240" w:type="dxa"/>
            <w:vAlign w:val="bottom"/>
            <w:shd w:val="clear" w:color="auto" w:fill="CFF0FC"/>
          </w:tcPr>
          <w:p>
            <w:pPr>
              <w:spacing w:after="0"/>
              <w:rPr>
                <w:sz w:val="19"/>
                <w:szCs w:val="19"/>
                <w:color w:val="auto"/>
              </w:rPr>
            </w:pP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1,816,033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Midwest</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95"/>
              <w:spacing w:after="0"/>
              <w:rPr>
                <w:sz w:val="20"/>
                <w:szCs w:val="20"/>
                <w:color w:val="auto"/>
              </w:rPr>
            </w:pPr>
            <w:r>
              <w:rPr>
                <w:rFonts w:ascii="Arial" w:cs="Arial" w:eastAsia="Arial" w:hAnsi="Arial"/>
                <w:sz w:val="18"/>
                <w:szCs w:val="18"/>
                <w:color w:val="auto"/>
              </w:rPr>
              <w:t>1,119,005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1,157,882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South</w:t>
            </w:r>
          </w:p>
        </w:tc>
        <w:tc>
          <w:tcPr>
            <w:tcW w:w="1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1,129,003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1,161,622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East</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95"/>
              <w:spacing w:after="0"/>
              <w:rPr>
                <w:sz w:val="20"/>
                <w:szCs w:val="20"/>
                <w:color w:val="auto"/>
              </w:rPr>
            </w:pPr>
            <w:r>
              <w:rPr>
                <w:rFonts w:ascii="Arial" w:cs="Arial" w:eastAsia="Arial" w:hAnsi="Arial"/>
                <w:sz w:val="18"/>
                <w:szCs w:val="18"/>
                <w:color w:val="auto"/>
              </w:rPr>
              <w:t>1,573,068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1,590,364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Central</w:t>
            </w:r>
          </w:p>
        </w:tc>
        <w:tc>
          <w:tcPr>
            <w:tcW w:w="1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1,546,207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1,539,894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Corporate, Other and Eliminations</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(1,135,653)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(1,625,242)</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CECFF"/>
              <w:bottom w:val="single" w:sz="8" w:color="CCECFF"/>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rPr>
              <w:t>5,891,172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rPr>
              <w:t>5,640,553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Pending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 Corporation</w:t>
      </w:r>
    </w:p>
    <w:p>
      <w:pPr>
        <w:spacing w:after="0" w:line="131"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On June 24, 2019, the Company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Based on the terms and subject to the conditions set forth in the Merger Agreement, the aggregate consideration payable by the Company in respect of outstanding shares of common stock of Caesars will be (a) an amount of cash equal to (i) the sum of (A) $8.40 plus (B) an amount equal to $0.003333 for each day from March 25, 2020 until the closing date of the Merger (such aggregate amount, the “Per Share Cash Merger Consideration”), multiplied by (ii) a number of shares of Caesars common stock equal to (A) 682,161,838 (which includes 8,271,660 shares being held in escrow trust to satisfy unsecured claims pursuant to the Third Amended Joint Plan of Reorganization, filed with the U.S. Bankruptcy Court for the Northern District of Illinois in Chicago on January 13, 2017, at Docket No. 6318, which shares are not entitled to vote) plus (B) the number of shares of Caesars common stock (the “Aggregate Caesars Share Amount”) issued after June 24, 2019 and prior to the effective time of the Merger pursuant to the exercise of certain equity awards issued under Caesars stock plans or conversion of Caesars’ outstanding convertible notes and (b) a number of shares of common stock of Eldorado equal to 0.0899 multiplied by the Aggregate Caesars Share Amount (such amount per share of Caesars common stock, the “Merger Consideration”). Based on the number of shares of ERI and Caesars outstanding as of March 31, 2020, following the consummation of the Merger (assuming that all Caesars convertible notes are converted immediately following consummation of the Merger into the Per Share Cash Merger Consideration and 0.0899 shares of common stock of Eldorado for each share of Caesars common stock into which such Caesars convertible notes were convertible immediately prior to the Merger), Eldorado and former Caesars stockholders will hold approximately 50.2% and 49.8%, respectively, of the combined company's outstanding shares of common stock.</w:t>
      </w:r>
    </w:p>
    <w:p>
      <w:pPr>
        <w:spacing w:after="0" w:line="201" w:lineRule="exact"/>
        <w:rPr>
          <w:sz w:val="20"/>
          <w:szCs w:val="20"/>
          <w:color w:val="auto"/>
        </w:rPr>
      </w:pPr>
    </w:p>
    <w:p>
      <w:pPr>
        <w:ind w:right="760" w:firstLine="546"/>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each of Caesars and Eldorado, and each party has agreed to customary covenants.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27" w:name="page28"/>
    <w:bookmarkEnd w:id="27"/>
    <w:p>
      <w:pPr>
        <w:ind w:firstLine="546"/>
        <w:spacing w:after="0" w:line="286" w:lineRule="auto"/>
        <w:rPr>
          <w:sz w:val="20"/>
          <w:szCs w:val="20"/>
          <w:color w:val="auto"/>
        </w:rPr>
      </w:pPr>
      <w:r>
        <w:rPr>
          <w:rFonts w:ascii="Arial" w:cs="Arial" w:eastAsia="Arial" w:hAnsi="Arial"/>
          <w:sz w:val="16"/>
          <w:szCs w:val="16"/>
          <w:color w:val="auto"/>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The Merger Agreement provides that if it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It also provides that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spacing w:after="0" w:line="20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Consummation of the Merger is subject to the satisfaction or waiver of certain conditions, including, among others, (1) the expiration or termination of any applicable waiting period under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 senior notes due 2024. Caesars’ stockholders adopted the Merger Agreement, and the Company’s stockholders approved the issues of shares of Eldorado common stock in the Merger, at separate special meetings of stockholders on November 15, 2019. In addition, on November 27, 2019, Caesars entered into certain amendments with respect to Caesars’ 5.00% convertible senior notes due 2024.</w:t>
      </w:r>
    </w:p>
    <w:p>
      <w:pPr>
        <w:spacing w:after="0" w:line="222" w:lineRule="exact"/>
        <w:rPr>
          <w:sz w:val="20"/>
          <w:szCs w:val="20"/>
          <w:color w:val="auto"/>
        </w:rPr>
      </w:pPr>
    </w:p>
    <w:p>
      <w:pPr>
        <w:ind w:right="40" w:firstLine="546"/>
        <w:spacing w:after="0" w:line="285" w:lineRule="auto"/>
        <w:rPr>
          <w:sz w:val="20"/>
          <w:szCs w:val="20"/>
          <w:color w:val="auto"/>
        </w:rPr>
      </w:pPr>
      <w:r>
        <w:rPr>
          <w:rFonts w:ascii="Arial" w:cs="Arial" w:eastAsia="Arial" w:hAnsi="Arial"/>
          <w:sz w:val="16"/>
          <w:szCs w:val="16"/>
          <w:color w:val="auto"/>
        </w:rPr>
        <w:t>In connection with the execution of the Merger Agreement, on June 24, 2019, the Company entered into a debt financing commitment letter (the “Initial Commitment Letter”) and related fee letters with JPMorgan Chase Bank, N.A., Credit Suisse AG, Cayman Islands Branch, Credit Suisse Loan Funding LLC, Macquarie Capital (USA) Inc. and Macquarie Capital Funding LLC (the “Initial Commitment Parties”). On July 19, 2019, the Company entered into an amended and restated commitment letter (as amended, the “A&amp;R Commitment Letter”) and related fee letters, which amended and restated the Initial Commitment Letter and related fee letters in their entirety to, among other things, add additional arrangers and lenders, including Bank of America, N.A., BofA Securities, Inc., Deutsche Bank Securities Inc., Deutsche Bank AG New York Branch, Deutsche Bank AG Cayman Islands Branch, Goldman Sachs Bank USA, SunTrust Bank, SunTrust Robinson Humphrey, Inc., U.S. Bank National Association, KeyBank National Association, KeyBanc Capital Markets Inc., Fifth Third Bank, and Citizens Bank, National Association (together with the Initial Commitment Parties, collectively, the “Commitment Parties”). Pursuant to the A&amp;R Commitment Letter, the Commitment Parties committed to arrange and provide (i) the Company with: (w) a $1,000.0 million senior secured revolving credit facility, (x) a $3,000.0 million senior secured term loan B facility, (y) a $3,250.0 million senior secured 364-day bridge facility and (z) a $1,800.0 million senior unsecured bridge loan facility and (ii) Caesars Resort Collection, LLC, a subsidiary of Caesars, with a $2,400.0 million senior secured incremental term loan B facility (collectively, the “Debt Financing”). The proceeds of the Debt Financing will be used (a) to pay all or a portion of the cash consideration payable in the Merger, (b) to refinance all of the Company’s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8" w:name="page29"/>
    <w:bookmarkEnd w:id="28"/>
    <w:p>
      <w:pPr>
        <w:ind w:right="40" w:firstLine="546"/>
        <w:spacing w:after="0" w:line="254" w:lineRule="auto"/>
        <w:rPr>
          <w:sz w:val="20"/>
          <w:szCs w:val="20"/>
          <w:color w:val="auto"/>
        </w:rPr>
      </w:pPr>
      <w:r>
        <w:rPr>
          <w:rFonts w:ascii="Arial" w:cs="Arial" w:eastAsia="Arial" w:hAnsi="Arial"/>
          <w:sz w:val="18"/>
          <w:szCs w:val="18"/>
          <w:color w:val="auto"/>
        </w:rPr>
        <w:t>On July 19, 2019, the Company entered into a commitment and engagement letter (as amended, the “Increase Commitment Letter”) and related fee letters to, if elected by the Company, increase the total size of the Debt Financing, including an increase to the senior secured term loan B facility to be arranged on a commercially reasonable efforts basis by the Commitment Parties in an amount to be agreed upon by the parties and an increase to the revolving credit facility by $830.0 million, the proceeds of which, if the Company elects to incur such financing, may be used to refinance certain existing indebtedness of Caesars Resort Collection, LLC and its subsidiaries and for working capital and general corporate purposes upon consummation of the Merger. The Increase Commitment Letter and a related engagement letter also contemplate the possibility of new senior secured and/or senior unsecured notes to be issued by the Company.</w:t>
      </w:r>
    </w:p>
    <w:p>
      <w:pPr>
        <w:spacing w:after="0" w:line="22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In connection with the execution of the Merger Agreement, on June 24, 2019, the Company entered into the MTA with VICI, pursuant to which, among other things, the Company has agreed, subject to the consummation of the Merger and the other applicable conditions set forth therein and in any related documents, (i) through one or more of its subsidiaries (after giving effect to the Merger) to consummate one or more sale and leaseback transactions with VICI and/or its affiliates with respect to certain property described in the MTA, including Harrah’s New Orleans, Harrah’s Laughlin and Harrah’s Atlantic City (or, under certain circumstances, if necessary, certain replacement properties specified in the MTA), (ii) through one or more of its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its applicable subsidiaries (after giving effect to the Merger) to enter into) certain right of first refusal agreements and a put-call right agreement in accordance with the terms of the MTA and (v) to undertake certain related transactions in connection with or related to the foregoing. The Company expects to apply the proceeds of the VICI transactions to pay a portion of the cash consideration payable in the Merger and transaction expenses associated with the Merger and related transactions.</w:t>
      </w:r>
    </w:p>
    <w:p>
      <w:pPr>
        <w:spacing w:after="0" w:line="219" w:lineRule="exact"/>
        <w:rPr>
          <w:sz w:val="20"/>
          <w:szCs w:val="20"/>
          <w:color w:val="auto"/>
        </w:rPr>
      </w:pPr>
    </w:p>
    <w:p>
      <w:pPr>
        <w:ind w:right="180" w:firstLine="546"/>
        <w:spacing w:after="0" w:line="342" w:lineRule="auto"/>
        <w:rPr>
          <w:sz w:val="20"/>
          <w:szCs w:val="20"/>
          <w:color w:val="auto"/>
        </w:rPr>
      </w:pPr>
      <w:r>
        <w:rPr>
          <w:rFonts w:ascii="Arial" w:cs="Arial" w:eastAsia="Arial" w:hAnsi="Arial"/>
          <w:sz w:val="16"/>
          <w:szCs w:val="16"/>
          <w:color w:val="auto"/>
        </w:rPr>
        <w:t>On September 26, 2019, the Company and VICI entered into definitive Purchase and Sale Agreements to effect the purchase and sale of Harrah’s New Orleans, Harrah’s Laughlin and Harrah’s Atlantic City in connection with the transactions described in clause (i) of the preceding paragraph.</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expects that the Merger and related transactions will be consummated in mid-2020.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9" w:name="page30"/>
    <w:bookmarkEnd w:id="29"/>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360" w:firstLine="546"/>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62"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546"/>
        <w:spacing w:after="0" w:line="272" w:lineRule="auto"/>
        <w:rPr>
          <w:sz w:val="20"/>
          <w:szCs w:val="20"/>
          <w:color w:val="auto"/>
        </w:rPr>
      </w:pPr>
      <w:r>
        <w:rPr>
          <w:rFonts w:ascii="Arial" w:cs="Arial" w:eastAsia="Arial" w:hAnsi="Arial"/>
          <w:sz w:val="17"/>
          <w:szCs w:val="17"/>
          <w:color w:val="auto"/>
        </w:rPr>
        <w:t>We are a geographically diversified gaming and hospitality company with 23 gaming facilities in 11 states as of March 31, 2020. Our properties, which are located in Colorado, Florida, Illinois, Indiana, Iowa, Mississippi, Missouri, Louisiana, Nevada, New Jersey and Ohio, feature approximately 23,900 slot machines, video lottery terminals (“VLTs”) and e-tables, approximately 660 table games and approximately 11,300 hotel rooms. Our primary source of revenue is generated by gaming operations, and we utilize our hotels, restaurants, bars, entertainment, racing, sportsbook offerings, retail shops and other services to attract customers to our properties. All of our casino properties have been temporarily closed since March 18, 2020 due to orders issued by various state government agencies as a result of the outbreak of a new strain of coronavirus (“COVID-19”) that was identified in January 2020. See “Recent Developments and Significant Factors Impacting Financial Results.”</w:t>
      </w:r>
    </w:p>
    <w:p>
      <w:pPr>
        <w:spacing w:after="0" w:line="177"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(“Silver Legacy”), the first mega-themed resort in Reno. In 2005, we acquired our first property outside of Reno when we purchased a casino in Shreveport, Louisiana, now known as Eldorado Shreveport. In September 2014, we merged with MTR Gaming Group, Inc. and acquired gaming and racing facilities in Ohio, Pennsylvania and West Virginia. The following year, in November 2015, we acquired Circus Circus Reno (“Circus Reno”) and the 50% membership interest in the Silver Legacy that was owned by MGM Resorts International. On May 1, 2017, we completed our acquisition of Isle of Capri Casinos, Inc. (“Isle” or “Isle of Capri”), adding 13 gaming properties to our portfolio. On August 7, 2018, we acquired the Elgin Riverboat Resort – Riverboat Casino d/b/a Grand Victoria Casino (“Elgin”) (the “Elgin Acquisition”). On October 1, 2018, we completed our acquisition of Tropicana Entertainment, Inc. (“Tropicana”), adding seven properties to our portfolio (the “Tropicana Acquisition”).</w:t>
      </w:r>
    </w:p>
    <w:p>
      <w:pPr>
        <w:spacing w:after="0" w:line="165"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On January 11, 2019 and March 8, 2019, respectively, we completed our sales of Presque Isle Downs &amp; Casino (“Presque”) and Lady Luck Casino Nemacolin (“Nemacolin”), which are both located in Pennsylvania. On December 6, 2019 we closed our sales of Mountaineer Casino, Racetrack and Resort (“Mountaineer”), Isle Casino Cape Girardeau (“Cape Girardeau”) and Lady Luck Casino Caruthersville (“Caruthersville”). Mountaineer is located in West Virginia and Cape Girardeau and Caruthersville are located in Missouri.</w:t>
      </w:r>
    </w:p>
    <w:p>
      <w:pPr>
        <w:spacing w:after="0" w:line="227"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On June 24, 2019, we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In connection with the execution of the Merger Agreement, the Company also entered into a Master Transaction Agreement (the “MTA”) with VICI Properties L.P., a Delaware limited partnership (“VICI”), pursuant to which, among other things, the Company has agreed to consummate one or more sale and leaseback transactions with VICI and/or its affiliates with respect to certain property described in the MTA. Consummation of the Merger is subject to the satisfaction or waiver of certain conditions, including anti-trust and regulatory approvals. The Company expects that the Merger will be consummated in mid-2020.</w:t>
      </w:r>
    </w:p>
    <w:p>
      <w:pPr>
        <w:spacing w:after="0" w:line="205"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(“Twin River”). The definitive agreement provides that the consummation of the sale is subject to satisfaction of customary conditions, including receipt of required regulatory approvals. The transaction is expected to be consummated in the second quarter of 2020. See Note 4.</w:t>
      </w:r>
    </w:p>
    <w:p>
      <w:pPr>
        <w:spacing w:after="0" w:line="171"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On January 13, 2020 and March 9, 2020, respectively, we entered into definitive purchase agreements to sell the equity interests of Eldorado Resort Casino Shreveport Joint Venture and Columbia Properties Tahoe, LLC, the entities that hold Eldorado Shreveport and MontBleu, to Maverick Gaming LLC (“Maverick”). On April 24, 2020, the agreements with Maverick were terminated and we entered into a definitive purchase agreement with Twin River and certain of its affiliates for the sale of the equity interests of Eldorado Resort Casino Shreveport Joint Venture and Columbia Properties Tahoe, LLC for aggregate consideration of $155 million, subject to a working capital adjustment. The definitive agreement provides that the consummation of the sale is subject to satisfaction of customary conditions, including receipt of required regulatory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20"/>
        <w:spacing w:after="0" w:line="263" w:lineRule="auto"/>
        <w:rPr>
          <w:sz w:val="20"/>
          <w:szCs w:val="20"/>
          <w:color w:val="auto"/>
        </w:rPr>
      </w:pPr>
      <w:r>
        <w:rPr>
          <w:rFonts w:ascii="Arial" w:cs="Arial" w:eastAsia="Arial" w:hAnsi="Arial"/>
          <w:sz w:val="18"/>
          <w:szCs w:val="18"/>
          <w:color w:val="auto"/>
        </w:rPr>
        <w:t>approvals, and further provides that our obligation to consummate the sale is subject to the closing of the Merger with Caesars and the buyer’s obligation to consummate the sale is subject to receipt of financing sufficient to enable it to pay the consideration due at closing. The transaction is expected to close in the first quarter of 2021.</w:t>
      </w:r>
    </w:p>
    <w:p>
      <w:pPr>
        <w:spacing w:after="0" w:line="184"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We own 18 of our casinos and lease five casinos that are subject to a master lease with GLP Capital, L.P., the operating partnership of Gaming and Leisure Properties, Inc. (“GLPI”), that we entered into in connection with the Tropicana Acquisition on October 1, 2018 (the “Master Lease”). See full description under “Master Lease”.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w:t>
      </w:r>
    </w:p>
    <w:p>
      <w:pPr>
        <w:spacing w:after="0" w:line="131"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On June 24, 2019, we entered into the Merger Agreement with Caesars. On the terms and subject to the conditions set forth in the Merger Agreement, the aggregate consideration paid by the Company in respect of outstanding shares of common stock of Caesars will be (a) an amount of cash equal to (i) the sum of (A) $8.40 plus (B) an amount equal to $0.003333 for each day from March 25, 2020 until the closing date of the Merger (such aggregate amount, the “Per Share Cash Merger Consideration”), multiplied by (ii) a number of shares of Caesars common stock equal to (A) 682,161,838 (which includes 8,271,660 shares being held in escrow trust to satisfy unsecured claims pursuant to the Third Amended Joint Plan of Reorganization, filed with the U.S. Bankruptcy Court for the Northern District of Illinois in Chicago on January 13, 2017, at Docket No. 6318, which shares are not entitled to vote) plus (B) the number of shares of Caesars common stock (the “Aggregate Caesars Share Amount”) issued after June 24, 2019 and prior to the effective time of the Merger pursuant to the exercise of certain equity awards issued under Caesars stock plans or conversion of Caesars’ outstanding convertible notes and (b) a number of shares of ERI common stock equal to 0.0899 multiplied by the Aggregate Caesars Share Amount (such amount per share of Caesars common stock, the “Merger Consideration”). Based on the number of shares of ERI and Caesars outstanding as of March 31, 2020, following the consummation of the Merger (assuming that all Caesars convertible notes are converted immediately following consummation of the Merger into the Per Share Cash Merger Consideration and 0.0899 shares of common stock of Eldorado for each share of Caesars common stock into which such Caesars convertible notes were convertible immediately prior to the Merger), Eldorado stockholders and former Caesars stockholders will hold approximately 50.2% and 49.8%, respectively, of the combined company's outstanding shares of common stock.</w:t>
      </w:r>
    </w:p>
    <w:p>
      <w:pPr>
        <w:spacing w:after="0" w:line="198" w:lineRule="exact"/>
        <w:rPr>
          <w:sz w:val="20"/>
          <w:szCs w:val="20"/>
          <w:color w:val="auto"/>
        </w:rPr>
      </w:pPr>
    </w:p>
    <w:p>
      <w:pPr>
        <w:ind w:right="760" w:firstLine="546"/>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each of Caesars and Eldorado, and each party has agreed to customary covenants.</w:t>
      </w:r>
    </w:p>
    <w:p>
      <w:pPr>
        <w:spacing w:after="0" w:line="211"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The Merger Agreement provides that if it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It also provides that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spacing w:after="0" w:line="214"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Consummation of the Merger is subject to the satisfaction or waiver of certain conditions, including, among others, (1) the expiration or termination of any applicable waiting period under the Hart-Scott-Rodino Antitrust Improvements Act of 1976, as amended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18"/>
          <w:szCs w:val="18"/>
          <w:color w:val="auto"/>
        </w:rPr>
        <w:t>senior notes due 2024. Caesars’ stockholders adopted the Merger Agreement, and the Company’s stockholders approved the issues of shares of Eldorado common stock in the Merger, at separate special meetings of stockholders on November 15, 2019. In addition, on November 27, 2019, Caesars entered into certain amendments with respect to Caesars’ 5.00% convertible senior notes due 2024.</w:t>
      </w:r>
    </w:p>
    <w:p>
      <w:pPr>
        <w:spacing w:after="0" w:line="211" w:lineRule="exact"/>
        <w:rPr>
          <w:sz w:val="20"/>
          <w:szCs w:val="20"/>
          <w:color w:val="auto"/>
        </w:rPr>
      </w:pPr>
    </w:p>
    <w:p>
      <w:pPr>
        <w:ind w:right="80" w:firstLine="546"/>
        <w:spacing w:after="0" w:line="285" w:lineRule="auto"/>
        <w:rPr>
          <w:sz w:val="20"/>
          <w:szCs w:val="20"/>
          <w:color w:val="auto"/>
        </w:rPr>
      </w:pPr>
      <w:r>
        <w:rPr>
          <w:rFonts w:ascii="Arial" w:cs="Arial" w:eastAsia="Arial" w:hAnsi="Arial"/>
          <w:sz w:val="16"/>
          <w:szCs w:val="16"/>
          <w:color w:val="auto"/>
        </w:rPr>
        <w:t>In connection with execution of the Merger Agreement, on June 24, 2019, we entered into a debt financing commitment letter (the “Initial Commitment Letter”) and related fee letters with JPMorgan Chase Bank, N.A., Credit Suisse AG, Cayman Islands Branch, Credit Suisse Loan Funding LLC, Macquarie Capital (USA) Inc. and Macquarie Capital Funding LLC (the “Initial Commitment Parties”). On July 19, 2019, the Company entered into an amended and restated commitment letter (as amended, the “A&amp;R Commitment Letter”) and related fee letters, which amended and restated the Initial Commitment Letter and related fee letters in their entirety to, among other things, add additional arrangers and lenders, including Bank of America, N.A., BofA Securities, Inc., Deutsche Bank Securities Inc., Deutsche Bank AG New York Branch, Deutsche Bank AG Cayman Islands Branch, Goldman Sachs Bank USA, SunTrust Bank, SunTrust Robinson Humphrey, Inc., U.S. Bank National Association, KeyBank National Association, KeyBanc Capital Markets Inc., Fifth Third Bank, and Citizens Bank, National Association (together with the Initial Commitment Parties, collectively, the “Commitment Parties”). Pursuant to the A&amp;R Commitment Letter, the Commitment Parties committed to arrange and provide (i) the Company with: (w) a $1,000.0 million senior secured revolving credit facility, (x) a $3,000.0 million senior secured term loan B facility, (y) a $3,250.0 million senior secured 364-day bridge facility and (z) a $1,800.0 million senior unsecured bridge loan facility and (ii) Caesars Resort Collection, LLC, a subsidiary of Caesars, with a $2,400.0 million senior secured incremental term loan B facility (collectively, the “Debt Financing”). The proceeds of the Debt Financing will be used (a) to pay all or a portion of the cash consideration payable in the Merger, (b) to refinance all of our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w:t>
      </w:r>
    </w:p>
    <w:p>
      <w:pPr>
        <w:spacing w:after="0" w:line="21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On July 19, 2019, the Company entered into a commitment and engagement letter (as amended, the “Increase Commitment Letter”) and related fee letters to, if elected by the Company, increase the total size of the Debt Financing, including an increase to the senior secured term loan B facility to be arranged on a commercially reasonable efforts basis by the Commitment Parties in an amount to be agreed upon by the parties and an increase to the revolving credit facility by $830.0 million, the proceeds of which, if the Company elects to incur such financing, may be used to refinance certain existing indebtedness of Caesars Resort Collection, LLC and its subsidiaries and for working capital and general corporate purposes upon consummation of the Merger. The Increase Commitment Letter and a related engagement letter also contemplate the possibility of new senior secured and/or senior unsecured notes to be issued by the Company.</w:t>
      </w:r>
    </w:p>
    <w:p>
      <w:pPr>
        <w:spacing w:after="0" w:line="235"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In connection with the execution of the Merger Agreement, on June 24, 2019, we entered into the MTA with VICI, pursuant to which, among other things, we have agreed, subject to the consummation of the Merger and the other applicable conditions set forth therein and in any related documents, (i) through one or more of our subsidiaries (after giving effect to the Merger) to consummate one or more sale and leaseback transactions with VICI and/or its affiliates with respect to certain property described in the MTA, including Harrah’s New Orleans, Harrah’s Laughlin and Harrah’s Atlantic City, (ii) through one or more of our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our subsidiaries (after giving effect to the Merger) to enter into) certain right of first refusal agreements and a put-call right agreement in accordance with the terms of the MTA and (v) to undertake certain related transactions in connection with or related to the foregoing. We expect to apply the proceeds of the VICI transactions to pay a portion of the cash consideration payable in the Merger and transaction expenses associated with the Merger and related transactions.</w:t>
      </w:r>
    </w:p>
    <w:p>
      <w:pPr>
        <w:spacing w:after="0" w:line="209" w:lineRule="exact"/>
        <w:rPr>
          <w:sz w:val="20"/>
          <w:szCs w:val="20"/>
          <w:color w:val="auto"/>
        </w:rPr>
      </w:pPr>
    </w:p>
    <w:p>
      <w:pPr>
        <w:ind w:right="220" w:firstLine="546"/>
        <w:spacing w:after="0" w:line="342" w:lineRule="auto"/>
        <w:rPr>
          <w:sz w:val="20"/>
          <w:szCs w:val="20"/>
          <w:color w:val="auto"/>
        </w:rPr>
      </w:pPr>
      <w:r>
        <w:rPr>
          <w:rFonts w:ascii="Arial" w:cs="Arial" w:eastAsia="Arial" w:hAnsi="Arial"/>
          <w:sz w:val="16"/>
          <w:szCs w:val="16"/>
          <w:color w:val="auto"/>
        </w:rPr>
        <w:t>On September 26, 2019, the Company and VICI entered into definitive Purchase and Sale Agreements to effect the purchase and sale of Harrah’s New Orleans, Harrah’s Laughlin and Harrah’s Atlantic City in connection with the transactions described in clause (i) of the preceding paragraph.</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the Merger and related transactions will be consummated in mid-2020.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Development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31"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In September 2018, we entered into a 25-year agreement, which became effective January 2019, with William Hill PLC and William Hill US, its U.S. subsidiary (together, “William Hill”) pursuant to which we (i) granted to William Hill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ind w:right="40"/>
        <w:spacing w:after="0" w:line="270" w:lineRule="auto"/>
        <w:rPr>
          <w:sz w:val="20"/>
          <w:szCs w:val="20"/>
          <w:color w:val="auto"/>
        </w:rPr>
      </w:pPr>
      <w:r>
        <w:rPr>
          <w:rFonts w:ascii="Arial" w:cs="Arial" w:eastAsia="Arial" w:hAnsi="Arial"/>
          <w:sz w:val="17"/>
          <w:szCs w:val="17"/>
          <w:color w:val="auto"/>
        </w:rPr>
        <w:t>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we received a 20% ownership interest in William Hill US valued at approximately $128.9 million as well as 13.4 million ordinary shares of William Hill PLC valued at approximately $27.3 million upon closing of the transaction in January 2019. The Company’s initial equity and the profit and losses attributable to William Hill US are in included in income (loss) from unconsolidated affiliates on the Consolidated Statements of Operations. The amortization of deferred revenues associated with the Company’s equity interests is included in corporate and other revenues and operating income. Additionally, we receive a profit share from the operations of betting and other gaming activities associated with the Company’s properties, which is included in other property revenues and operating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w:t>
      </w:r>
    </w:p>
    <w:p>
      <w:pPr>
        <w:spacing w:after="0" w:line="131"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an additional $5.0 million in TSG common shares became payable to us upon TSG’s exercise of its first option, which shares we received in the fourth quarter of 2019. In December 2019, we sold approximately 0.5 million of our TSG common shares at the request of William Hill and remitted the proceeds to them in accordance with the terms of our William Hill agreement. We may also receive additional TSG common shares in the future based on TSG net gaming revenue generated in our markets. Upon the entry into the TSG agreement, the Company also recorded deferred revenue associated with the shares received and recognizes revenue which is included in corporate and other revenues and operating income.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31"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and Cordish have made cash contributions of $500,000 each and could be required to make additional contributions to a maximum of $2.0 million ($1.0 million per member) at the request of the managing member. We have agreed to contribute approximately 130 to 200 acres of land to the joint venture for the project. As of March 31, 2020 and December 31, 2019, we have contributed approximately 23 acres to the joint venture at an approximate fair value of $6.6 million.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income (loss) from unconsolidated affiliates on the Consolidated Statements of Operations.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Presque and Nemacolin</w:t>
      </w:r>
    </w:p>
    <w:p>
      <w:pPr>
        <w:spacing w:after="0" w:line="117" w:lineRule="exact"/>
        <w:rPr>
          <w:sz w:val="20"/>
          <w:szCs w:val="20"/>
          <w:color w:val="auto"/>
        </w:rPr>
      </w:pPr>
    </w:p>
    <w:p>
      <w:pPr>
        <w:ind w:right="500" w:firstLine="546"/>
        <w:spacing w:after="0" w:line="311" w:lineRule="auto"/>
        <w:rPr>
          <w:sz w:val="20"/>
          <w:szCs w:val="20"/>
          <w:color w:val="auto"/>
        </w:rPr>
      </w:pPr>
      <w:r>
        <w:rPr>
          <w:rFonts w:ascii="Arial" w:cs="Arial" w:eastAsia="Arial" w:hAnsi="Arial"/>
          <w:sz w:val="16"/>
          <w:szCs w:val="16"/>
          <w:color w:val="auto"/>
        </w:rPr>
        <w:t>On February 28, 2018, we entered into definitive agreements to sell substantially all of the assets and liabilities of Presque and Vicksburg to Churchill Downs Incorporated (“CDI”). Under the terms of the agreements, CDI agreed to purchase Presque for cash consideration of approximately $178.9 million and Vicksburg for cash consideration of approximately $50.6 million, in each case subject to a customary working capital adjustment.</w:t>
      </w:r>
    </w:p>
    <w:p>
      <w:pPr>
        <w:spacing w:after="0" w:line="149" w:lineRule="exact"/>
        <w:rPr>
          <w:sz w:val="20"/>
          <w:szCs w:val="20"/>
          <w:color w:val="auto"/>
        </w:rPr>
      </w:pPr>
    </w:p>
    <w:p>
      <w:pPr>
        <w:jc w:val="both"/>
        <w:ind w:right="120" w:firstLine="546"/>
        <w:spacing w:after="0" w:line="301" w:lineRule="auto"/>
        <w:rPr>
          <w:sz w:val="20"/>
          <w:szCs w:val="20"/>
          <w:color w:val="auto"/>
        </w:rPr>
      </w:pPr>
      <w:r>
        <w:rPr>
          <w:rFonts w:ascii="Arial" w:cs="Arial" w:eastAsia="Arial" w:hAnsi="Arial"/>
          <w:sz w:val="16"/>
          <w:szCs w:val="16"/>
          <w:color w:val="auto"/>
        </w:rPr>
        <w:t>The definitive agreements provided that the divestitures were subject to receipt of required regulatory approvals, termination of the waiting period under the HSR Act and other customary closing conditions, including, in the case of Presque, the prior closing of the sale of Vicksburg or the entry into an agreement to acquire another asset of ours. On May 7, 2018, we and CDI each received a Request for Additional Information and Documentary Materials, often referred to as a “Second Request,” from the Federal Trade Commission in connection with its review of the Vicksburg acquisition.</w:t>
      </w:r>
    </w:p>
    <w:p>
      <w:pPr>
        <w:spacing w:after="0" w:line="157"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On August 10, 2018,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right="60"/>
        <w:spacing w:after="0" w:line="263" w:lineRule="auto"/>
        <w:rPr>
          <w:sz w:val="20"/>
          <w:szCs w:val="20"/>
          <w:color w:val="auto"/>
        </w:rPr>
      </w:pPr>
      <w:r>
        <w:rPr>
          <w:rFonts w:ascii="Arial" w:cs="Arial" w:eastAsia="Arial" w:hAnsi="Arial"/>
          <w:sz w:val="18"/>
          <w:szCs w:val="18"/>
          <w:color w:val="auto"/>
        </w:rPr>
        <w:t>entered into a definitive agreement to sell substantially all of the assets and liabilities of Nemacolin to CDI. Under the terms of the agreement, CDI agreed to purchase Nemacolin for cash consideration of approximately $0.1 million, subject to a customary working capital adjustment. We completed the sale of Presque on January 11, 2019 and the sale of Nemacolin on March 8,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Mountaineer, Cape Girardeau and Caruthersville</w:t>
      </w:r>
    </w:p>
    <w:p>
      <w:pPr>
        <w:spacing w:after="0" w:line="131" w:lineRule="exact"/>
        <w:rPr>
          <w:sz w:val="20"/>
          <w:szCs w:val="20"/>
          <w:color w:val="auto"/>
        </w:rPr>
      </w:pPr>
    </w:p>
    <w:p>
      <w:pPr>
        <w:ind w:right="480" w:firstLine="546"/>
        <w:spacing w:after="0" w:line="259" w:lineRule="auto"/>
        <w:rPr>
          <w:sz w:val="20"/>
          <w:szCs w:val="20"/>
          <w:color w:val="auto"/>
        </w:rPr>
      </w:pPr>
      <w:r>
        <w:rPr>
          <w:rFonts w:ascii="Arial" w:cs="Arial" w:eastAsia="Arial" w:hAnsi="Arial"/>
          <w:sz w:val="18"/>
          <w:szCs w:val="18"/>
          <w:color w:val="auto"/>
        </w:rPr>
        <w:t>On June 17, 2019, the Company entered into definitive agreements to sell the real property relating to Mountaineer, Cape Girardeau, and Caruthersville to VICI for approximately $278 million and, immediately following the consummation of the sale such real property, sell all of the outstanding equity interests of Mountaineer, Caruthersville and Cape Girardeau to Century Casinos, Inc. for approximately $107 million, subject to a finalized working capital adjustment. The sales were consummated on December 6, 2019.</w:t>
      </w:r>
    </w:p>
    <w:p>
      <w:pPr>
        <w:spacing w:after="0" w:line="227"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Prior to the closing date, the divestitures Mountaineer, Cape Girardeau and Caruthersville met the requirements for presentation as assets held for sale. However, they did not meet the requirements for presentation as discontinued operations. Mountaineer was reported in the East segment and Cape Girardeau and Caruthersville were reported in Midwest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Vicksburg and Kansas City</w:t>
      </w:r>
    </w:p>
    <w:p>
      <w:pPr>
        <w:spacing w:after="0" w:line="11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(“Twin River”) for cash consideration of approximately $230 million, subject to a working capital adjustment.</w:t>
      </w:r>
    </w:p>
    <w:p>
      <w:pPr>
        <w:spacing w:after="0" w:line="211"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definitive agreement provides that the consummation of the sale is subject to satisfaction of customary conditions, including receipt of required regulatory approvals. The transaction is expected to close in the second quarter of 2020.</w:t>
      </w:r>
    </w:p>
    <w:p>
      <w:pPr>
        <w:spacing w:after="0" w:line="21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Vicksburg and Kansas City met the requirements for presentation as assets held for sale as of December 31, 2019. However, they did not meet the requirements for presentation as discontinued operations and are included in income from continuing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Shreveport and MontBleu</w:t>
      </w:r>
    </w:p>
    <w:p>
      <w:pPr>
        <w:spacing w:after="0" w:line="131"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On January 13, 2020 and March 9, 2020, respectively, we entered into definitive purchase agreements to sell the equity interests of Eldorado Resort Casino Shreveport Joint Venture and Columbia Properties Tahoe, LLC, the entities that hold Eldorado Shreveport and MontBleu, to Maverick. On April 24, 2020, the agreements with Maverick were terminated and we entered into a definitive purchase agreement with Twin River and certain of its affiliates for the sale of the equity interests of Eldorado Resort Casino Shreveport Joint Venture and Columbia Properties Tahoe, LLC for aggregate consideration of $155 million, subject to a working capital adjustment. The definitive agreement provides that the consummation of the sale is subject to satisfaction of customary conditions, including receipt of required regulatory approvals, and further provides that our obligation to consummate the sale is subject to the closing of the Merger with Caesars and the buyer’s obligation to consummate the sale is subject to receipt of financing sufficient to enable it to pay the consideration due at closing. The transaction is expected to close in the first quarter of 2021.</w:t>
      </w:r>
    </w:p>
    <w:p>
      <w:pPr>
        <w:spacing w:after="0" w:line="205" w:lineRule="exact"/>
        <w:rPr>
          <w:sz w:val="20"/>
          <w:szCs w:val="20"/>
          <w:color w:val="auto"/>
        </w:rPr>
      </w:pPr>
    </w:p>
    <w:p>
      <w:pPr>
        <w:jc w:val="both"/>
        <w:ind w:right="40" w:firstLine="546"/>
        <w:spacing w:after="0" w:line="263" w:lineRule="auto"/>
        <w:rPr>
          <w:sz w:val="20"/>
          <w:szCs w:val="20"/>
          <w:color w:val="auto"/>
        </w:rPr>
      </w:pPr>
      <w:r>
        <w:rPr>
          <w:rFonts w:ascii="Arial" w:cs="Arial" w:eastAsia="Arial" w:hAnsi="Arial"/>
          <w:sz w:val="18"/>
          <w:szCs w:val="18"/>
          <w:color w:val="auto"/>
        </w:rPr>
        <w:t>Eldorado Shreveport and MontBleu met the requirements for presentation as assets held for sale under generally accepted accounting principles as of March 31, 2020. However, none of the pending divestitures met the requirements for presentation as discontinued operations and are included in income from continuing operations in the periods presented.</w:t>
      </w:r>
    </w:p>
    <w:p>
      <w:pPr>
        <w:spacing w:after="0" w:line="184" w:lineRule="exact"/>
        <w:rPr>
          <w:sz w:val="20"/>
          <w:szCs w:val="20"/>
          <w:color w:val="auto"/>
        </w:rPr>
      </w:pPr>
    </w:p>
    <w:p>
      <w:pPr>
        <w:ind w:right="220" w:firstLine="546"/>
        <w:spacing w:after="0" w:line="342" w:lineRule="auto"/>
        <w:rPr>
          <w:sz w:val="20"/>
          <w:szCs w:val="20"/>
          <w:color w:val="auto"/>
        </w:rPr>
      </w:pPr>
      <w:r>
        <w:rPr>
          <w:rFonts w:ascii="Arial" w:cs="Arial" w:eastAsia="Arial" w:hAnsi="Arial"/>
          <w:sz w:val="16"/>
          <w:szCs w:val="16"/>
          <w:color w:val="auto"/>
        </w:rPr>
        <w:t>In conjunction with the classification of MontBleu’s operations as assets held for sale as a result of the announced sale, an impairment charge totaling $45.6 million was recorded during the three months ended March 31, 2020 due to the carrying value exceeding the estimated net sales proceeds.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Segment</w:t>
            </w:r>
          </w:p>
        </w:tc>
        <w:tc>
          <w:tcPr>
            <w:tcW w:w="5400" w:type="dxa"/>
            <w:vAlign w:val="bottom"/>
            <w:gridSpan w:val="2"/>
          </w:tcPr>
          <w:p>
            <w:pPr>
              <w:ind w:left="2280"/>
              <w:spacing w:after="0"/>
              <w:rPr>
                <w:sz w:val="20"/>
                <w:szCs w:val="20"/>
                <w:color w:val="auto"/>
              </w:rPr>
            </w:pPr>
            <w:r>
              <w:rPr>
                <w:rFonts w:ascii="Arial" w:cs="Arial" w:eastAsia="Arial" w:hAnsi="Arial"/>
                <w:sz w:val="14"/>
                <w:szCs w:val="14"/>
                <w:b w:val="1"/>
                <w:bCs w:val="1"/>
                <w:color w:val="auto"/>
              </w:rPr>
              <w:t>Property</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Date Acquired</w:t>
            </w:r>
          </w:p>
        </w:tc>
        <w:tc>
          <w:tcPr>
            <w:tcW w:w="1660" w:type="dxa"/>
            <w:vAlign w:val="bottom"/>
          </w:tcPr>
          <w:p>
            <w:pPr>
              <w:ind w:left="660"/>
              <w:spacing w:after="0"/>
              <w:rPr>
                <w:sz w:val="20"/>
                <w:szCs w:val="20"/>
                <w:color w:val="auto"/>
              </w:rPr>
            </w:pPr>
            <w:r>
              <w:rPr>
                <w:rFonts w:ascii="Arial" w:cs="Arial" w:eastAsia="Arial" w:hAnsi="Arial"/>
                <w:sz w:val="14"/>
                <w:szCs w:val="14"/>
                <w:b w:val="1"/>
                <w:bCs w:val="1"/>
                <w:color w:val="auto"/>
              </w:rPr>
              <w:t>State</w:t>
            </w:r>
          </w:p>
        </w:tc>
      </w:tr>
      <w:tr>
        <w:trPr>
          <w:trHeight w:val="155"/>
        </w:trPr>
        <w:tc>
          <w:tcPr>
            <w:tcW w:w="132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West</w:t>
            </w:r>
          </w:p>
        </w:tc>
        <w:tc>
          <w:tcPr>
            <w:tcW w:w="300" w:type="dxa"/>
            <w:vAlign w:val="bottom"/>
            <w:tcBorders>
              <w:top w:val="single" w:sz="8" w:color="CFF0FC"/>
            </w:tcBorders>
            <w:shd w:val="clear" w:color="auto" w:fill="CFF0FC"/>
          </w:tcPr>
          <w:p>
            <w:pPr>
              <w:spacing w:after="0"/>
              <w:rPr>
                <w:sz w:val="13"/>
                <w:szCs w:val="13"/>
                <w:color w:val="auto"/>
              </w:rPr>
            </w:pPr>
          </w:p>
        </w:tc>
        <w:tc>
          <w:tcPr>
            <w:tcW w:w="5120" w:type="dxa"/>
            <w:vAlign w:val="bottom"/>
            <w:tcBorders>
              <w:top w:val="single" w:sz="8" w:color="auto"/>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Eldorado Resort Casino Reno ("Eldorado Reno")</w:t>
            </w:r>
          </w:p>
        </w:tc>
        <w:tc>
          <w:tcPr>
            <w:tcW w:w="280" w:type="dxa"/>
            <w:vAlign w:val="bottom"/>
            <w:tcBorders>
              <w:top w:val="single" w:sz="8" w:color="CFF0FC"/>
            </w:tcBorders>
            <w:shd w:val="clear" w:color="auto" w:fill="CFF0FC"/>
          </w:tcPr>
          <w:p>
            <w:pPr>
              <w:spacing w:after="0"/>
              <w:rPr>
                <w:sz w:val="13"/>
                <w:szCs w:val="13"/>
                <w:color w:val="auto"/>
              </w:rPr>
            </w:pPr>
          </w:p>
        </w:tc>
        <w:tc>
          <w:tcPr>
            <w:tcW w:w="226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(a)</w:t>
            </w:r>
          </w:p>
        </w:tc>
        <w:tc>
          <w:tcPr>
            <w:tcW w:w="300" w:type="dxa"/>
            <w:vAlign w:val="bottom"/>
            <w:tcBorders>
              <w:top w:val="single" w:sz="8" w:color="CFF0FC"/>
            </w:tcBorders>
            <w:shd w:val="clear" w:color="auto" w:fill="CFF0FC"/>
          </w:tcPr>
          <w:p>
            <w:pPr>
              <w:spacing w:after="0"/>
              <w:rPr>
                <w:sz w:val="13"/>
                <w:szCs w:val="13"/>
                <w:color w:val="auto"/>
              </w:rPr>
            </w:pPr>
          </w:p>
        </w:tc>
        <w:tc>
          <w:tcPr>
            <w:tcW w:w="1660" w:type="dxa"/>
            <w:vAlign w:val="bottom"/>
            <w:tcBorders>
              <w:top w:val="single" w:sz="8" w:color="auto"/>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Nevada</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Silver Legacy Resort Casino ("Silver Legacy")</w:t>
            </w:r>
          </w:p>
        </w:tc>
        <w:tc>
          <w:tcPr>
            <w:tcW w:w="25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w:t>
            </w:r>
          </w:p>
        </w:tc>
        <w:tc>
          <w:tcPr>
            <w:tcW w:w="1660" w:type="dxa"/>
            <w:vAlign w:val="bottom"/>
          </w:tcPr>
          <w:p>
            <w:pPr>
              <w:ind w:left="240"/>
              <w:spacing w:after="0"/>
              <w:rPr>
                <w:sz w:val="20"/>
                <w:szCs w:val="20"/>
                <w:color w:val="auto"/>
              </w:rPr>
            </w:pPr>
            <w:r>
              <w:rPr>
                <w:rFonts w:ascii="Arial" w:cs="Arial" w:eastAsia="Arial" w:hAnsi="Arial"/>
                <w:sz w:val="14"/>
                <w:szCs w:val="14"/>
                <w:color w:val="auto"/>
              </w:rPr>
              <w:t>Nevada</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Circus Circus Reno ("Circus Reno")</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3"/>
              </w:rPr>
              <w:t>(a)</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Nevada</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MontBleu Casino Resort &amp; Spa ("MontBleu")</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October 1, 2018 (c)</w:t>
            </w:r>
          </w:p>
        </w:tc>
        <w:tc>
          <w:tcPr>
            <w:tcW w:w="1660" w:type="dxa"/>
            <w:vAlign w:val="bottom"/>
          </w:tcPr>
          <w:p>
            <w:pPr>
              <w:ind w:left="240"/>
              <w:spacing w:after="0"/>
              <w:rPr>
                <w:sz w:val="20"/>
                <w:szCs w:val="20"/>
                <w:color w:val="auto"/>
              </w:rPr>
            </w:pPr>
            <w:r>
              <w:rPr>
                <w:rFonts w:ascii="Arial" w:cs="Arial" w:eastAsia="Arial" w:hAnsi="Arial"/>
                <w:sz w:val="14"/>
                <w:szCs w:val="14"/>
                <w:color w:val="auto"/>
              </w:rPr>
              <w:t>Nevada</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Tropicana Laughlin Hotel &amp; Casino ("Laughlin")</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Nevada</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Isle Casino Hotel - Blackhawk ("Isle Black Hawk")</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tcPr>
          <w:p>
            <w:pPr>
              <w:ind w:left="240"/>
              <w:spacing w:after="0"/>
              <w:rPr>
                <w:sz w:val="20"/>
                <w:szCs w:val="20"/>
                <w:color w:val="auto"/>
              </w:rPr>
            </w:pPr>
            <w:r>
              <w:rPr>
                <w:rFonts w:ascii="Arial" w:cs="Arial" w:eastAsia="Arial" w:hAnsi="Arial"/>
                <w:sz w:val="14"/>
                <w:szCs w:val="14"/>
                <w:color w:val="auto"/>
              </w:rPr>
              <w:t>Colorado</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Lady Luck Casino - Black Hawk ("Lady Luck Black Hawk")</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Colorado</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16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Midwest (b)</w:t>
            </w: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Isle Casino Waterloo ("Waterloo")</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Iowa</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Isle Casino Bettendorf ("Bettendorf")</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tcPr>
          <w:p>
            <w:pPr>
              <w:ind w:left="240"/>
              <w:spacing w:after="0"/>
              <w:rPr>
                <w:sz w:val="20"/>
                <w:szCs w:val="20"/>
                <w:color w:val="auto"/>
              </w:rPr>
            </w:pPr>
            <w:r>
              <w:rPr>
                <w:rFonts w:ascii="Arial" w:cs="Arial" w:eastAsia="Arial" w:hAnsi="Arial"/>
                <w:sz w:val="14"/>
                <w:szCs w:val="14"/>
                <w:color w:val="auto"/>
              </w:rPr>
              <w:t>Iowa</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Isle of Capri Casino Boonville ("Boonville")</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Missouri</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Isle of Capri Casino Kansas City ("Kansas City")</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1660" w:type="dxa"/>
            <w:vAlign w:val="bottom"/>
          </w:tcPr>
          <w:p>
            <w:pPr>
              <w:ind w:left="240"/>
              <w:spacing w:after="0"/>
              <w:rPr>
                <w:sz w:val="20"/>
                <w:szCs w:val="20"/>
                <w:color w:val="auto"/>
              </w:rPr>
            </w:pPr>
            <w:r>
              <w:rPr>
                <w:rFonts w:ascii="Arial" w:cs="Arial" w:eastAsia="Arial" w:hAnsi="Arial"/>
                <w:sz w:val="14"/>
                <w:szCs w:val="14"/>
                <w:color w:val="auto"/>
              </w:rPr>
              <w:t>Missouri</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r>
      <w:tr>
        <w:trPr>
          <w:trHeight w:val="162"/>
        </w:trPr>
        <w:tc>
          <w:tcPr>
            <w:tcW w:w="1620" w:type="dxa"/>
            <w:vAlign w:val="bottom"/>
            <w:gridSpan w:val="2"/>
          </w:tcPr>
          <w:p>
            <w:pPr>
              <w:ind w:left="260"/>
              <w:spacing w:after="0"/>
              <w:rPr>
                <w:sz w:val="20"/>
                <w:szCs w:val="20"/>
                <w:color w:val="auto"/>
              </w:rPr>
            </w:pPr>
            <w:r>
              <w:rPr>
                <w:rFonts w:ascii="Arial" w:cs="Arial" w:eastAsia="Arial" w:hAnsi="Arial"/>
                <w:sz w:val="14"/>
                <w:szCs w:val="14"/>
                <w:color w:val="auto"/>
              </w:rPr>
              <w:t>South</w:t>
            </w: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Isle Casino Racing Pompano Park ("Pompano")</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tcPr>
          <w:p>
            <w:pPr>
              <w:ind w:left="240"/>
              <w:spacing w:after="0"/>
              <w:rPr>
                <w:sz w:val="20"/>
                <w:szCs w:val="20"/>
                <w:color w:val="auto"/>
              </w:rPr>
            </w:pPr>
            <w:r>
              <w:rPr>
                <w:rFonts w:ascii="Arial" w:cs="Arial" w:eastAsia="Arial" w:hAnsi="Arial"/>
                <w:sz w:val="14"/>
                <w:szCs w:val="14"/>
                <w:color w:val="auto"/>
              </w:rPr>
              <w:t>Florida</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Eldorado Resort Casino Shreveport ("Eldorado Shreveport")</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0"/>
              </w:rPr>
              <w:t>(a) (c)</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Louisiana</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Isle of Capri Casino Hotel Lake Charles ("Lake Charles")</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tcPr>
          <w:p>
            <w:pPr>
              <w:ind w:left="240"/>
              <w:spacing w:after="0"/>
              <w:rPr>
                <w:sz w:val="20"/>
                <w:szCs w:val="20"/>
                <w:color w:val="auto"/>
              </w:rPr>
            </w:pPr>
            <w:r>
              <w:rPr>
                <w:rFonts w:ascii="Arial" w:cs="Arial" w:eastAsia="Arial" w:hAnsi="Arial"/>
                <w:sz w:val="14"/>
                <w:szCs w:val="14"/>
                <w:color w:val="auto"/>
              </w:rPr>
              <w:t>Louisiana</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Belle of Baton Rouge Casino &amp; Hotel ("Baton Rouge")</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Louisiana</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Isle of Capri Casino Lula ("Lula")</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1660" w:type="dxa"/>
            <w:vAlign w:val="bottom"/>
          </w:tcPr>
          <w:p>
            <w:pPr>
              <w:ind w:left="240"/>
              <w:spacing w:after="0"/>
              <w:rPr>
                <w:sz w:val="20"/>
                <w:szCs w:val="20"/>
                <w:color w:val="auto"/>
              </w:rPr>
            </w:pPr>
            <w:r>
              <w:rPr>
                <w:rFonts w:ascii="Arial" w:cs="Arial" w:eastAsia="Arial" w:hAnsi="Arial"/>
                <w:sz w:val="14"/>
                <w:szCs w:val="14"/>
                <w:color w:val="auto"/>
              </w:rPr>
              <w:t>Mississippi</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Lady Luck Casino Vicksburg ("Vicksburg")</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Mississippi</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Trop Casino Greenville ("Greenville")</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1660" w:type="dxa"/>
            <w:vAlign w:val="bottom"/>
          </w:tcPr>
          <w:p>
            <w:pPr>
              <w:ind w:left="240"/>
              <w:spacing w:after="0"/>
              <w:rPr>
                <w:sz w:val="20"/>
                <w:szCs w:val="20"/>
                <w:color w:val="auto"/>
              </w:rPr>
            </w:pPr>
            <w:r>
              <w:rPr>
                <w:rFonts w:ascii="Arial" w:cs="Arial" w:eastAsia="Arial" w:hAnsi="Arial"/>
                <w:sz w:val="14"/>
                <w:szCs w:val="14"/>
                <w:color w:val="auto"/>
              </w:rPr>
              <w:t>Mississippi</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r>
      <w:tr>
        <w:trPr>
          <w:trHeight w:val="162"/>
        </w:trPr>
        <w:tc>
          <w:tcPr>
            <w:tcW w:w="1620" w:type="dxa"/>
            <w:vAlign w:val="bottom"/>
            <w:gridSpan w:val="2"/>
          </w:tcPr>
          <w:p>
            <w:pPr>
              <w:ind w:left="260"/>
              <w:spacing w:after="0"/>
              <w:rPr>
                <w:sz w:val="20"/>
                <w:szCs w:val="20"/>
                <w:color w:val="auto"/>
              </w:rPr>
            </w:pPr>
            <w:r>
              <w:rPr>
                <w:rFonts w:ascii="Arial" w:cs="Arial" w:eastAsia="Arial" w:hAnsi="Arial"/>
                <w:sz w:val="14"/>
                <w:szCs w:val="14"/>
                <w:color w:val="auto"/>
              </w:rPr>
              <w:t>East (b)</w:t>
            </w: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Eldorado Gaming Scioto Downs ("Scioto Downs")</w:t>
            </w:r>
          </w:p>
        </w:tc>
        <w:tc>
          <w:tcPr>
            <w:tcW w:w="25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w:t>
            </w:r>
          </w:p>
        </w:tc>
        <w:tc>
          <w:tcPr>
            <w:tcW w:w="1660" w:type="dxa"/>
            <w:vAlign w:val="bottom"/>
          </w:tcPr>
          <w:p>
            <w:pPr>
              <w:ind w:left="240"/>
              <w:spacing w:after="0"/>
              <w:rPr>
                <w:sz w:val="20"/>
                <w:szCs w:val="20"/>
                <w:color w:val="auto"/>
              </w:rPr>
            </w:pPr>
            <w:r>
              <w:rPr>
                <w:rFonts w:ascii="Arial" w:cs="Arial" w:eastAsia="Arial" w:hAnsi="Arial"/>
                <w:sz w:val="14"/>
                <w:szCs w:val="14"/>
                <w:color w:val="auto"/>
              </w:rPr>
              <w:t>Ohio</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Tropicana Casino and Resort, Atlantic City ("Trop AC")</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New Jersey</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16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Central</w:t>
            </w: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Grand Victoria Casino ("Elgin")</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August 7, 2018</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Illinois</w:t>
            </w:r>
          </w:p>
        </w:tc>
      </w:t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0" w:type="dxa"/>
            <w:vAlign w:val="bottom"/>
            <w:gridSpan w:val="2"/>
          </w:tcPr>
          <w:p>
            <w:pPr>
              <w:ind w:left="240"/>
              <w:spacing w:after="0"/>
              <w:rPr>
                <w:sz w:val="20"/>
                <w:szCs w:val="20"/>
                <w:color w:val="auto"/>
              </w:rPr>
            </w:pPr>
            <w:r>
              <w:rPr>
                <w:rFonts w:ascii="Arial" w:cs="Arial" w:eastAsia="Arial" w:hAnsi="Arial"/>
                <w:sz w:val="14"/>
                <w:szCs w:val="14"/>
                <w:color w:val="auto"/>
              </w:rPr>
              <w:t>Lumière Place Casino ("Lumière")</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1660" w:type="dxa"/>
            <w:vAlign w:val="bottom"/>
          </w:tcPr>
          <w:p>
            <w:pPr>
              <w:ind w:left="240"/>
              <w:spacing w:after="0"/>
              <w:rPr>
                <w:sz w:val="20"/>
                <w:szCs w:val="20"/>
                <w:color w:val="auto"/>
              </w:rPr>
            </w:pPr>
            <w:r>
              <w:rPr>
                <w:rFonts w:ascii="Arial" w:cs="Arial" w:eastAsia="Arial" w:hAnsi="Arial"/>
                <w:sz w:val="14"/>
                <w:szCs w:val="14"/>
                <w:color w:val="auto"/>
              </w:rPr>
              <w:t>Missouri</w:t>
            </w:r>
          </w:p>
        </w:tc>
      </w:tr>
      <w:tr>
        <w:trPr>
          <w:trHeight w:val="162"/>
        </w:trPr>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Tropicana Evansville ("Evansville")</w:t>
            </w:r>
          </w:p>
        </w:tc>
        <w:tc>
          <w:tcPr>
            <w:tcW w:w="256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1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Indiana</w:t>
            </w:r>
          </w:p>
        </w:tc>
      </w:tr>
    </w:tbl>
    <w:p>
      <w:pPr>
        <w:spacing w:after="0" w:line="224"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4"/>
          <w:szCs w:val="14"/>
          <w:color w:val="2E2E2E"/>
        </w:rPr>
      </w:pPr>
      <w:r>
        <w:rPr>
          <w:rFonts w:ascii="Arial" w:cs="Arial" w:eastAsia="Arial" w:hAnsi="Arial"/>
          <w:sz w:val="14"/>
          <w:szCs w:val="14"/>
          <w:color w:val="auto"/>
        </w:rPr>
        <w:t>Property was owned or acquired prior to 2017.</w:t>
      </w:r>
    </w:p>
    <w:p>
      <w:pPr>
        <w:spacing w:after="0" w:line="13" w:lineRule="exact"/>
        <w:rPr>
          <w:rFonts w:ascii="Arial" w:cs="Arial" w:eastAsia="Arial" w:hAnsi="Arial"/>
          <w:sz w:val="14"/>
          <w:szCs w:val="14"/>
          <w:color w:val="2E2E2E"/>
        </w:rPr>
      </w:pPr>
    </w:p>
    <w:p>
      <w:pPr>
        <w:ind w:left="540" w:right="80" w:hanging="532"/>
        <w:spacing w:after="0" w:line="221" w:lineRule="auto"/>
        <w:tabs>
          <w:tab w:leader="none" w:pos="540" w:val="left"/>
        </w:tabs>
        <w:numPr>
          <w:ilvl w:val="0"/>
          <w:numId w:val="7"/>
        </w:numPr>
        <w:rPr>
          <w:rFonts w:ascii="Arial" w:cs="Arial" w:eastAsia="Arial" w:hAnsi="Arial"/>
          <w:sz w:val="14"/>
          <w:szCs w:val="14"/>
          <w:color w:val="2E2E2E"/>
        </w:rPr>
      </w:pPr>
      <w:r>
        <w:rPr>
          <w:rFonts w:ascii="Arial" w:cs="Arial" w:eastAsia="Arial" w:hAnsi="Arial"/>
          <w:sz w:val="14"/>
          <w:szCs w:val="14"/>
          <w:color w:val="auto"/>
        </w:rPr>
        <w:t>Presque was sold on January 11, 2019, Nemacolin was sold on March 8, 2019 and Mountaineer was sold on December 6, 2019. All three properties were previously reported in the East segment. Cape Girardeau and Caruthersville were sold on December 6, 2019. Both properties were previously reported in the Midwest segment.</w:t>
      </w:r>
    </w:p>
    <w:p>
      <w:pPr>
        <w:ind w:left="540" w:right="40" w:hanging="532"/>
        <w:spacing w:after="0" w:line="237"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entered into agreements to sell Kansas City, Vicksburg, Eldorado Shreveport and MontBleu. The Kansas City and Vicksburg sales are expected to close in the first half of 2020. The Eldorado Shreveport and MontBleu sales are expected to close in the first quarter of 2021.</w:t>
      </w:r>
    </w:p>
    <w:p>
      <w:pPr>
        <w:spacing w:after="0" w:line="187" w:lineRule="exact"/>
        <w:rPr>
          <w:sz w:val="20"/>
          <w:szCs w:val="20"/>
          <w:color w:val="auto"/>
        </w:rPr>
      </w:pPr>
    </w:p>
    <w:p>
      <w:pPr>
        <w:ind w:right="80" w:firstLine="546"/>
        <w:spacing w:after="0" w:line="296" w:lineRule="auto"/>
        <w:rPr>
          <w:sz w:val="20"/>
          <w:szCs w:val="20"/>
          <w:color w:val="auto"/>
        </w:rPr>
      </w:pPr>
      <w:r>
        <w:rPr>
          <w:rFonts w:ascii="Arial" w:cs="Arial" w:eastAsia="Arial" w:hAnsi="Arial"/>
          <w:sz w:val="16"/>
          <w:szCs w:val="16"/>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Our principal operating activities occur in five geographic regions and reportable segments. The reportable segments are based on the similar characteristics of the operating segments within the regions in which they operate: West, Midwest, South, East, and Central. See the table above for a listing of properties included in each segment.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right="220" w:firstLine="546"/>
        <w:spacing w:after="0" w:line="263" w:lineRule="auto"/>
        <w:rPr>
          <w:sz w:val="20"/>
          <w:szCs w:val="20"/>
          <w:color w:val="auto"/>
        </w:rPr>
      </w:pPr>
      <w:r>
        <w:rPr>
          <w:rFonts w:ascii="Arial" w:cs="Arial" w:eastAsia="Arial" w:hAnsi="Arial"/>
          <w:sz w:val="18"/>
          <w:szCs w:val="18"/>
          <w:color w:val="auto"/>
        </w:rPr>
        <w:t>The financial information included in this Item 2 for periods after our sales of Presque and Nemacolin on January 11, 2019 and March 8, 2019, respectively, and our sales of Mountaineer, Cape Girardeau and Caruthersville on December 6, 2019 are not fully comparable to the periods prior to their respective sale dates. See Note 4.</w:t>
      </w:r>
    </w:p>
    <w:p>
      <w:pPr>
        <w:spacing w:after="0" w:line="184"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financial statements and the notes to those statements included in this Quarterly Report on Form 10-Q.</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retail shops, racing,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Factors Impacting Financial Results</w:t>
      </w:r>
    </w:p>
    <w:p>
      <w:pPr>
        <w:spacing w:after="0" w:line="135"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following summary highlights recent developments and significant factors impacting our financial results for the three months ended March 31, 2020 and 2019.</w:t>
      </w:r>
    </w:p>
    <w:p>
      <w:pPr>
        <w:spacing w:after="0" w:line="184" w:lineRule="exact"/>
        <w:rPr>
          <w:sz w:val="20"/>
          <w:szCs w:val="20"/>
          <w:color w:val="auto"/>
        </w:rPr>
      </w:pPr>
    </w:p>
    <w:p>
      <w:pPr>
        <w:ind w:left="1080" w:hanging="532"/>
        <w:spacing w:after="0" w:line="267"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COVID-19 Pandemic – </w:t>
      </w:r>
      <w:r>
        <w:rPr>
          <w:rFonts w:ascii="Arial" w:cs="Arial" w:eastAsia="Arial" w:hAnsi="Arial"/>
          <w:sz w:val="17"/>
          <w:szCs w:val="17"/>
          <w:color w:val="auto"/>
        </w:rPr>
        <w:t>In January 2020, an outbreak of a new strain of coronavirus was identified and has since spread throughout much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world, including the United States. All of our casino properties have been temporarily closed since March 18, 2020 due to orders issued by various state government agencies in connection with the COVID-19 pandemic. As a result of these closures, the COVID-19 pandemic has had an adverse effect on our business, financial condition and results of operations for the three months ended March 31, 2020 despite a strong start to the first quarter with positive year over year results for January and February. We continued to pay our full-time employees through April 10, 2020, including tips and tokes. Effective April 11, 2020, we furloughed approximately 90% of our employees, implemented salary reductions and committed to continue to provide benefits to our employees through June 30, 2020. As a result of these payroll changes combined with other cost saving measures, our daily operating expenses reduced significantly. In an effort to maintain liquidity and provide financial flexibility as the effects of COVID-19 continue to evolve and impact global financial markets, we borrowed $465 million under our revolving credit facility on March 16, 2020. The extent of the ongoing and future effects of the COVID-19 pandemic on our business and the casino resort industry generally is uncertain, but we expect that it will continue to have a significant impact on our business, results of operations and financial condition. As a result of the continuation of closures for a significant portion of the second quarter of 2020 and the protective measures expected to be put into place upon re-opening, we anticipate that our results of operations for the second quarter of 2020 will be lower than those for the first quarter of 2020, and operating results may be negatively impacted for the remainder of the year and potentially thereafter. The extent and duration of the impact of COVID-19 will ultimately depend on future developments, including but not limited to, the duration and severity of the outbreak, the length of time that our casinos remain closed, our ability to adapt to new operating procedures upon re-opening of our casinos, the impact on consumer demand and discretionary spending, the length of time it takes for demand to return and our ability to adjust our cost structures for the duration of the outbreak’s impact on our operations.</w:t>
      </w:r>
    </w:p>
    <w:p>
      <w:pPr>
        <w:spacing w:after="0" w:line="80" w:lineRule="exact"/>
        <w:rPr>
          <w:rFonts w:ascii="Arial" w:cs="Arial" w:eastAsia="Arial" w:hAnsi="Arial"/>
          <w:sz w:val="17"/>
          <w:szCs w:val="17"/>
          <w:color w:val="auto"/>
        </w:rPr>
      </w:pPr>
    </w:p>
    <w:p>
      <w:pPr>
        <w:ind w:left="1080" w:right="60" w:hanging="532"/>
        <w:spacing w:after="0" w:line="25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Caesars Acquisition </w:t>
      </w:r>
      <w:r>
        <w:rPr>
          <w:rFonts w:ascii="Arial" w:cs="Arial" w:eastAsia="Arial" w:hAnsi="Arial"/>
          <w:sz w:val="18"/>
          <w:szCs w:val="18"/>
          <w:color w:val="auto"/>
        </w:rPr>
        <w:t>– Transaction costs related to our pending acquisition of Caesars announced in June 2019 totaled $9.3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Pursuant to the MTA with VICI, we are required to reimburse VICI for 50% of any prepayment penalties in connection with VICI’s payoff related to its CPLV loan, regardless of whether the Merger closing occurs. As of December 31, 2019 and March 31, 2020, our proportionate share of VICI’s prepayment penalty paid in 2019 was accrued and totaled approximately $55.4 million.</w:t>
      </w:r>
    </w:p>
    <w:p>
      <w:pPr>
        <w:spacing w:after="0" w:line="7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Presque and Nemacolin Divestitures - </w:t>
      </w:r>
      <w:r>
        <w:rPr>
          <w:rFonts w:ascii="Arial" w:cs="Arial" w:eastAsia="Arial" w:hAnsi="Arial"/>
          <w:sz w:val="18"/>
          <w:szCs w:val="18"/>
          <w:color w:val="auto"/>
        </w:rPr>
        <w:t>The sales of Presque and Nemacolin did not meet the requirements for presentation as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are included in income from continuing operations for the periods prior to their respective closing dates for the three months ended March 31, 2019. We closed the sales of Presque and Nemacolin on January 11, 2019 and March 8, 2019, respectively, and recorded a net gain of $22.2 million.</w:t>
      </w:r>
    </w:p>
    <w:p>
      <w:pPr>
        <w:spacing w:after="0" w:line="78"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Mountaineer, Cape Girardeau and Caruthersville Divestitures </w:t>
      </w:r>
      <w:r>
        <w:rPr>
          <w:rFonts w:ascii="Arial" w:cs="Arial" w:eastAsia="Arial" w:hAnsi="Arial"/>
          <w:sz w:val="18"/>
          <w:szCs w:val="18"/>
          <w:color w:val="auto"/>
        </w:rPr>
        <w:t>– The sales of Mountaineer, Cape Girardeau and Caruthersville did not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presentation as discontinued operations and are included in income from continuing operations for the periods prior to their closing date for the three months ended March 31, 2019. We closed the sales of these properties on December 6, 2019 and recorded a net gain of $28.6 million during the fourth quarter of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ind w:left="1100" w:right="560"/>
        <w:spacing w:after="0" w:line="277" w:lineRule="auto"/>
        <w:rPr>
          <w:sz w:val="20"/>
          <w:szCs w:val="20"/>
          <w:color w:val="auto"/>
        </w:rPr>
      </w:pPr>
      <w:r>
        <w:rPr>
          <w:rFonts w:ascii="Arial" w:cs="Arial" w:eastAsia="Arial" w:hAnsi="Arial"/>
          <w:sz w:val="18"/>
          <w:szCs w:val="18"/>
          <w:color w:val="auto"/>
        </w:rPr>
        <w:t>The divestitures of Presque, Nemacolin and Mountaineer, Cape Girardeau and Caruthersville in January, March and December 2019, respectively, are collectively referred to as the “Divestitures.”</w:t>
      </w:r>
    </w:p>
    <w:p>
      <w:pPr>
        <w:spacing w:after="0" w:line="62" w:lineRule="exact"/>
        <w:rPr>
          <w:sz w:val="20"/>
          <w:szCs w:val="20"/>
          <w:color w:val="auto"/>
        </w:rPr>
      </w:pPr>
    </w:p>
    <w:p>
      <w:pPr>
        <w:ind w:left="1080" w:right="280" w:hanging="532"/>
        <w:spacing w:after="0" w:line="30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Eldorado Shreveport and MontBleu Divestitures - </w:t>
      </w:r>
      <w:r>
        <w:rPr>
          <w:rFonts w:ascii="Arial" w:cs="Arial" w:eastAsia="Arial" w:hAnsi="Arial"/>
          <w:sz w:val="16"/>
          <w:szCs w:val="16"/>
          <w:color w:val="auto"/>
        </w:rPr>
        <w:t>The sales of Eldorado Shreveport and MontBleu did not meet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as discontinued operations and are included in income from continuing operations. In conjunction with the classification of MontBleu’s operations as assets held for sale as a result of the announced sale, an impairment charge totaling $45.6 million was recorded during the three months ended March 31, 2020 due to the carrying value exceeding the estimated net sales proceeds.</w:t>
      </w:r>
    </w:p>
    <w:p>
      <w:pPr>
        <w:spacing w:after="0" w:line="4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William Hill and TSG – </w:t>
      </w:r>
      <w:r>
        <w:rPr>
          <w:rFonts w:ascii="Arial" w:cs="Arial" w:eastAsia="Arial" w:hAnsi="Arial"/>
          <w:sz w:val="18"/>
          <w:szCs w:val="18"/>
          <w:color w:val="auto"/>
        </w:rPr>
        <w:t>The amortization of deferred revenues associated with the William Hill and TSG agreements totaled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$1.4 million for the three months ended March 31, 2020 and 2019, respectively, and is included in corporate and other revenues and operating income. In addition, we recorded a $23.0 million unrealized loss associated with our investments in William Hill and TSG for the three months ended March 31, 2020.</w:t>
      </w:r>
    </w:p>
    <w:p>
      <w:pPr>
        <w:spacing w:after="0" w:line="78"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As a result of declines in recent performance and the expected impact on future cash flows as a result of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recognized impairment charges related to trade names and goodwill during the three months ended March 31, 2020 totaling $15.6 million and $99.5 million, respectively.</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Weather and Construction Disruption </w:t>
      </w:r>
      <w:r>
        <w:rPr>
          <w:rFonts w:ascii="Arial" w:cs="Arial" w:eastAsia="Arial" w:hAnsi="Arial"/>
          <w:sz w:val="18"/>
          <w:szCs w:val="18"/>
          <w:color w:val="auto"/>
        </w:rPr>
        <w:t>- All of our segments were negatively impacted by severe weather, including flooding,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compared to the same prior year period. Additionally, our West segment was negatively impacted by disruption to our casino floor and hotel availability associated with renovation projects at our Black Hawk property during the construction period from January to June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473,069</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3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(123,180)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123,604</w:t>
            </w:r>
          </w:p>
        </w:tc>
        <w:tc>
          <w:tcPr>
            <w:tcW w:w="38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(199.7) %</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(175,638)</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3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(559.4)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546"/>
        <w:spacing w:after="0" w:line="286" w:lineRule="auto"/>
        <w:rPr>
          <w:sz w:val="20"/>
          <w:szCs w:val="20"/>
          <w:color w:val="auto"/>
        </w:rPr>
      </w:pPr>
      <w:r>
        <w:rPr>
          <w:rFonts w:ascii="Arial" w:cs="Arial" w:eastAsia="Arial" w:hAnsi="Arial"/>
          <w:sz w:val="17"/>
          <w:szCs w:val="17"/>
          <w:i w:val="1"/>
          <w:iCs w:val="1"/>
          <w:color w:val="auto"/>
        </w:rPr>
        <w:t>Operating Results</w:t>
      </w:r>
      <w:r>
        <w:rPr>
          <w:rFonts w:ascii="Arial" w:cs="Arial" w:eastAsia="Arial" w:hAnsi="Arial"/>
          <w:sz w:val="17"/>
          <w:szCs w:val="17"/>
          <w:color w:val="auto"/>
        </w:rPr>
        <w:t>. Net revenues declined $162.9 million, or 25.6%, for the three months ended March 31, 2020 compared to the same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Excluding the impact of the Divestitures, net revenues decreased $100.2 million, or 17.5%, for the three months ended March 31, 2020 compared to the same prior year period primarily due to the negative impact of COVID-19 and the resulting closure of our properties in March 2020.</w:t>
      </w:r>
    </w:p>
    <w:p>
      <w:pPr>
        <w:spacing w:after="0" w:line="165"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Operating income declined $246.8 million, or 199.7%, for the three months ended March 31, 2020 compared to the same prior year period. Excluding the impact of the Divestitures, operating income decreased $237.5 million, or 207.7%, for the three months ended March 31, 2020 mainly due to the negative impact of COVID-19 in addition to transaction costs associated with the acquisition of Caesars and the previously discussed impairment charges totaling $160.8 million. The year-over-year decrease in operating income was also driven by a $22.2 million gain recorded for the three months ended March 31, 2019 due to the sale of Presque and Nemacolin.</w:t>
      </w:r>
    </w:p>
    <w:p>
      <w:pPr>
        <w:spacing w:after="0" w:line="215" w:lineRule="exact"/>
        <w:rPr>
          <w:sz w:val="20"/>
          <w:szCs w:val="20"/>
          <w:color w:val="auto"/>
        </w:rPr>
      </w:pPr>
    </w:p>
    <w:p>
      <w:pPr>
        <w:jc w:val="both"/>
        <w:ind w:right="200" w:firstLine="546"/>
        <w:spacing w:after="0" w:line="259" w:lineRule="auto"/>
        <w:rPr>
          <w:sz w:val="20"/>
          <w:szCs w:val="20"/>
          <w:color w:val="auto"/>
        </w:rPr>
      </w:pPr>
      <w:r>
        <w:rPr>
          <w:rFonts w:ascii="Arial" w:cs="Arial" w:eastAsia="Arial" w:hAnsi="Arial"/>
          <w:sz w:val="18"/>
          <w:szCs w:val="18"/>
          <w:color w:val="auto"/>
        </w:rPr>
        <w:t>Net income decreased $213.9 million, or 559.4%, for the three months ended March 31, 2020 compared to the same prior year period principally due to the same factors impacting operating income offset by the benefit for income taxes totaling $37.2 million. Net income for the three months ended March 31, 2020 compared to the same prior year period was also impacted by a $23.0 million unrealized loss associated with declines in our investments and marketable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highlight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Revenues for the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b w:val="1"/>
                <w:bCs w:val="1"/>
                <w:color w:val="auto"/>
              </w:rPr>
              <w:t>Operating Income (Loss) for the</w:t>
            </w:r>
          </w:p>
        </w:tc>
      </w:tr>
      <w:tr>
        <w:trPr>
          <w:trHeight w:val="17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46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105,490</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118,095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(97,457)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Midwest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60,793</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96,787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(19,354)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27,833</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97,052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132,714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(11,194)</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27,515</w:t>
            </w:r>
          </w:p>
        </w:tc>
        <w:tc>
          <w:tcPr>
            <w:tcW w:w="12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East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108,056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166,233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11,016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27,161</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99,705</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120,472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27,070</w:t>
            </w:r>
          </w:p>
        </w:tc>
        <w:tc>
          <w:tcPr>
            <w:tcW w:w="12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1,973</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(24,305)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9"/>
                <w:szCs w:val="19"/>
                <w:color w:val="auto"/>
              </w:rPr>
            </w:pPr>
          </w:p>
        </w:tc>
      </w:tr>
      <w:tr>
        <w:trPr>
          <w:trHeight w:val="223"/>
        </w:trPr>
        <w:tc>
          <w:tcPr>
            <w:tcW w:w="4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473,069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71"/>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275"/>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Three Months Ended March 31, 2020 Compared to the Three Months Ended March 31,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1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08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(8,429)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(31,856)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79,652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(29,698)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East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(45,020)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(15,934)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470,686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(130,937)</w:t>
            </w:r>
          </w:p>
        </w:tc>
        <w:tc>
          <w:tcPr>
            <w:tcW w:w="24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Non-gaming:</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West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(4,138)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South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(5,965)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(13,157)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Central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(4,834)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165,137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(31,817)</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(162,754)</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West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20,409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(639)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(11,574)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South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41,747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(8,194)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(24,250)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Central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(6,493)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(51,150)</w:t>
            </w:r>
          </w:p>
        </w:tc>
        <w:tc>
          <w:tcPr>
            <w:tcW w:w="24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Non-gaming</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East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80"/>
              <w:spacing w:after="0"/>
              <w:rPr>
                <w:sz w:val="20"/>
                <w:szCs w:val="20"/>
                <w:color w:val="auto"/>
              </w:rPr>
            </w:pPr>
            <w:r>
              <w:rPr>
                <w:rFonts w:ascii="Arial" w:cs="Arial" w:eastAsia="Arial" w:hAnsi="Arial"/>
                <w:sz w:val="18"/>
                <w:szCs w:val="18"/>
                <w:color w:val="auto"/>
              </w:rPr>
              <w:t>Total Non-gaming</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(10,580)</w:t>
            </w:r>
          </w:p>
        </w:tc>
        <w:tc>
          <w:tcPr>
            <w:tcW w:w="24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91,675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(28,213)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159,800</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16,680.6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588,161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533,248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54,913</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For the three months ended March 31, 2020 compared to the same prior year period, gaming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pari-mutuel commissions declined 27.8%. Excluding the impact of the Divestitures, gaming revenues and pari-mutuel commissions decreased 18.3% for the three months ended March 31, 2020 compared to the same prior year period mainly due to reductions in casino volume associated with the impact of COVID-19 and the related closures of our properties in March 2020.</w:t>
      </w:r>
    </w:p>
    <w:p>
      <w:pPr>
        <w:spacing w:after="0" w:line="187"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Non-gaming revenues decreased 19.3% for the three months ended March 31, 2020 compared to the same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Excluding the impact of the Divestitures, non-gaming revenues declined 15.4% for the three months ended March 31, 2020 compared to the same prior year periods mainly due to the impact of COVID-19 and the related closures of our properties, included hotels, restaurants and entertainment venues, in March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ind w:right="40" w:firstLine="546"/>
        <w:spacing w:after="0" w:line="259"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Gaming expenses and pari-mutuel commissions declined 24.3%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compared to the same prior year period. Excluding the impact of the Divestitures, gaming expenses and pari-mutuel commissions decreased 10.8% for the three months ended March 31, 2020 compared to the same prior year period in conjunction with the previously discussed decrease in gaming revenues and pari-mutuel commissions.</w:t>
      </w:r>
    </w:p>
    <w:p>
      <w:pPr>
        <w:spacing w:after="0" w:line="187"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Non-gaming expenses declined 11.1% for the three months ended March 31, 2020 compared to the same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the impact of the Divestitures, non-gaming expenses decreased 6.3% for the three months ended March 31, 2020 compared to the same prior year period in conjunction with previously discussed decrease in non-gaming expenses.</w:t>
      </w:r>
    </w:p>
    <w:p>
      <w:pPr>
        <w:spacing w:after="0" w:line="18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i w:val="1"/>
          <w:iCs w:val="1"/>
          <w:color w:val="auto"/>
        </w:rPr>
        <w:t>Marketing and Promotions Expenses</w:t>
      </w:r>
      <w:r>
        <w:rPr>
          <w:rFonts w:ascii="Arial" w:cs="Arial" w:eastAsia="Arial" w:hAnsi="Arial"/>
          <w:sz w:val="17"/>
          <w:szCs w:val="17"/>
          <w:color w:val="auto"/>
        </w:rPr>
        <w:t>. Marketing and promotions expenses declined 22.7% for the three months ended March 31,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prior year period. Excluding the impact of the Divestitures, marketing and promotions expense decreased 16.4% for the three months ended March 31, 2020 compared to the same prior year period. This decline was primarily due to savings achieved via the termination of certain marketing contracts, reductions in direct mail costs and continued company-wide changes in marketing and promotional activity. Additionally, to the extent possible, marketing and promotions expenses were reduced or eliminated following the closure of our properties in March 2020.</w:t>
      </w:r>
    </w:p>
    <w:p>
      <w:pPr>
        <w:spacing w:after="0" w:line="176"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declined 23.5% for the three months ended March 31,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prior year period. Excluding the impact of the Divestitures, general and administrative expenses decreased 16.6% for the three months ended March 31, 2020 compared to the same prior year period mainly due to the centralization of certain services provided to our properties and realized savings achieved through the continued consolidation of purchasing programs. Additionally, general and administrative expenses, including utilities, were reduced following the closure of our properties in March 2020.</w:t>
      </w:r>
    </w:p>
    <w:p>
      <w:pPr>
        <w:spacing w:after="0" w:line="188"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three months ended March 31, 2020 compared to the same prior year period, corporate expenses decreased 1.6%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reductions in corporate bonus expense, captive insurance expense, certain professional fees and travel costs due to the COVID-19 impact for the three months ended March 31, 2020 compared to the same prior year period.</w:t>
      </w:r>
    </w:p>
    <w:p>
      <w:pPr>
        <w:spacing w:after="0" w:line="184" w:lineRule="exact"/>
        <w:rPr>
          <w:sz w:val="20"/>
          <w:szCs w:val="20"/>
          <w:color w:val="auto"/>
        </w:rPr>
      </w:pPr>
    </w:p>
    <w:p>
      <w:pPr>
        <w:ind w:right="280" w:firstLine="546"/>
        <w:spacing w:after="0" w:line="259"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For the three months ended March 31, 2020 compared to the same prior year period,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declined 12.7% mainly due to ceasing depreciation and amortization expense on assets held for sale. Excluding the impact of the Divestitures, depreciation and amortization expense decreased 5.8% for the three months ended March 31, 2020 compared to the same prior year period mainly due to many assets becoming fully depreciated in 2019.</w:t>
      </w:r>
    </w:p>
    <w:p>
      <w:pPr>
        <w:spacing w:after="0" w:line="291" w:lineRule="exact"/>
        <w:rPr>
          <w:sz w:val="20"/>
          <w:szCs w:val="20"/>
          <w:color w:val="auto"/>
        </w:rPr>
      </w:pPr>
    </w:p>
    <w:p>
      <w:pPr>
        <w:ind w:right="200" w:firstLine="546"/>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Months Ended March 31, 2020 and 2019</w:t>
      </w:r>
    </w:p>
    <w:p>
      <w:pPr>
        <w:spacing w:after="0" w:line="58"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and (gain) loss related to divestitures. Adjusted EBITDA also excludes the expense associated with our Master Lease with GLPI as the transaction was accounted for as a financing obligation and the associated expense is included in interest expense.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Master Lease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600" w:firstLine="546"/>
        <w:spacing w:after="0" w:line="308" w:lineRule="auto"/>
        <w:rPr>
          <w:sz w:val="20"/>
          <w:szCs w:val="20"/>
          <w:color w:val="auto"/>
        </w:rPr>
      </w:pPr>
      <w:r>
        <w:rPr>
          <w:rFonts w:ascii="Arial" w:cs="Arial" w:eastAsia="Arial" w:hAnsi="Arial"/>
          <w:sz w:val="17"/>
          <w:szCs w:val="17"/>
          <w:color w:val="auto"/>
        </w:rPr>
        <w:t>The following table summarizes our Adjusted EBITDA for our operating segments for the three months ended March 31, 2020 and 2019, in addition to reconciling Adjusted EBITDA to operating income (loss) in accordance with US GAAP (unaudited,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6"/>
              </w:rPr>
              <w:t>Operating</w:t>
            </w:r>
          </w:p>
        </w:tc>
        <w:tc>
          <w:tcPr>
            <w:tcW w:w="10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1"/>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Stock-Based</w:t>
            </w:r>
          </w:p>
        </w:tc>
        <w:tc>
          <w:tcPr>
            <w:tcW w:w="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(2)</w:t>
            </w:r>
          </w:p>
        </w:tc>
        <w:tc>
          <w:tcPr>
            <w:tcW w:w="140" w:type="dxa"/>
            <w:vAlign w:val="bottom"/>
          </w:tcPr>
          <w:p>
            <w:pPr>
              <w:spacing w:after="0"/>
              <w:rPr>
                <w:sz w:val="11"/>
                <w:szCs w:val="11"/>
                <w:color w:val="auto"/>
              </w:rPr>
            </w:pPr>
          </w:p>
        </w:tc>
        <w:tc>
          <w:tcPr>
            <w:tcW w:w="84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3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West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(97,457)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13,938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103,144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(19,354)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South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(11,194)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Central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(24,305)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(1,327)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(8,751)</w:t>
            </w:r>
          </w:p>
        </w:tc>
        <w:tc>
          <w:tcPr>
            <w:tcW w:w="0" w:type="dxa"/>
            <w:vAlign w:val="bottom"/>
          </w:tcPr>
          <w:p>
            <w:pPr>
              <w:spacing w:after="0"/>
              <w:rPr>
                <w:sz w:val="1"/>
                <w:szCs w:val="1"/>
                <w:color w:val="auto"/>
              </w:rPr>
            </w:pPr>
          </w:p>
        </w:tc>
      </w:tr>
      <w:tr>
        <w:trPr>
          <w:trHeight w:val="247"/>
        </w:trPr>
        <w:tc>
          <w:tcPr>
            <w:tcW w:w="3280" w:type="dxa"/>
            <w:vAlign w:val="bottom"/>
            <w:tcBorders>
              <w:bottom w:val="single" w:sz="8" w:color="CFF0FC"/>
            </w:tcBorders>
          </w:tcPr>
          <w:p>
            <w:pPr>
              <w:ind w:left="1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(123,180</w:t>
            </w:r>
          </w:p>
        </w:tc>
        <w:tc>
          <w:tcPr>
            <w:tcW w:w="200" w:type="dxa"/>
            <w:vAlign w:val="bottom"/>
            <w:tcBorders>
              <w:bottom w:val="single" w:sz="8" w:color="CFF0FC"/>
            </w:tcBorders>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50,433</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5,742</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160,258</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102,547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6"/>
              </w:rPr>
              <w:t>Operating</w:t>
            </w:r>
          </w:p>
        </w:tc>
        <w:tc>
          <w:tcPr>
            <w:tcW w:w="10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1"/>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Stock-Based</w:t>
            </w:r>
          </w:p>
        </w:tc>
        <w:tc>
          <w:tcPr>
            <w:tcW w:w="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84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Including Divestitures:</w:t>
            </w:r>
          </w:p>
        </w:tc>
        <w:tc>
          <w:tcPr>
            <w:tcW w:w="9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West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10,801</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13,143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South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Central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(22,067)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47"/>
        </w:trPr>
        <w:tc>
          <w:tcPr>
            <w:tcW w:w="3280" w:type="dxa"/>
            <w:vAlign w:val="bottom"/>
            <w:tcBorders>
              <w:bottom w:val="single" w:sz="8" w:color="CFF0FC"/>
            </w:tcBorders>
          </w:tcPr>
          <w:p>
            <w:pPr>
              <w:ind w:left="1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123,604</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57,757</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4,948</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(21,551)</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166,652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b w:val="1"/>
                <w:bCs w:val="1"/>
                <w:color w:val="auto"/>
              </w:rPr>
              <w:t>Divestitures: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East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Total Divestitures (3)</w:t>
            </w:r>
          </w:p>
        </w:tc>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9,244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13,555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Excluding Divestitures:</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West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10,801</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13,143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South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Central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(22,067)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07"/>
        </w:trPr>
        <w:tc>
          <w:tcPr>
            <w:tcW w:w="3280" w:type="dxa"/>
            <w:vAlign w:val="bottom"/>
          </w:tcPr>
          <w:p>
            <w:pPr>
              <w:ind w:left="140"/>
              <w:spacing w:after="0"/>
              <w:rPr>
                <w:sz w:val="20"/>
                <w:szCs w:val="20"/>
                <w:color w:val="auto"/>
              </w:rPr>
            </w:pPr>
            <w:r>
              <w:rPr>
                <w:rFonts w:ascii="Arial" w:cs="Arial" w:eastAsia="Arial" w:hAnsi="Arial"/>
                <w:sz w:val="16"/>
                <w:szCs w:val="16"/>
                <w:b w:val="1"/>
                <w:bCs w:val="1"/>
                <w:color w:val="auto"/>
              </w:rPr>
              <w:t>Total Excluding Divestitures (4)</w:t>
            </w:r>
          </w:p>
        </w:tc>
        <w:tc>
          <w:tcPr>
            <w:tcW w:w="9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114,360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53,540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4,934</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1,894</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(21,631)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right="180" w:hanging="532"/>
        <w:spacing w:after="0" w:line="25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expenses primarily represent costs related to the pending acquisition of Caesars for the three months ended March 31, 2020, and costs related to the acquisitions of Elgin and Tropicana for the three months ended March 31, 2019.</w:t>
      </w:r>
    </w:p>
    <w:p>
      <w:pPr>
        <w:spacing w:after="0" w:line="1"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for the three months ended March 31, 2020, is comprised of severance expense, (gain) loss on the sale or disposal of property and equipment, equity in income (loss) of unconsolidated affiliate, impairment charges, and selling costs associated with the pending divestitures of Kansas City, Vicksburg, Shreveport, and MontBleu.</w:t>
      </w:r>
    </w:p>
    <w:p>
      <w:pPr>
        <w:spacing w:after="0" w:line="1" w:lineRule="exact"/>
        <w:rPr>
          <w:rFonts w:ascii="Arial" w:cs="Arial" w:eastAsia="Arial" w:hAnsi="Arial"/>
          <w:sz w:val="18"/>
          <w:szCs w:val="18"/>
          <w:color w:val="auto"/>
        </w:rPr>
      </w:pPr>
    </w:p>
    <w:p>
      <w:pPr>
        <w:ind w:left="540" w:right="80" w:hanging="532"/>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Figures are for Presque for the period beginning January 1, 2019 and ending January 11, 2019, Nemacolin for the period beginning January 1, 2019 and ending March 8, 2019, and Mountaineer, Cape Girardeau and Caruthersville for the three months ended March 31, 2019.</w:t>
      </w:r>
    </w:p>
    <w:p>
      <w:pPr>
        <w:ind w:left="540" w:right="100" w:hanging="532"/>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figures for the three months ended March 31, 2019 exclude the results of operations for Presque for the period beginning January 1, 2019 and ending January 11, 2019, Nemacolin for the period beginning January 1, 2019 and ending March 8, 2019, and Mountaineer, Cape Girardeau and Caruthersville for the three months ended March 31, 2019.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ind w:left="540" w:right="60" w:hanging="532"/>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for the three months ended March 31, 2019 is comprised of severance expense, (gain) loss related to divestitures, (gain) loss on the sale of disposal of property and equipment, equity in income (loss) of an unconsolidated affiliate, impairment charges, and selling costs associated with the divestiture of Presque and Nemacolin.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We are a holding company and our only significant assets are ownership interests in our subsidiaries. Our ability to fund our obligations depends on existing cash on hand, contracted asset sales and cash flow from our subsidiaries.</w:t>
      </w:r>
    </w:p>
    <w:p>
      <w:pPr>
        <w:spacing w:after="0" w:line="170"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Our primary sources of liquidity and capital resources have been existing cash on hand, cash flow from operations, borrowings under our revolving credit facility, proceeds from the issuance of debt securities and proceeds from completed asset sales. As of March 31, 2020, we had $465.0 million outstanding and $16.8 million of available borrowing capacity, after consideration of $18.2 million in outstanding letters of credit, under our Revolving Credit Facility. We utilized $360.0 million and $150.0 million of net proceeds from the sales of Mountaineer, Cape Girardeau and Caruthersville in December 2019 and Presque in January 2019, respectively, to repay a portion of amounts outstanding under the Term Loan.</w:t>
      </w:r>
    </w:p>
    <w:p>
      <w:pPr>
        <w:spacing w:after="0" w:line="176" w:lineRule="exact"/>
        <w:rPr>
          <w:sz w:val="20"/>
          <w:szCs w:val="20"/>
          <w:color w:val="auto"/>
        </w:rPr>
      </w:pPr>
    </w:p>
    <w:p>
      <w:pPr>
        <w:ind w:right="60" w:firstLine="546"/>
        <w:spacing w:after="0" w:line="252" w:lineRule="auto"/>
        <w:rPr>
          <w:sz w:val="20"/>
          <w:szCs w:val="20"/>
          <w:color w:val="auto"/>
        </w:rPr>
      </w:pPr>
      <w:r>
        <w:rPr>
          <w:rFonts w:ascii="Arial" w:cs="Arial" w:eastAsia="Arial" w:hAnsi="Arial"/>
          <w:sz w:val="18"/>
          <w:szCs w:val="18"/>
          <w:color w:val="auto"/>
        </w:rPr>
        <w:t>Our cash requirements can fluctuate significantly depending on our decisions with respect to business acquisitions or divestitures and strategic capital investments to maintain the quality of our properties. Our cash requirements have also been impacted by the ongoing impacts of government required closures of our casinos. We expect that our primary capital requirements going forward will relate to the re-opening and operation and maintenance of our properties, taxes, servicing our outstanding indebtedness, rent payments under our Master Lease and other leases and funding the Caesars acquisition. Pursuant to the A&amp;R Commitment Letter, the Commitment Parties committed to arrange and provide the Company with: (w) a $1,000.0 million senior secured revolving credit facility, (x) a $3,000.0 million senior secured term loan B facility, (y) a $3,250.0 million senior secured 364-day bridge facility and (z) a $1,800.0 million senior unsecured bridge loan facility and (ii) Caesars Resort Collection, LLC, a subsidiary of Caesars, with a $2,400.0 million senior secured incremental term loan B facility (collectively, the “Debt Financing”). We expect to fund the anticipated Caesars acquisition with a combination of proceeds from the Debt Financing, the sale-leaseback transactions with VICI with respect to Harrah’s New Orleans, Harrah’s Laughlin and Harrah’s Atlantic City, the consideration received from VICI received in connection with amendments to the CPLV Lease and Non-CPLV Lease contemplated by the MTA, asset divestitures, existing cash on hand and cash flow generated by the Company and Caesars prior to the acquisition.</w:t>
      </w:r>
    </w:p>
    <w:p>
      <w:pPr>
        <w:spacing w:after="0" w:line="200" w:lineRule="exact"/>
        <w:rPr>
          <w:sz w:val="20"/>
          <w:szCs w:val="20"/>
          <w:color w:val="auto"/>
        </w:rPr>
      </w:pPr>
    </w:p>
    <w:p>
      <w:pPr>
        <w:ind w:right="40" w:firstLine="546"/>
        <w:spacing w:after="0" w:line="277" w:lineRule="auto"/>
        <w:rPr>
          <w:sz w:val="20"/>
          <w:szCs w:val="20"/>
          <w:color w:val="auto"/>
        </w:rPr>
      </w:pPr>
      <w:r>
        <w:rPr>
          <w:rFonts w:ascii="Arial" w:cs="Arial" w:eastAsia="Arial" w:hAnsi="Arial"/>
          <w:sz w:val="17"/>
          <w:szCs w:val="17"/>
          <w:color w:val="auto"/>
        </w:rPr>
        <w:t>As a result of state government orders made in March 2020 in an effort to contain the spread of COVID-19, our casino properties located across the United States were ordered to temporarily close and remained shut down through the remainder of the first quarter. In an effort to mitigate the impacts of COVID-19 on our business and maintain liquidity and provide financial flexibility as the effects of COVID-19 continue to evolve and impact global financial markets, we borrowed $465 million under our Revolving Credit Facility on March 16, 2020 and furloughed approximately 90% of our employees beginning on April 11, 2020. During the period that our casinos are closed, we expect that our main capital requirements, other than with respect to the Caesars acquisition, will be servicing our outstanding indebtedness, rent payments under our Master Lease and other leases, taxes and obligations with respect to fixed and variable costs that we continue to incur while our casinos are closed.</w:t>
      </w:r>
    </w:p>
    <w:p>
      <w:pPr>
        <w:spacing w:after="0" w:line="176" w:lineRule="exact"/>
        <w:rPr>
          <w:sz w:val="20"/>
          <w:szCs w:val="20"/>
          <w:color w:val="auto"/>
        </w:rPr>
      </w:pPr>
    </w:p>
    <w:p>
      <w:pPr>
        <w:jc w:val="both"/>
        <w:ind w:right="100" w:firstLine="546"/>
        <w:spacing w:after="0" w:line="257" w:lineRule="auto"/>
        <w:rPr>
          <w:sz w:val="20"/>
          <w:szCs w:val="20"/>
          <w:color w:val="auto"/>
        </w:rPr>
      </w:pPr>
      <w:r>
        <w:rPr>
          <w:rFonts w:ascii="Arial" w:cs="Arial" w:eastAsia="Arial" w:hAnsi="Arial"/>
          <w:sz w:val="18"/>
          <w:szCs w:val="18"/>
          <w:color w:val="212529"/>
        </w:rPr>
        <w:t>We expect that our primary capital requirements following the re-opening of our properties</w:t>
      </w:r>
      <w:r>
        <w:rPr>
          <w:rFonts w:ascii="Arial" w:cs="Arial" w:eastAsia="Arial" w:hAnsi="Arial"/>
          <w:sz w:val="18"/>
          <w:szCs w:val="18"/>
          <w:color w:val="000000"/>
        </w:rPr>
        <w:t>, other than with respect to the Caesars acquisition,</w:t>
      </w:r>
      <w:r>
        <w:rPr>
          <w:rFonts w:ascii="Arial" w:cs="Arial" w:eastAsia="Arial" w:hAnsi="Arial"/>
          <w:sz w:val="18"/>
          <w:szCs w:val="18"/>
          <w:color w:val="212529"/>
        </w:rPr>
        <w:t xml:space="preserve"> will relate to the operation and maintenance of our properties, taxes, servicing our outstanding indebtedness and rent payments under </w:t>
      </w:r>
      <w:r>
        <w:rPr>
          <w:rFonts w:ascii="Arial" w:cs="Arial" w:eastAsia="Arial" w:hAnsi="Arial"/>
          <w:sz w:val="18"/>
          <w:szCs w:val="18"/>
          <w:color w:val="000000"/>
        </w:rPr>
        <w:t>our Master Lease. While</w:t>
      </w:r>
      <w:r>
        <w:rPr>
          <w:rFonts w:ascii="Arial" w:cs="Arial" w:eastAsia="Arial" w:hAnsi="Arial"/>
          <w:sz w:val="18"/>
          <w:szCs w:val="18"/>
          <w:color w:val="212529"/>
        </w:rPr>
        <w:t xml:space="preserve"> </w:t>
      </w:r>
      <w:r>
        <w:rPr>
          <w:rFonts w:ascii="Arial" w:cs="Arial" w:eastAsia="Arial" w:hAnsi="Arial"/>
          <w:sz w:val="18"/>
          <w:szCs w:val="18"/>
          <w:color w:val="000000"/>
        </w:rPr>
        <w:t xml:space="preserve">our capital expenditure requirements for 2020 will depend on the timing of re-opening of our casinos and the timing of closing the Caesars acquisition, we plan to spend approximately $40.0 million on capital expenditures during the remainder </w:t>
      </w:r>
      <w:r>
        <w:rPr>
          <w:rFonts w:ascii="Arial" w:cs="Arial" w:eastAsia="Arial" w:hAnsi="Arial"/>
          <w:sz w:val="18"/>
          <w:szCs w:val="18"/>
          <w:color w:val="212529"/>
        </w:rPr>
        <w:t>of 2020. We expect to use cash on hand and cash generated from</w:t>
      </w:r>
      <w:r>
        <w:rPr>
          <w:rFonts w:ascii="Arial" w:cs="Arial" w:eastAsia="Arial" w:hAnsi="Arial"/>
          <w:sz w:val="18"/>
          <w:szCs w:val="18"/>
          <w:color w:val="000000"/>
        </w:rPr>
        <w:t xml:space="preserve"> </w:t>
      </w:r>
      <w:r>
        <w:rPr>
          <w:rFonts w:ascii="Arial" w:cs="Arial" w:eastAsia="Arial" w:hAnsi="Arial"/>
          <w:sz w:val="18"/>
          <w:szCs w:val="18"/>
          <w:color w:val="212529"/>
        </w:rPr>
        <w:t>operations to meet such obligations.</w:t>
      </w:r>
    </w:p>
    <w:p>
      <w:pPr>
        <w:spacing w:after="0" w:line="188"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212529"/>
        </w:rPr>
        <w:t>We expect that borrowings incurred under our Revolving Credit Facility, cash generated from operations, borrowings under the Debt Financing and proceeds from the transactions contemplated by the MTA and the announced asset sales, net of associated taxes, will be sufficient to fund our operations and capital requirements, consummate the Caesars acquisition and service our outstanding indebtedness for the next twelve months. However, the COVID-19 pandemic has had, and is expected to continue to have, an adverse effect on our business, financial condition and results of operations and has caused, and may continue to cause, disruption in the financial markets. While we have undertaken efforts to mitigate the impacts of COVID-19 on our business and maintain liquidity, the extent of the ongoing and future effects of the COVID-19 pandemic on our business, results of operations and financial condition is uncertain and may adversely impact our liquidity in the future. Our ability to access additional capital may be adversely affected by the disruption in the financial markets caused by the COVID-19 pandemic, restrictions on incurring additional indebtedness contained in the agreements governing our indebtedness and the impact of the pandemic on our business, results of operations and financial condition.</w:t>
      </w:r>
    </w:p>
    <w:p>
      <w:pPr>
        <w:spacing w:after="0" w:line="166" w:lineRule="exact"/>
        <w:rPr>
          <w:sz w:val="20"/>
          <w:szCs w:val="20"/>
          <w:color w:val="auto"/>
        </w:rPr>
      </w:pPr>
    </w:p>
    <w:p>
      <w:pPr>
        <w:ind w:right="320" w:firstLine="546"/>
        <w:spacing w:after="0" w:line="311" w:lineRule="auto"/>
        <w:rPr>
          <w:sz w:val="20"/>
          <w:szCs w:val="20"/>
          <w:color w:val="auto"/>
        </w:rPr>
      </w:pPr>
      <w:r>
        <w:rPr>
          <w:rFonts w:ascii="Arial" w:cs="Arial" w:eastAsia="Arial" w:hAnsi="Arial"/>
          <w:sz w:val="16"/>
          <w:szCs w:val="16"/>
          <w:color w:val="212529"/>
        </w:rPr>
        <w:t>At March 31, 2020, we had consolidated cash and cash equivalents of $671.7 million, excluding restricted cash. At December 31, 2019, we had consolidated cash and cash equivalents of $231.8 million, including restricted cash. This increase in cash was primarily due to borrowings under our Revolving Credit Facility, which were partially offset by cash used in operations following the closure of our properties in March 2020.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2" w:name="page43"/>
    <w:bookmarkEnd w:id="42"/>
    <w:p>
      <w:pPr>
        <w:ind w:right="60" w:firstLine="546"/>
        <w:spacing w:after="0" w:line="275" w:lineRule="auto"/>
        <w:rPr>
          <w:sz w:val="20"/>
          <w:szCs w:val="20"/>
          <w:color w:val="auto"/>
        </w:rPr>
      </w:pPr>
      <w:r>
        <w:rPr>
          <w:rFonts w:ascii="Arial" w:cs="Arial" w:eastAsia="Arial" w:hAnsi="Arial"/>
          <w:sz w:val="17"/>
          <w:szCs w:val="17"/>
          <w:i w:val="1"/>
          <w:iCs w:val="1"/>
          <w:color w:val="212529"/>
        </w:rPr>
        <w:t>Operating Cash Flows</w:t>
      </w:r>
      <w:r>
        <w:rPr>
          <w:rFonts w:ascii="Arial" w:cs="Arial" w:eastAsia="Arial" w:hAnsi="Arial"/>
          <w:sz w:val="17"/>
          <w:szCs w:val="17"/>
          <w:color w:val="212529"/>
        </w:rPr>
        <w:t>. For the three months ended March 31, 2020, cash flows provided by operating activities totaled $30.5 million compared to</w:t>
      </w:r>
      <w:r>
        <w:rPr>
          <w:rFonts w:ascii="Arial" w:cs="Arial" w:eastAsia="Arial" w:hAnsi="Arial"/>
          <w:sz w:val="17"/>
          <w:szCs w:val="17"/>
          <w:i w:val="1"/>
          <w:iCs w:val="1"/>
          <w:color w:val="212529"/>
        </w:rPr>
        <w:t xml:space="preserve"> </w:t>
      </w:r>
      <w:r>
        <w:rPr>
          <w:rFonts w:ascii="Arial" w:cs="Arial" w:eastAsia="Arial" w:hAnsi="Arial"/>
          <w:sz w:val="17"/>
          <w:szCs w:val="17"/>
          <w:color w:val="212529"/>
        </w:rPr>
        <w:t>$65.4 million for the same prior year period. Our operating cash flows generally follow trends in operating income, excluding non-cash charges. Changes in the balance sheet accounts and the timing of significant payments, including interest, rent and tax payments will impact our operating cash flows. The decrease in operating cash flows compared to the same prior year period was primarily due to cash used to continue to pay operating expenses, including rent and interest payments, following the closure of our properties as a result of the COVID-19 pandemic.</w:t>
      </w:r>
    </w:p>
    <w:p>
      <w:pPr>
        <w:spacing w:after="0" w:line="176"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i w:val="1"/>
          <w:iCs w:val="1"/>
          <w:color w:val="212529"/>
        </w:rPr>
        <w:t>Investing Cash Flow and Capital Expenditures</w:t>
      </w:r>
      <w:r>
        <w:rPr>
          <w:rFonts w:ascii="Arial" w:cs="Arial" w:eastAsia="Arial" w:hAnsi="Arial"/>
          <w:sz w:val="17"/>
          <w:szCs w:val="17"/>
          <w:color w:val="212529"/>
        </w:rPr>
        <w:t>. Net cash flows used in investing activities totaled $13.1 million for the three months ended March</w:t>
      </w:r>
      <w:r>
        <w:rPr>
          <w:rFonts w:ascii="Arial" w:cs="Arial" w:eastAsia="Arial" w:hAnsi="Arial"/>
          <w:sz w:val="17"/>
          <w:szCs w:val="17"/>
          <w:i w:val="1"/>
          <w:iCs w:val="1"/>
          <w:color w:val="212529"/>
        </w:rPr>
        <w:t xml:space="preserve"> </w:t>
      </w:r>
      <w:r>
        <w:rPr>
          <w:rFonts w:ascii="Arial" w:cs="Arial" w:eastAsia="Arial" w:hAnsi="Arial"/>
          <w:sz w:val="17"/>
          <w:szCs w:val="17"/>
          <w:color w:val="212529"/>
        </w:rPr>
        <w:t xml:space="preserve">31, 2020 compared to $129.5 million provided by investing activities in the same prior year period. Our investing cash flows generally fluctuate depending upon the timing of strategic and maintenance capital expenditures in addition to business acquisitions or dispositions. Net cash used in investing activities for the three months ended March 31, 2020 was primarily due to $23.2 cash used for capital expenditures for various property enhancement and maintenance projects along with equipment purchases </w:t>
      </w:r>
      <w:r>
        <w:rPr>
          <w:rFonts w:ascii="Arial" w:cs="Arial" w:eastAsia="Arial" w:hAnsi="Arial"/>
          <w:sz w:val="17"/>
          <w:szCs w:val="17"/>
          <w:color w:val="000000"/>
        </w:rPr>
        <w:t>offset</w:t>
      </w:r>
      <w:r>
        <w:rPr>
          <w:rFonts w:ascii="Arial" w:cs="Arial" w:eastAsia="Arial" w:hAnsi="Arial"/>
          <w:sz w:val="17"/>
          <w:szCs w:val="17"/>
          <w:color w:val="212529"/>
        </w:rPr>
        <w:t xml:space="preserve"> by $10.5 million in deposits associated with our agreement to sell Eldorado Shreveport and MontBleu to Maverick. Following the termination of this agreement, the deposits were refunded to Maverick in April 2020. Net cash flows provided by investing activities for the three months ended March 31, 2019 was primarily due to $177.1 million in net proceeds from the sales of Presque and Nemacolin, partially offset by cash used totaling $38.4 million for capital expenditures.</w:t>
      </w:r>
    </w:p>
    <w:p>
      <w:pPr>
        <w:spacing w:after="0" w:line="178"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provided by financing activities for the three months ended March 31, 2020 totaled $447.7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$209.8 million used in financing activities for the same prior year period. The cash provided by financing activities for the three months ended March 31, 2020 was principally due to $465.0 million of borrowings under the Revolving Credit Facility offset by $10.0 million of payments under the Term Loan. The cash used in financing activities for the three months ended March 31, 2019 was principally due to net payments under the Revolving Credit Facility partially funded by the proceeds from the sales of Presque and Nemacolin.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As of March 31, 2020, we were in compliance with all of the covenants under the 7% Senior Notes due 2023, 6% Senior Notes due 2025, 6% Senior Notes due 2026, the Credit Facility, the Lumière Loan and the Master Lease. However, our ability to remain in compliance with the quarterly maintenance covenants under our Credit Agreement and the Master Lease may be negatively impacted if the period of casino closures is prolonged or if the COVID-19 pandemic, measures implemented to curtail its spread or changes in the economy, discretionary spending and consumer confidence have a protracted negative effect on our business.</w:t>
      </w:r>
    </w:p>
    <w:p>
      <w:pPr>
        <w:spacing w:after="0" w:line="188"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Failure to satisfy the quarterly maintenance covenants contained in the Credit Agreement and Master Lease would require us to seek waivers or amendments of the maintenance covenants. There can be no assurance that we will be able to obtain required waivers or amendments, as such matters depend, in part, on factors outside of our control. If we fail to satisfy the quarterly maintenance covenants and are unable to obtain such waivers or amendments, our creditors could exercise remedies under the applicable documents governing such indebtedness, including acceleration of such indebtedness, and the lessor under the Master Lease could terminate the Master Lease. The acceleration of indebtedness outstanding under the Credit Agreement or the termination of the Master Lease as a result of failure to satisfy the covenants applicable to such obligations would give rise to an event of default under our outstanding senior notes entitling the holders thereof to accelerate the obligations thereunder.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On November 8, 2018, the Company issued a press release announcing that its Board of Directors has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88"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 No shares were repurchased during 2019 or the three months ended March 31,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Debt Obligations and Master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We are party to a credit agreement with JPMorgan Chase Bank, N.A., as administrative agent, and the lenders party thereto dated as of April 17, 2017 (as amended, the “Credit Facility”), consisting of a $1.45 billion term loan facility (the “Term Loan Facility” or “Term Loan”) and a $500.0 million revolving credit facility (the “Revolving Credit Facility”). Our obligations under the Revolving Credit Facility will mature on October 1, 2023. Our obligations under the Term Loan Facility will mature on April 17, 2024. We were required to make quarterly principal payments of $3.6 million on the Term Loan Facility on the last day of each fiscal quarter beginning on June 30, 2017 but satisfied this requirement as a result of the principal prepayment of $444.5 million on September 13, 2017 in conjunction with the issuance of the additional 6% Senior Notes due 2025. In addition, we are required to make mandatory payments of amounts outstanding under the Credit Facility with the proceeds of certain casualty events, debt issuances, and asset sales and, depending on the Company’s consolidated total leverage ratio, we may be required to apply a portion of our excess cash flow to repay amounts outstanding under the Credit Facility.</w:t>
      </w:r>
    </w:p>
    <w:p>
      <w:pPr>
        <w:spacing w:after="0" w:line="196"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As of March 31, 2020, we had $488.8 million outstanding on the Term Loan and $465.0 outstanding under the Revolving Credit Facility. During the three months ended March 31, 2020, we elected to draw down availability under the Revolving Credit Facility as a precautionary measure to enhance our liquidity and provide financial flexibility as the effects of COVID-19 continue to evolve and impact global financial markets. We had $16.8 million of available borrowing capacity, after consideration of $18.2 million in outstanding letters of credit under our Revolving Credit Facility, as of March 31, 2020.</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interest rate per annum applicable to loans under the Revolving Credit Facility are, at our option, either LIBOR plus a margin ranging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loans under the Term Loan Facility is, at our option, either LIBOR plus 2.25% or a base rate plus 1.25%; provided, however, that in no event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LIBOR be less than zero or the base rate be less than 1.00%. Additionally, we pay a commitment fee on the unused portion of the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0.50% per annum. As of March 31, 2020, the weighted average interest rates on the Term Loan and Revolving Credit Facility were 3.25% and 2.81%,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w:t>
      </w:r>
    </w:p>
    <w:p>
      <w:pPr>
        <w:spacing w:after="0" w:line="18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Term Loan and Revolving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92"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120" w:firstLine="546"/>
        <w:spacing w:after="0" w:line="311"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20" w:firstLine="546"/>
        <w:spacing w:after="0" w:line="286" w:lineRule="auto"/>
        <w:rPr>
          <w:sz w:val="20"/>
          <w:szCs w:val="20"/>
          <w:color w:val="auto"/>
        </w:rPr>
      </w:pPr>
      <w:r>
        <w:rPr>
          <w:rFonts w:ascii="Arial" w:cs="Arial" w:eastAsia="Arial" w:hAnsi="Arial"/>
          <w:sz w:val="16"/>
          <w:szCs w:val="16"/>
          <w:color w:val="auto"/>
        </w:rPr>
        <w:t>We borrowed $246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and (iii)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w:t>
      </w:r>
    </w:p>
    <w:p>
      <w:pPr>
        <w:spacing w:after="0" w:line="117"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Our Master Lease is accounted for as a financing obligation and totaled $968.0 million as of March 31, 2020. The Master Lease contains certain covenants, including minimum capital improvement expenditures and a rent coverage ratio. As of March 31, 2020, we were in compliance with all of the covenants under the Master Lease. See Note 9 to our Consolidated Financial Statements for additional information about our Master Lease and related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0" w:firstLine="546"/>
        <w:spacing w:after="0" w:line="223" w:lineRule="exact"/>
        <w:rPr>
          <w:sz w:val="20"/>
          <w:szCs w:val="20"/>
          <w:color w:val="auto"/>
        </w:rPr>
      </w:pPr>
      <w:r>
        <w:rPr>
          <w:rFonts w:ascii="Arial" w:cs="Arial" w:eastAsia="Arial" w:hAnsi="Arial"/>
          <w:sz w:val="18"/>
          <w:szCs w:val="18"/>
          <w:color w:val="auto"/>
        </w:rPr>
        <w:t>There have been no material changes for the three months ended March 31, 2020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Information of Guarantors</w:t>
      </w:r>
    </w:p>
    <w:p>
      <w:pPr>
        <w:spacing w:after="0" w:line="121" w:lineRule="exact"/>
        <w:rPr>
          <w:sz w:val="20"/>
          <w:szCs w:val="20"/>
          <w:color w:val="auto"/>
        </w:rPr>
      </w:pPr>
    </w:p>
    <w:p>
      <w:pPr>
        <w:jc w:val="both"/>
        <w:ind w:right="340" w:firstLine="546"/>
        <w:spacing w:after="0" w:line="311" w:lineRule="auto"/>
        <w:rPr>
          <w:sz w:val="20"/>
          <w:szCs w:val="20"/>
          <w:color w:val="auto"/>
        </w:rPr>
      </w:pPr>
      <w:r>
        <w:rPr>
          <w:rFonts w:ascii="Arial" w:cs="Arial" w:eastAsia="Arial" w:hAnsi="Arial"/>
          <w:sz w:val="16"/>
          <w:szCs w:val="16"/>
          <w:color w:val="auto"/>
        </w:rPr>
        <w:t>Certain of our wholly-owned subsidiaries have fully and unconditionally guaranteed on a joint and several basis, the payment of all obligations under our 7% Senior Notes due 2023, 6% Senior Notes due 2025, 6% Senior Notes due 2026 and Credit Facility. There were no changes in the wholly-owned subsidiaries of the Company serving as guarantors, on a joint and several basis during the quarter ended March 31, 2020.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560"/>
        <w:spacing w:after="0"/>
        <w:rPr>
          <w:sz w:val="20"/>
          <w:szCs w:val="20"/>
          <w:color w:val="auto"/>
        </w:rPr>
      </w:pPr>
      <w:r>
        <w:rPr>
          <w:rFonts w:ascii="Arial" w:cs="Arial" w:eastAsia="Arial" w:hAnsi="Arial"/>
          <w:sz w:val="18"/>
          <w:szCs w:val="18"/>
          <w:color w:val="auto"/>
        </w:rPr>
        <w:t>The consolidating condensed balance sheet as of March 31,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22"/>
              <w:spacing w:after="0"/>
              <w:rPr>
                <w:sz w:val="20"/>
                <w:szCs w:val="20"/>
                <w:color w:val="auto"/>
              </w:rPr>
            </w:pPr>
            <w:r>
              <w:rPr>
                <w:rFonts w:ascii="Arial" w:cs="Arial" w:eastAsia="Arial" w:hAnsi="Arial"/>
                <w:sz w:val="14"/>
                <w:szCs w:val="14"/>
                <w:b w:val="1"/>
                <w:bCs w:val="1"/>
                <w:color w:val="auto"/>
                <w:w w:val="92"/>
              </w:rPr>
              <w:t>Consolidating</w:t>
            </w:r>
          </w:p>
        </w:tc>
        <w:tc>
          <w:tcPr>
            <w:tcW w:w="38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1720"/>
              <w:spacing w:after="0"/>
              <w:rPr>
                <w:sz w:val="20"/>
                <w:szCs w:val="20"/>
                <w:color w:val="auto"/>
              </w:rPr>
            </w:pPr>
            <w:r>
              <w:rPr>
                <w:rFonts w:ascii="Arial" w:cs="Arial" w:eastAsia="Arial" w:hAnsi="Arial"/>
                <w:sz w:val="16"/>
                <w:szCs w:val="16"/>
                <w:b w:val="1"/>
                <w:bCs w:val="1"/>
                <w:color w:val="auto"/>
              </w:rPr>
              <w:t>Balance Sheet</w:t>
            </w:r>
          </w:p>
        </w:tc>
        <w:tc>
          <w:tcPr>
            <w:tcW w:w="100" w:type="dxa"/>
            <w:vAlign w:val="bottom"/>
          </w:tcPr>
          <w:p>
            <w:pPr>
              <w:spacing w:after="0"/>
              <w:rPr>
                <w:sz w:val="12"/>
                <w:szCs w:val="12"/>
                <w:color w:val="auto"/>
              </w:rPr>
            </w:pPr>
          </w:p>
        </w:tc>
        <w:tc>
          <w:tcPr>
            <w:tcW w:w="12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8"/>
              </w:rPr>
              <w:t>Obligor Group</w:t>
            </w:r>
          </w:p>
        </w:tc>
        <w:tc>
          <w:tcPr>
            <w:tcW w:w="240" w:type="dxa"/>
            <w:vAlign w:val="bottom"/>
          </w:tcPr>
          <w:p>
            <w:pPr>
              <w:spacing w:after="0"/>
              <w:rPr>
                <w:sz w:val="12"/>
                <w:szCs w:val="12"/>
                <w:color w:val="auto"/>
              </w:rPr>
            </w:pPr>
          </w:p>
        </w:tc>
        <w:tc>
          <w:tcPr>
            <w:tcW w:w="11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1"/>
              </w:rPr>
              <w:t>Non-Obligors</w:t>
            </w:r>
          </w:p>
        </w:tc>
        <w:tc>
          <w:tcPr>
            <w:tcW w:w="340" w:type="dxa"/>
            <w:vAlign w:val="bottom"/>
          </w:tcPr>
          <w:p>
            <w:pPr>
              <w:spacing w:after="0"/>
              <w:rPr>
                <w:sz w:val="12"/>
                <w:szCs w:val="12"/>
                <w:color w:val="auto"/>
              </w:rPr>
            </w:pPr>
          </w:p>
        </w:tc>
        <w:tc>
          <w:tcPr>
            <w:tcW w:w="166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3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22"/>
              <w:spacing w:after="0"/>
              <w:rPr>
                <w:sz w:val="20"/>
                <w:szCs w:val="20"/>
                <w:color w:val="auto"/>
              </w:rPr>
            </w:pPr>
            <w:r>
              <w:rPr>
                <w:rFonts w:ascii="Arial" w:cs="Arial" w:eastAsia="Arial" w:hAnsi="Arial"/>
                <w:sz w:val="14"/>
                <w:szCs w:val="14"/>
                <w:b w:val="1"/>
                <w:bCs w:val="1"/>
                <w:color w:val="auto"/>
                <w:w w:val="96"/>
              </w:rPr>
              <w:t>Entries</w:t>
            </w:r>
          </w:p>
        </w:tc>
        <w:tc>
          <w:tcPr>
            <w:tcW w:w="3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1,220,065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22,341</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Intercompany receivables (payables)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2,933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(2,933)</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8,361,398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13,836</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(3,726,468)</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4,648,766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758,331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12,677</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771,008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4,181,823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(1,868)</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4,179,955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December 31,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22"/>
              <w:spacing w:after="0"/>
              <w:rPr>
                <w:sz w:val="20"/>
                <w:szCs w:val="20"/>
                <w:color w:val="auto"/>
              </w:rPr>
            </w:pPr>
            <w:r>
              <w:rPr>
                <w:rFonts w:ascii="Arial" w:cs="Arial" w:eastAsia="Arial" w:hAnsi="Arial"/>
                <w:sz w:val="14"/>
                <w:szCs w:val="14"/>
                <w:b w:val="1"/>
                <w:bCs w:val="1"/>
                <w:color w:val="auto"/>
                <w:w w:val="92"/>
              </w:rPr>
              <w:t>Consolidating</w:t>
            </w:r>
          </w:p>
        </w:tc>
        <w:tc>
          <w:tcPr>
            <w:tcW w:w="38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1720"/>
              <w:spacing w:after="0"/>
              <w:rPr>
                <w:sz w:val="20"/>
                <w:szCs w:val="20"/>
                <w:color w:val="auto"/>
              </w:rPr>
            </w:pPr>
            <w:r>
              <w:rPr>
                <w:rFonts w:ascii="Arial" w:cs="Arial" w:eastAsia="Arial" w:hAnsi="Arial"/>
                <w:sz w:val="16"/>
                <w:szCs w:val="16"/>
                <w:b w:val="1"/>
                <w:bCs w:val="1"/>
                <w:color w:val="auto"/>
              </w:rPr>
              <w:t>Balance Sheet</w:t>
            </w:r>
          </w:p>
        </w:tc>
        <w:tc>
          <w:tcPr>
            <w:tcW w:w="100" w:type="dxa"/>
            <w:vAlign w:val="bottom"/>
          </w:tcPr>
          <w:p>
            <w:pPr>
              <w:spacing w:after="0"/>
              <w:rPr>
                <w:sz w:val="12"/>
                <w:szCs w:val="12"/>
                <w:color w:val="auto"/>
              </w:rPr>
            </w:pPr>
          </w:p>
        </w:tc>
        <w:tc>
          <w:tcPr>
            <w:tcW w:w="12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8"/>
              </w:rPr>
              <w:t>Obligor Group</w:t>
            </w:r>
          </w:p>
        </w:tc>
        <w:tc>
          <w:tcPr>
            <w:tcW w:w="240" w:type="dxa"/>
            <w:vAlign w:val="bottom"/>
          </w:tcPr>
          <w:p>
            <w:pPr>
              <w:spacing w:after="0"/>
              <w:rPr>
                <w:sz w:val="12"/>
                <w:szCs w:val="12"/>
                <w:color w:val="auto"/>
              </w:rPr>
            </w:pPr>
          </w:p>
        </w:tc>
        <w:tc>
          <w:tcPr>
            <w:tcW w:w="11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1"/>
              </w:rPr>
              <w:t>Non-Obligors</w:t>
            </w:r>
          </w:p>
        </w:tc>
        <w:tc>
          <w:tcPr>
            <w:tcW w:w="340" w:type="dxa"/>
            <w:vAlign w:val="bottom"/>
          </w:tcPr>
          <w:p>
            <w:pPr>
              <w:spacing w:after="0"/>
              <w:rPr>
                <w:sz w:val="12"/>
                <w:szCs w:val="12"/>
                <w:color w:val="auto"/>
              </w:rPr>
            </w:pPr>
          </w:p>
        </w:tc>
        <w:tc>
          <w:tcPr>
            <w:tcW w:w="166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3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22"/>
              <w:spacing w:after="0"/>
              <w:rPr>
                <w:sz w:val="20"/>
                <w:szCs w:val="20"/>
                <w:color w:val="auto"/>
              </w:rPr>
            </w:pPr>
            <w:r>
              <w:rPr>
                <w:rFonts w:ascii="Arial" w:cs="Arial" w:eastAsia="Arial" w:hAnsi="Arial"/>
                <w:sz w:val="14"/>
                <w:szCs w:val="14"/>
                <w:b w:val="1"/>
                <w:bCs w:val="1"/>
                <w:color w:val="auto"/>
                <w:w w:val="96"/>
              </w:rPr>
              <w:t>Entries</w:t>
            </w:r>
          </w:p>
        </w:tc>
        <w:tc>
          <w:tcPr>
            <w:tcW w:w="3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582,918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21,725</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604,643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Intercompany receivables (payables)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1,790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(1,790)</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Other non-current asset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8,876,547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13,768</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(3,854,405)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5,035,910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673,403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15,043</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3,836,939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(2,089)</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3,834,850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March 31, 2020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center"/>
              <w:ind w:right="283"/>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Obligor Group</w:t>
            </w:r>
          </w:p>
        </w:tc>
        <w:tc>
          <w:tcPr>
            <w:tcW w:w="300" w:type="dxa"/>
            <w:vAlign w:val="bottom"/>
          </w:tcPr>
          <w:p>
            <w:pPr>
              <w:spacing w:after="0"/>
              <w:rPr>
                <w:sz w:val="12"/>
                <w:szCs w:val="12"/>
                <w:color w:val="auto"/>
              </w:rPr>
            </w:pPr>
          </w:p>
        </w:tc>
        <w:tc>
          <w:tcPr>
            <w:tcW w:w="14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Non-Obligors</w:t>
            </w:r>
          </w:p>
        </w:tc>
        <w:tc>
          <w:tcPr>
            <w:tcW w:w="320" w:type="dxa"/>
            <w:vAlign w:val="bottom"/>
          </w:tcPr>
          <w:p>
            <w:pPr>
              <w:spacing w:after="0"/>
              <w:rPr>
                <w:sz w:val="12"/>
                <w:szCs w:val="12"/>
                <w:color w:val="auto"/>
              </w:rPr>
            </w:pPr>
          </w:p>
        </w:tc>
        <w:tc>
          <w:tcPr>
            <w:tcW w:w="154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3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center"/>
              <w:ind w:right="283"/>
              <w:spacing w:after="0"/>
              <w:rPr>
                <w:sz w:val="20"/>
                <w:szCs w:val="20"/>
                <w:color w:val="auto"/>
              </w:rPr>
            </w:pPr>
            <w:r>
              <w:rPr>
                <w:rFonts w:ascii="Arial" w:cs="Arial" w:eastAsia="Arial" w:hAnsi="Arial"/>
                <w:sz w:val="14"/>
                <w:szCs w:val="14"/>
                <w:b w:val="1"/>
                <w:bCs w:val="1"/>
                <w:color w:val="auto"/>
                <w:w w:val="96"/>
              </w:rPr>
              <w:t>Entries</w:t>
            </w:r>
          </w:p>
        </w:tc>
        <w:tc>
          <w:tcPr>
            <w:tcW w:w="3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3"/>
          </w:tcPr>
          <w:p>
            <w:pPr>
              <w:jc w:val="right"/>
              <w:ind w:right="1323"/>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Net revenues</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471,859</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1,210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473,069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6"/>
                <w:szCs w:val="16"/>
                <w:color w:val="auto"/>
              </w:rPr>
              <w:t>Operating (loss) income</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(124,872)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1,692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(123,180)</w:t>
            </w:r>
          </w:p>
        </w:tc>
        <w:tc>
          <w:tcPr>
            <w:tcW w:w="0" w:type="dxa"/>
            <w:vAlign w:val="bottom"/>
          </w:tcPr>
          <w:p>
            <w:pPr>
              <w:spacing w:after="0"/>
              <w:rPr>
                <w:sz w:val="1"/>
                <w:szCs w:val="1"/>
                <w:color w:val="auto"/>
              </w:rPr>
            </w:pPr>
          </w:p>
        </w:tc>
      </w:tr>
      <w:tr>
        <w:trPr>
          <w:trHeight w:val="21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(66,674)</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(66,464)</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20"/>
                <w:szCs w:val="20"/>
                <w:color w:val="auto"/>
              </w:rPr>
            </w:pPr>
            <w:r>
              <w:rPr>
                <w:rFonts w:ascii="Arial" w:cs="Arial" w:eastAsia="Arial" w:hAnsi="Arial"/>
                <w:sz w:val="16"/>
                <w:szCs w:val="16"/>
                <w:color w:val="auto"/>
              </w:rPr>
              <w:t>Net (loss) income</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(175,638)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1,683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
              <w:spacing w:after="0"/>
              <w:rPr>
                <w:sz w:val="20"/>
                <w:szCs w:val="20"/>
                <w:color w:val="auto"/>
              </w:rPr>
            </w:pPr>
            <w:r>
              <w:rPr>
                <w:rFonts w:ascii="Arial" w:cs="Arial" w:eastAsia="Arial" w:hAnsi="Arial"/>
                <w:sz w:val="16"/>
                <w:szCs w:val="16"/>
                <w:color w:val="auto"/>
              </w:rPr>
              <w:t>(1,683)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(175,638)</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March 31,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283"/>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Obligor Group</w:t>
            </w:r>
          </w:p>
        </w:tc>
        <w:tc>
          <w:tcPr>
            <w:tcW w:w="300" w:type="dxa"/>
            <w:vAlign w:val="bottom"/>
          </w:tcPr>
          <w:p>
            <w:pPr>
              <w:spacing w:after="0"/>
              <w:rPr>
                <w:sz w:val="12"/>
                <w:szCs w:val="12"/>
                <w:color w:val="auto"/>
              </w:rPr>
            </w:pPr>
          </w:p>
        </w:tc>
        <w:tc>
          <w:tcPr>
            <w:tcW w:w="150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Non-Obligors</w:t>
            </w:r>
          </w:p>
        </w:tc>
        <w:tc>
          <w:tcPr>
            <w:tcW w:w="280" w:type="dxa"/>
            <w:vAlign w:val="bottom"/>
          </w:tcPr>
          <w:p>
            <w:pPr>
              <w:spacing w:after="0"/>
              <w:rPr>
                <w:sz w:val="12"/>
                <w:szCs w:val="12"/>
                <w:color w:val="auto"/>
              </w:rPr>
            </w:pPr>
          </w:p>
        </w:tc>
        <w:tc>
          <w:tcPr>
            <w:tcW w:w="154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3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283"/>
              <w:spacing w:after="0"/>
              <w:rPr>
                <w:sz w:val="20"/>
                <w:szCs w:val="20"/>
                <w:color w:val="auto"/>
              </w:rPr>
            </w:pPr>
            <w:r>
              <w:rPr>
                <w:rFonts w:ascii="Arial" w:cs="Arial" w:eastAsia="Arial" w:hAnsi="Arial"/>
                <w:sz w:val="14"/>
                <w:szCs w:val="14"/>
                <w:b w:val="1"/>
                <w:bCs w:val="1"/>
                <w:color w:val="auto"/>
                <w:w w:val="96"/>
              </w:rPr>
              <w:t>Entries</w:t>
            </w:r>
          </w:p>
        </w:tc>
        <w:tc>
          <w:tcPr>
            <w:tcW w:w="3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7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320" w:type="dxa"/>
            <w:vAlign w:val="bottom"/>
            <w:tcBorders>
              <w:top w:val="single" w:sz="8" w:color="auto"/>
            </w:tcBorders>
            <w:gridSpan w:val="3"/>
            <w:shd w:val="clear" w:color="auto" w:fill="CFF0FC"/>
          </w:tcPr>
          <w:p>
            <w:pPr>
              <w:jc w:val="right"/>
              <w:ind w:right="1323"/>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revenues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01"/>
              <w:spacing w:after="0"/>
              <w:rPr>
                <w:sz w:val="20"/>
                <w:szCs w:val="20"/>
                <w:color w:val="auto"/>
              </w:rPr>
            </w:pPr>
            <w:r>
              <w:rPr>
                <w:rFonts w:ascii="Arial" w:cs="Arial" w:eastAsia="Arial" w:hAnsi="Arial"/>
                <w:sz w:val="16"/>
                <w:szCs w:val="16"/>
                <w:color w:val="auto"/>
              </w:rPr>
              <w:t>2,015,262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40,745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2,056,007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307,629</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2,474</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Interest expense, net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(169,971)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(1,761)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(171,732)</w:t>
            </w: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95,235</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1,285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(1,285)</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11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2019 and “Part II, Item IA. Risk Factors” which is included in this Quarterly Report on Form 10-Q for the quarter ended March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546"/>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Except as described in Note 1 to the accompanying condensed notes of these consolidated financial statements, we believe there have been no material changes since December 31, 2019. We have not substantively changed the application of our policies and there have been no material changes in assumptions or estimation techniques used as compared to prior periods.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40" w:firstLine="546"/>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4"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condition;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consummate the acquisition of Caesars, the related real estate transactions with VICI and the disposition of MontBleu and our properties located in Shreveport, Kansas City and Vicksburg;</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080" w:right="24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080" w:right="440" w:hanging="532"/>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spacing w:after="0" w:line="15"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financing for, and realize the anticipated benefits, of the acquisition of Caesars and future development and acquisition opportunities; and</w:t>
      </w:r>
    </w:p>
    <w:p>
      <w:pPr>
        <w:spacing w:after="0" w:line="62"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70" w:lineRule="exact"/>
        <w:rPr>
          <w:sz w:val="20"/>
          <w:szCs w:val="20"/>
          <w:color w:val="auto"/>
        </w:rPr>
      </w:pPr>
    </w:p>
    <w:p>
      <w:pPr>
        <w:ind w:firstLine="546"/>
        <w:spacing w:after="0" w:line="217"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may differ materially from any future results, performance or achievements expressed or implied by such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are subject include, but are not limited to, the following:</w:t>
      </w:r>
    </w:p>
    <w:p>
      <w:pPr>
        <w:spacing w:after="0" w:line="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and duration of the impact of the global COVID-19 pandemic on the Company’s business, financial results and liquidity;</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closure of our properties, which we cannot predict at this time;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and cost of new operating procedures expected to be implemented upon re-opening of the Company’s casinos;</w:t>
      </w:r>
    </w:p>
    <w:p>
      <w:pPr>
        <w:spacing w:after="0" w:line="117"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actions we have undertaken to reduce costs and improve efficiencies to mitigate losses as a result of the COVID-19 pandemic, which could negatively impact guest loyalty and our ability to attract and retain our employees;</w:t>
      </w:r>
    </w:p>
    <w:p>
      <w:pPr>
        <w:spacing w:after="0" w:line="62"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COVID-19 pandemic and resulting unemployment and changes in general economic conditions on discretionary consumer spending and customer demand;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ind w:left="108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the Master Lease, could adversely affect our results of operations and our ability to service such obligations, react to changes in our markets and pursue development and acquisition opportunities;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and limitations in agreements governing our debt could significantly affect our ability to operate our business and our liquidity;</w:t>
      </w:r>
    </w:p>
    <w:p>
      <w:pPr>
        <w:spacing w:after="0" w:line="140"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Master Lease;</w:t>
      </w:r>
    </w:p>
    <w:p>
      <w:pPr>
        <w:spacing w:after="0" w:line="117"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 from a single lessor;</w:t>
      </w:r>
    </w:p>
    <w:p>
      <w:pPr>
        <w:spacing w:after="0" w:line="62"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62" w:lineRule="exact"/>
        <w:rPr>
          <w:rFonts w:ascii="Arial" w:cs="Arial" w:eastAsia="Arial" w:hAnsi="Arial"/>
          <w:sz w:val="18"/>
          <w:szCs w:val="18"/>
          <w:color w:val="auto"/>
        </w:rPr>
      </w:pPr>
    </w:p>
    <w:p>
      <w:pPr>
        <w:ind w:left="1080" w:right="620" w:hanging="532"/>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1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17"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the Master Lease;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and other catastrophic events;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jc w:val="both"/>
        <w:ind w:right="160" w:firstLine="546"/>
        <w:spacing w:after="0" w:line="263" w:lineRule="auto"/>
        <w:rPr>
          <w:sz w:val="20"/>
          <w:szCs w:val="20"/>
          <w:color w:val="auto"/>
        </w:rPr>
      </w:pPr>
      <w:r>
        <w:rPr>
          <w:rFonts w:ascii="Arial" w:cs="Arial" w:eastAsia="Arial" w:hAnsi="Arial"/>
          <w:sz w:val="18"/>
          <w:szCs w:val="18"/>
          <w:color w:val="auto"/>
        </w:rPr>
        <w:t>In addition, the acquisition of Caesars, the related real estate transactions with VICI and the disposition of MontBleu and our properties located in Shreveport, Kansas City and Vicksburg and the provisions of the related acquisition agreements create additional risks, uncertainties and other important factors, including but not limited to:</w:t>
      </w:r>
    </w:p>
    <w:p>
      <w:pPr>
        <w:spacing w:after="0" w:line="76" w:lineRule="exact"/>
        <w:rPr>
          <w:sz w:val="20"/>
          <w:szCs w:val="20"/>
          <w:color w:val="auto"/>
        </w:rPr>
      </w:pPr>
    </w:p>
    <w:p>
      <w:pPr>
        <w:jc w:val="both"/>
        <w:ind w:left="1080" w:right="240" w:hanging="532"/>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the proposed transactions are not consummated when expected or at all because required regulatory or other approvals are not received or other conditions to the consummation thereof are not satisfied on a timely basis, including as a result of delays arising from the COVID-19 pandemic, or at all;</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one or more of such transactions do not close on the terms described herein or that we are required to modify aspects of one or more of such transactions to obtain, or otherwise take action to satisfy conditions imposed in connection with, required regulatory approvals;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the financing required to fund the Merger and related transactions is not obtained on the terms anticipated or at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left="1080" w:right="1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in the global economy and credit markets, including as a result of the COVID-19 pandemic, and the potential impact on ERI’s ability to finance the acquisition of Caesars and related transactions;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increased leverage and increased lease payments as a result of the proposed transactions;</w:t>
      </w:r>
    </w:p>
    <w:p>
      <w:pPr>
        <w:spacing w:after="0" w:line="117"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the anticipated benefits of the proposed transactions, including cost savings and expected synergies, are not realized when expected, or at all, including as a result of the impact of, or issues arising from, the COVID-19 pandemic, implementation of our operating strategies and integration of our business and Caesars’ business;</w:t>
      </w:r>
    </w:p>
    <w:p>
      <w:pPr>
        <w:spacing w:after="0" w:line="75"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incurrence of significant transaction and merger-related costs and the possibility that the transactions may be more expensive to complete than expected, including as a result of delays arising as a result of the COVID-19 pandemic or other unexpected factors or events;</w:t>
      </w:r>
    </w:p>
    <w:p>
      <w:pPr>
        <w:spacing w:after="0" w:line="1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responses to the proposed transactions;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regulatory and economic developments;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our business or Caesars’ business may suffer as a result of the announcement of the acquisition;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retain certain of our key employees and Caesars’ key employees;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proposed transactions, or the failure to consummate the proposed transactions, on our stock price;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our ongoing operations;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provisions of the Merger Agreement limiting the operation of our business prior to the closing of the Merger;</w:t>
      </w:r>
    </w:p>
    <w:p>
      <w:pPr>
        <w:spacing w:after="0" w:line="117"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announcement or consummation of the proposed transactions on the Company’s relationships with third parties, which may make it more difficult to maintain business relationships; and</w:t>
      </w:r>
    </w:p>
    <w:p>
      <w:pPr>
        <w:spacing w:after="0" w:line="6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right="40" w:firstLine="546"/>
        <w:spacing w:after="0" w:line="220"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speak only as of the date on which this statement is made, even if subsequently made available on our website or otherwise, and we do not intend to update publicly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that occur after the date on which the statement is made, except as may be required by law.</w:t>
      </w:r>
    </w:p>
    <w:p>
      <w:pPr>
        <w:spacing w:after="0" w:line="204" w:lineRule="exact"/>
        <w:rPr>
          <w:sz w:val="20"/>
          <w:szCs w:val="20"/>
          <w:color w:val="auto"/>
        </w:rPr>
      </w:pPr>
    </w:p>
    <w:p>
      <w:pPr>
        <w:ind w:right="20" w:firstLine="546"/>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546"/>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As of March 31, 2020, interest on borrowings under our Credit Facility was subject to fluctuation based on changes in short-term interest rates.</w:t>
      </w:r>
    </w:p>
    <w:p>
      <w:pPr>
        <w:spacing w:after="0" w:line="202" w:lineRule="exact"/>
        <w:rPr>
          <w:sz w:val="20"/>
          <w:szCs w:val="20"/>
          <w:color w:val="auto"/>
        </w:rPr>
      </w:pPr>
    </w:p>
    <w:p>
      <w:pPr>
        <w:ind w:right="20" w:firstLine="546"/>
        <w:spacing w:after="0" w:line="220" w:lineRule="exact"/>
        <w:rPr>
          <w:sz w:val="20"/>
          <w:szCs w:val="20"/>
          <w:color w:val="auto"/>
        </w:rPr>
      </w:pPr>
      <w:r>
        <w:rPr>
          <w:rFonts w:ascii="Arial" w:cs="Arial" w:eastAsia="Arial" w:hAnsi="Arial"/>
          <w:sz w:val="18"/>
          <w:szCs w:val="18"/>
          <w:color w:val="auto"/>
        </w:rPr>
        <w:t>As of March 31, 2020,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$488.8 million under the Term Loan and $465.0 million was outstanding under the Revolving Credit Facility.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under the Term Loan and the Revolving Credit Facility represented approximately 31% of our long</w:t>
      </w:r>
      <w:r>
        <w:rPr>
          <w:rFonts w:ascii="MS PGothic" w:cs="MS PGothic" w:eastAsia="MS PGothic" w:hAnsi="MS PGothic"/>
          <w:sz w:val="18"/>
          <w:szCs w:val="18"/>
          <w:color w:val="auto"/>
        </w:rPr>
        <w:t>‑</w:t>
      </w:r>
      <w:r>
        <w:rPr>
          <w:rFonts w:ascii="Arial" w:cs="Arial" w:eastAsia="Arial" w:hAnsi="Arial"/>
          <w:sz w:val="18"/>
          <w:szCs w:val="18"/>
          <w:color w:val="auto"/>
        </w:rPr>
        <w:t>term debt as of March 31, 2020. During the three months ended March 31, 2020, the weighted average interest rates on our variable and fixed rate debt were 3.04% and 6.56%, respectively.</w:t>
      </w:r>
    </w:p>
    <w:p>
      <w:pPr>
        <w:spacing w:after="0" w:line="244"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LIBOR is expected to be discontinued after 2021. The interest rate per annum applicable to loans under our Credit Facility is, at our option, either LIBOR plus a margin or a base rate plus a margin. The Credit Facility permits the administrative agent to select, in its reasonable discretion, an alternative base rate in the event that LIBOR is discontinued, but there can be no assurances as to what alternative base rates may be and whether such base rate will be more or less favorable than LIBOR and any other unforeseen impacts of the potential discontinuation of LIBOR.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6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has, on occasion, utilized derivative financial instruments to help manage this risk. We do not utilize derivative financial instruments for trading purposes. There were no material quantitative changes in our market risk exposure, or how such risks are managed, for the three months ended March 31, 2020.</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57" w:lineRule="exact"/>
        <w:rPr>
          <w:sz w:val="20"/>
          <w:szCs w:val="20"/>
          <w:color w:val="auto"/>
        </w:rPr>
      </w:pPr>
    </w:p>
    <w:p>
      <w:pPr>
        <w:ind w:firstLine="546"/>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6"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2020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080" w:right="2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pending litigation, other than lawsuits arising in the normal course of our business, to which we became party during the quarter ended March 31, 2020, are summarized below: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Litigation</w:t>
      </w:r>
    </w:p>
    <w:p>
      <w:pPr>
        <w:spacing w:after="0" w:line="131" w:lineRule="exact"/>
        <w:rPr>
          <w:sz w:val="20"/>
          <w:szCs w:val="20"/>
          <w:color w:val="auto"/>
        </w:rPr>
      </w:pPr>
    </w:p>
    <w:p>
      <w:pPr>
        <w:ind w:right="140" w:firstLine="546"/>
        <w:spacing w:after="0" w:line="289" w:lineRule="auto"/>
        <w:rPr>
          <w:sz w:val="20"/>
          <w:szCs w:val="20"/>
          <w:color w:val="auto"/>
        </w:rPr>
      </w:pPr>
      <w:r>
        <w:rPr>
          <w:rFonts w:ascii="Arial" w:cs="Arial" w:eastAsia="Arial" w:hAnsi="Arial"/>
          <w:sz w:val="16"/>
          <w:szCs w:val="16"/>
          <w:color w:val="auto"/>
        </w:rPr>
        <w:t xml:space="preserve">In September and October of 2019, eight putative class action lawsuits were filed against Eldorado and/or Caesars in connection with the Merger. The Company was named as a party in three of such actions: </w:t>
      </w:r>
      <w:r>
        <w:rPr>
          <w:rFonts w:ascii="Arial" w:cs="Arial" w:eastAsia="Arial" w:hAnsi="Arial"/>
          <w:sz w:val="16"/>
          <w:szCs w:val="16"/>
          <w:i w:val="1"/>
          <w:iCs w:val="1"/>
          <w:color w:val="auto"/>
        </w:rPr>
        <w:t>Cazer v. Caesars Entertainment Corp., et al</w:t>
      </w:r>
      <w:r>
        <w:rPr>
          <w:rFonts w:ascii="Arial" w:cs="Arial" w:eastAsia="Arial" w:hAnsi="Arial"/>
          <w:sz w:val="16"/>
          <w:szCs w:val="16"/>
          <w:color w:val="auto"/>
        </w:rPr>
        <w:t xml:space="preserve">, Civil Action No. A-19-801900-C, Eighth Judicial District Court Clark County, Nevada (9/13/2019), </w:t>
      </w:r>
      <w:r>
        <w:rPr>
          <w:rFonts w:ascii="Arial" w:cs="Arial" w:eastAsia="Arial" w:hAnsi="Arial"/>
          <w:sz w:val="16"/>
          <w:szCs w:val="16"/>
          <w:i w:val="1"/>
          <w:iCs w:val="1"/>
          <w:color w:val="auto"/>
        </w:rPr>
        <w:t>Gershman v. Caesars Entertainment Corp., et al</w:t>
      </w:r>
      <w:r>
        <w:rPr>
          <w:rFonts w:ascii="Arial" w:cs="Arial" w:eastAsia="Arial" w:hAnsi="Arial"/>
          <w:sz w:val="16"/>
          <w:szCs w:val="16"/>
          <w:color w:val="auto"/>
        </w:rPr>
        <w:t xml:space="preserve">, Civil Action No 1:19-cv-01720-UNA, United States District Court for the District of Delaware (9/12/2019), and </w:t>
      </w:r>
      <w:r>
        <w:rPr>
          <w:rFonts w:ascii="Arial" w:cs="Arial" w:eastAsia="Arial" w:hAnsi="Arial"/>
          <w:sz w:val="16"/>
          <w:szCs w:val="16"/>
          <w:i w:val="1"/>
          <w:iCs w:val="1"/>
          <w:color w:val="auto"/>
        </w:rPr>
        <w:t>Palkon v. Caesars Entertainment Corp., et al</w:t>
      </w:r>
      <w:r>
        <w:rPr>
          <w:rFonts w:ascii="Arial" w:cs="Arial" w:eastAsia="Arial" w:hAnsi="Arial"/>
          <w:sz w:val="16"/>
          <w:szCs w:val="16"/>
          <w:color w:val="auto"/>
        </w:rPr>
        <w:t>, Civil Action No. 1:19-cv-01679-UNA, United States District Court for the District of Delaware (9/9/2019). In general, those complaints asserted claims under sections 14(a), 20(a) and Rule 14a-9 of the Securities Exchange Act of 1934 challenging the adequacy of certain disclosures in the joint proxy statement/prospectus filed in connection with the Merger. In addition, one of the complaints alleges state law breach of fiduciary duty claims against the Caesars directors. In March 2020, the Company and Caesars reached an agreement with the plaintiffs in those actions to settle those claims in exchange for payment of certain fees to attorneys for the plaintiffs. As a result of that settlement, in March 2020, all eight suits were dismissed. These matters are now concluded.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117" w:lineRule="exact"/>
        <w:rPr>
          <w:sz w:val="20"/>
          <w:szCs w:val="20"/>
          <w:color w:val="auto"/>
        </w:rPr>
      </w:pPr>
    </w:p>
    <w:p>
      <w:pPr>
        <w:ind w:right="80" w:firstLine="546"/>
        <w:spacing w:after="0" w:line="271" w:lineRule="auto"/>
        <w:rPr>
          <w:sz w:val="20"/>
          <w:szCs w:val="20"/>
          <w:color w:val="auto"/>
        </w:rPr>
      </w:pPr>
      <w:r>
        <w:rPr>
          <w:rFonts w:ascii="Arial" w:cs="Arial" w:eastAsia="Arial" w:hAnsi="Arial"/>
          <w:sz w:val="17"/>
          <w:szCs w:val="17"/>
          <w:color w:val="auto"/>
        </w:rPr>
        <w:t xml:space="preserve">On September 23, 2019, the Company and certain of its officers were named as defendants in a putative class action complaint filed in the United States District Court for the District of New Jersey and captioned as </w:t>
      </w:r>
      <w:r>
        <w:rPr>
          <w:rFonts w:ascii="Arial" w:cs="Arial" w:eastAsia="Arial" w:hAnsi="Arial"/>
          <w:sz w:val="17"/>
          <w:szCs w:val="17"/>
          <w:i w:val="1"/>
          <w:iCs w:val="1"/>
          <w:color w:val="auto"/>
        </w:rPr>
        <w:t>Elberts v. Eldorado Resorts, Inc.</w:t>
      </w:r>
      <w:r>
        <w:rPr>
          <w:rFonts w:ascii="Arial" w:cs="Arial" w:eastAsia="Arial" w:hAnsi="Arial"/>
          <w:sz w:val="17"/>
          <w:szCs w:val="17"/>
          <w:color w:val="auto"/>
        </w:rPr>
        <w:t>, Case No. 2:19-cv-18230-SRC-CLW. The complaint asserted violations of Sections 10(b) and 20(a) of the Securities Exchange Act of 1934 and SEC Rule 10b-5 promulgated under the Securities Exchange Act of 1934. The complaint alleged that the Company made material misstatements and/or omissions during the period from March 1, 2019 through September 2, 2019. The allegations related to disclosure concerning the subpoenas that certain of the Company’s directors and officers received from the SEC, which have been previously disclosed in the proxy statement/prospectus filed by the Company relating to the pending transaction with Caesars. The SEC Investigation is ongoing. In March 2020, the lead plaintiff decided not to pursue the claims any longer. As a result, this action was voluntarily dismissed by the lead plaintiff on March 17, 2020. This matter is now concluded.</w:t>
      </w:r>
    </w:p>
    <w:p>
      <w:pPr>
        <w:spacing w:after="0" w:line="84" w:lineRule="exact"/>
        <w:rPr>
          <w:sz w:val="20"/>
          <w:szCs w:val="20"/>
          <w:color w:val="auto"/>
        </w:rPr>
      </w:pPr>
    </w:p>
    <w:p>
      <w:pPr>
        <w:ind w:left="1080" w:right="1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also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87" w:lineRule="exact"/>
        <w:rPr>
          <w:sz w:val="20"/>
          <w:szCs w:val="20"/>
          <w:color w:val="auto"/>
        </w:rPr>
      </w:pPr>
    </w:p>
    <w:p>
      <w:pPr>
        <w:ind w:firstLine="546"/>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17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40" w:firstLine="546"/>
        <w:spacing w:after="0" w:line="220"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There have been no material changes to those risk factors during the three months ended March 31, 2020, except for the following additional risk factors related to the impact of COVID-19 and the Merger.</w:t>
      </w:r>
    </w:p>
    <w:p>
      <w:pPr>
        <w:spacing w:after="0" w:line="312" w:lineRule="exact"/>
        <w:rPr>
          <w:sz w:val="20"/>
          <w:szCs w:val="20"/>
          <w:color w:val="auto"/>
        </w:rPr>
      </w:pPr>
    </w:p>
    <w:p>
      <w:pPr>
        <w:jc w:val="both"/>
        <w:ind w:right="140" w:firstLine="546"/>
        <w:spacing w:after="0" w:line="375" w:lineRule="auto"/>
        <w:rPr>
          <w:sz w:val="20"/>
          <w:szCs w:val="20"/>
          <w:color w:val="auto"/>
        </w:rPr>
      </w:pPr>
      <w:r>
        <w:rPr>
          <w:rFonts w:ascii="Arial" w:cs="Arial" w:eastAsia="Arial" w:hAnsi="Arial"/>
          <w:sz w:val="15"/>
          <w:szCs w:val="15"/>
          <w:b w:val="1"/>
          <w:bCs w:val="1"/>
          <w:i w:val="1"/>
          <w:iCs w:val="1"/>
          <w:color w:val="auto"/>
        </w:rPr>
        <w:t>The outbreak of COVID-19 has resulted in the temporary closure of our casino properties and has caused an economic downturn, widespread unemployment and an adverse impact on consumer sentiment. Such negative impacts could continue for an extended period of time and may worsen.</w:t>
      </w:r>
    </w:p>
    <w:p>
      <w:pPr>
        <w:spacing w:after="0" w:line="1"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On March 13, 2020, in response to the coronavirus pandemic the U.S. government declared a national state of emergency. In an effort to help control the spread of COVID-19, public health officials imposed or recommended various measures, including social distancing, quarantine and stay-at-home or shelter-in-place directives, limitations on the size of gatherings, closures of work facilities, schools, public buildings and businesses, and cancellation of events, including sporting events, concerts, conferences and meetings. As a result of orders issued by governmental authorities in the states in which our properties, all of our properties have been temporarily closed since March 18, 2020 and we furloughed approximately 90% of our employees beginning on April 11, 2020.</w:t>
      </w:r>
    </w:p>
    <w:p>
      <w:pPr>
        <w:spacing w:after="0" w:line="192"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While the closure of our properties is expected to be temporary, we cannot estimate the impact of the COVID-19 pandemic on our future financial results or cash flows, in part due to our inability to reasonably estimate the duration of the closure of our properties and the range of factors that will influence our operations once our properties are permitted to re-open. Our future operations, financial results and cash flows will be impacted by a number of factors that we cannot predict and are beyond our control, including the duration and extent of shelter-in-place and social distancing measures and the impact of such measures on our ability to re-open and operate our casinos profitably. Government and health authorities may implement new or extend existing restrictions, impose restrictions on travel and business operations and advise or require individuals to limit time spent outside of their homes, further delaying or interrupting our business. In addition, we anticipate that social distancing measures will result in new restrictions on our operations following the time that our casinos re-open, which may result in reduced gaming operations arising from the reconfiguration of our gaming floor, limitations on the number of customers present in our facilities, implementation of additional health and safety measures, restrictions on hotel, food and beverage outlets and limits on concerts, conventions or special events that would otherwise attract customers to our properties. In addition, future outbreaks of COVID-19 or other public health emergencies may result in the implementation of stay-at-home or additional social distancing and mitigation measures that could cause future closures of all or a portion of our properties and disruption to our business.</w:t>
      </w:r>
    </w:p>
    <w:p>
      <w:pPr>
        <w:spacing w:after="0" w:line="168"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COVID-19 has materially adversely affected the economy and financial markets of the United States and the world and has resulted in widespread unemployment in the United States. Consumer demand for casino hotel and racetrack properties such as ours is particularly sensitive to downturns in the economy, unemployment and the associated impact on discretionary spending on leisure activities which bring demand for casino hotel properties such as ours. We anticipate that there may be a reduced consumer demand following the re-opening of our casinos due to reduced consumer confidence and consumer fear, which is expected to lead to lower occupancy rates, reduced visitation and additional disruptions in our casino business. The extent of changes in customer demand resulting from the economic downturn, widespread unemployment, reduced consumer confidence and consumer fears on our properties cannot reasonably be determined, but the impact of such factors may be significant and protracted.</w:t>
      </w:r>
    </w:p>
    <w:p>
      <w:pPr>
        <w:spacing w:after="0" w:line="166"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As a result of the foregoing, we cannot predict the ultimate scope, duration and impact of the COVID-19 pandemic, but we expect that it will continue to have a material impact on our business, financial condition, liquidity, results of operations (including revenues and profitability) and stock price for an extended period of time. The impact of the COVID-19 pandemic may also have the effect of exacerbating many of the other risks described in our Annual Report on Form 10-K for the year ended December 31, 2019.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52" w:name="page53"/>
    <w:bookmarkEnd w:id="52"/>
    <w:p>
      <w:pPr>
        <w:ind w:right="60" w:firstLine="546"/>
        <w:spacing w:after="0" w:line="277" w:lineRule="auto"/>
        <w:rPr>
          <w:sz w:val="20"/>
          <w:szCs w:val="20"/>
          <w:color w:val="auto"/>
        </w:rPr>
      </w:pPr>
      <w:r>
        <w:rPr>
          <w:rFonts w:ascii="Arial" w:cs="Arial" w:eastAsia="Arial" w:hAnsi="Arial"/>
          <w:sz w:val="18"/>
          <w:szCs w:val="18"/>
          <w:b w:val="1"/>
          <w:bCs w:val="1"/>
          <w:i w:val="1"/>
          <w:iCs w:val="1"/>
          <w:color w:val="auto"/>
        </w:rPr>
        <w:t>We have undertaken aggressive actions to reduce costs and improve efficiencies to mitigate losses as a result of the COVID-19 pandemic, which could negatively impact guest loyalty and our ability to attract and retain employees.</w:t>
      </w:r>
    </w:p>
    <w:p>
      <w:pPr>
        <w:spacing w:after="0" w:line="6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As a result of the closure of all of our properties and the continued uncertainty regarding the duration and severity of this pandemic, we have taken steps to reduce operating costs and improve efficiencies, including furloughing approximately 90% our employees. Such steps, and further changes we may make in the future to reduce costs, may negatively impact guest loyalty or our ability to attract and retain employees, and our reputation may suffer as a result. For example, if our furloughed employees do not return to work with us when the COVID-19 pandemic subsides, including because they find new employment during the furlough, we may experience operational challenges that may impact our ability to resume operations in full. We may also face demands or requests from labor unions that represent our employees, whether in the course of our periodic renegotiation of our collective bargaining agreements, through effects bargaining relating to the shut down and/or re-opening of our operations, or otherwise, for additional compensation, healthcare benefits or other terms as a result of COVID-19 that could increase costs, and we could experience labor disputes or disruptions as we continue to implement our COVID-19 mitigation plans.</w:t>
      </w:r>
    </w:p>
    <w:p>
      <w:pPr>
        <w:spacing w:after="0" w:line="329" w:lineRule="exact"/>
        <w:rPr>
          <w:sz w:val="20"/>
          <w:szCs w:val="20"/>
          <w:color w:val="auto"/>
        </w:rPr>
      </w:pPr>
    </w:p>
    <w:p>
      <w:pPr>
        <w:ind w:right="300" w:firstLine="546"/>
        <w:spacing w:after="0" w:line="263" w:lineRule="auto"/>
        <w:rPr>
          <w:sz w:val="20"/>
          <w:szCs w:val="20"/>
          <w:color w:val="auto"/>
        </w:rPr>
      </w:pPr>
      <w:r>
        <w:rPr>
          <w:rFonts w:ascii="Arial" w:cs="Arial" w:eastAsia="Arial" w:hAnsi="Arial"/>
          <w:sz w:val="18"/>
          <w:szCs w:val="18"/>
          <w:b w:val="1"/>
          <w:bCs w:val="1"/>
          <w:i w:val="1"/>
          <w:iCs w:val="1"/>
          <w:color w:val="auto"/>
        </w:rPr>
        <w:t>Our ability to remain in compliance with our covenants contained in the agreements governing our indebtedness and Master Lease, and our liquidity, may be negatively impacted by the COVID-19 pandemic, measures implemented to curtail its spread, and changes in the economy, discretionary spending and consumer confidence.</w:t>
      </w:r>
    </w:p>
    <w:p>
      <w:pPr>
        <w:spacing w:after="0" w:line="76" w:lineRule="exact"/>
        <w:rPr>
          <w:sz w:val="20"/>
          <w:szCs w:val="20"/>
          <w:color w:val="auto"/>
        </w:rPr>
      </w:pPr>
    </w:p>
    <w:p>
      <w:pPr>
        <w:ind w:right="40" w:firstLine="546"/>
        <w:spacing w:after="0" w:line="285" w:lineRule="auto"/>
        <w:rPr>
          <w:sz w:val="20"/>
          <w:szCs w:val="20"/>
          <w:color w:val="auto"/>
        </w:rPr>
      </w:pPr>
      <w:r>
        <w:rPr>
          <w:rFonts w:ascii="Arial" w:cs="Arial" w:eastAsia="Arial" w:hAnsi="Arial"/>
          <w:sz w:val="16"/>
          <w:szCs w:val="16"/>
          <w:color w:val="auto"/>
        </w:rPr>
        <w:t>Our casino operations are a primary source of income and operating cash flows which we rely upon to remain in compliance with covenants contained in the agreements governing our outstanding indebtedness and the Master Lease. In an effort to mitigate the impacts of COVID-19 on our business and provide sufficient liquidity and capital resources during the period that our casinos are closed and thereafter, on March 16, 2020 we borrowed $465 million under our revolving credit facility, constituting substantially all of our remaining borrowing capacity under our revolving credit facility. As a result, as of March 31, 2020, we had an aggregate of $953.8 million of borrowings outstanding under our credit facility and $1,850.0 million in outstanding principal amount of senior notes. While we were in compliance with the covenants under our Master Lease and the agreements governing our outstanding indebtedness as of March 31, 2020, our ability to remain in compliance with the quarterly maintenance covenants contained in such agreements would be negatively impacted by a prolonged period of closure of our properties or if the COVID-19 pandemic, measures implemented to curtail its spread or changes in the economy, discretionary spending and consumer confidence have a protracted negative effect on our business. Failure to satisfy such quarterly maintenance covenants would require us to seek waivers or amendments of such covenants. If we are unable to obtain such waivers or amendments, our creditors and the lessor under the Master Lease would be entitled to exercise remedies under the documents governing such obligations, including acceleration of the outstanding principal amount of such indebtedness or termination of the Master Lease. In addition, while we believe that our cash on hand will be sufficient to provide liquidity to meet our obligations during the period that our properties remain closed, a protracted period of closure of our casinos could impact our ability to make required payments under our outstanding indebtedness, Master Lease or other obligations. Our ability to raise additional financing may be restricted by the covenants and restrictions contained in the agreements governing our indebtedness and could be adversely affected by disruptions in the financing markets and changes to the economy caused by the COVID-19 pandemic.</w:t>
      </w:r>
    </w:p>
    <w:p>
      <w:pPr>
        <w:spacing w:after="0" w:line="284"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b w:val="1"/>
          <w:bCs w:val="1"/>
          <w:i w:val="1"/>
          <w:iCs w:val="1"/>
          <w:color w:val="auto"/>
        </w:rPr>
        <w:t>Delay in consummating the Merger has resulted in an increase in the Merger Consideration. The disruption caused by the COVID-19 pandemic may cause further delay that increases costs associated with the Merger.</w:t>
      </w:r>
    </w:p>
    <w:p>
      <w:pPr>
        <w:spacing w:after="0" w:line="62" w:lineRule="exact"/>
        <w:rPr>
          <w:sz w:val="20"/>
          <w:szCs w:val="20"/>
          <w:color w:val="auto"/>
        </w:rPr>
      </w:pPr>
    </w:p>
    <w:p>
      <w:pPr>
        <w:ind w:firstLine="546"/>
        <w:spacing w:after="0" w:line="277" w:lineRule="auto"/>
        <w:rPr>
          <w:sz w:val="20"/>
          <w:szCs w:val="20"/>
          <w:color w:val="auto"/>
        </w:rPr>
      </w:pPr>
      <w:r>
        <w:rPr>
          <w:rFonts w:ascii="Arial" w:cs="Arial" w:eastAsia="Arial" w:hAnsi="Arial"/>
          <w:sz w:val="17"/>
          <w:szCs w:val="17"/>
          <w:color w:val="auto"/>
        </w:rPr>
        <w:t>Pursuant to the terms of the Merger Agreement, the amount of cash payable by the Company as Merger Consideration per share of Caesars common stock began to increase on by $0.003333 daily beginning on March 25, 2020 and will increase by such amount until the closing date of the Merger. As a result, delay in consummating the Merger, including a delay in receipt of regulatory approvals resulting from disruption caused by the COVID-19 pandemic, will increase the cash portion of the Merger Consideration. In addition, such delay may increase the costs of the transaction. In particular, the Company has incurred and will continue to incur significant costs relating to the Merger, such as debt commitment, legal, accounting and financial advisor fees, and, to the extent that the Debt Financing is incurred prior to consummation of the Merger, interest expense, in each case, that may increase in the event that the consummation of the Merger is delayed and will be payable in the event that the Merger is not consummated.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COVID-19 pandemic may exacerbate the risks associated with the Merger.</w:t>
      </w:r>
    </w:p>
    <w:p>
      <w:pPr>
        <w:spacing w:after="0" w:line="117"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As a result of the COVID-19 pandemic, all Caesars’ properties have been temporarily closed and a significant majority of Caesars’ employees have been furloughed. COVID-19 has had an adverse impact on Caesars’ business and results of operations. We cannot predict the scope, duration and impact of COVID-19 on Caesars’ business or on the ability of the Company to recognize the benefits of the Merger but we expect that impact of the COVID-19 pandemic may have the effect of exacerbating many of the risks related to the Merger described in our Annual Report on Form 10-K for the year ended December 31, 2019. The combination of two independent businesses is a complex, costly and time-consuming process and we expect that the impacts of COVID-19 will make such combination more challenging. Further, the Company and its subsidiaries will have a significant amount of additional indebtedness outstanding following the consummation of the Merger and will have significant obligations to pay rent and make capital expenditures under its leases with GPLI and VICI.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Company and its subsidiaries expect to satisfy such obligations with cash flows from operations, which may be impacted by COVID-19, cash on hand, borrowings under committed credit facilities, additional financing and proceeds from asset sales.</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449" w:right="6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81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8160" w:type="dxa"/>
            <w:vAlign w:val="bottom"/>
            <w:vMerge w:val="restart"/>
          </w:tcPr>
          <w:p>
            <w:pPr>
              <w:ind w:left="340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tcPr>
          <w:p>
            <w:pPr>
              <w:spacing w:after="0"/>
              <w:rPr>
                <w:sz w:val="24"/>
                <w:szCs w:val="24"/>
                <w:color w:val="auto"/>
              </w:rPr>
            </w:pPr>
          </w:p>
        </w:tc>
        <w:tc>
          <w:tcPr>
            <w:tcW w:w="2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8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6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8160" w:type="dxa"/>
            <w:vAlign w:val="bottom"/>
            <w:tcBorders>
              <w:top w:val="single" w:sz="8" w:color="auto"/>
            </w:tcBorders>
          </w:tcPr>
          <w:p>
            <w:pPr>
              <w:spacing w:after="0" w:line="207"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Certification of Thomas R. Reeg pursuant to 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and Rule 15d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w:t>
              </w:r>
            </w:hyperlink>
          </w:p>
        </w:tc>
        <w:tc>
          <w:tcPr>
            <w:tcW w:w="120" w:type="dxa"/>
            <w:vAlign w:val="bottom"/>
          </w:tcPr>
          <w:p>
            <w:pPr>
              <w:spacing w:after="0"/>
              <w:rPr>
                <w:sz w:val="24"/>
                <w:szCs w:val="24"/>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8160" w:type="dxa"/>
            <w:vAlign w:val="bottom"/>
          </w:tcPr>
          <w:p>
            <w:pPr>
              <w:spacing w:after="0" w:line="207"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Certification of Bret Yunker pursuant to 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and Rule 15d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w:t>
              </w:r>
            </w:hyperlink>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816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Certification of Thomas R. Reeg in accordance with 18 U.S.C. Section 1350</w:t>
              </w:r>
            </w:hyperlink>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816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Certification of Bret Yunker in accordance with 18 U.S.C. Section 1350</w:t>
              </w:r>
            </w:hyperlink>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101.1</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Inline XBRL Instance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101.3</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101.4</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101.6</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38"/>
        </w:trPr>
        <w:tc>
          <w:tcPr>
            <w:tcW w:w="680" w:type="dxa"/>
            <w:vAlign w:val="bottom"/>
          </w:tcPr>
          <w:p>
            <w:pPr>
              <w:jc w:val="right"/>
              <w:ind w:right="313"/>
              <w:spacing w:after="0"/>
              <w:rPr>
                <w:sz w:val="20"/>
                <w:szCs w:val="20"/>
                <w:color w:val="auto"/>
              </w:rPr>
            </w:pPr>
            <w:r>
              <w:rPr>
                <w:rFonts w:ascii="Arial" w:cs="Arial" w:eastAsia="Arial" w:hAnsi="Arial"/>
                <w:sz w:val="18"/>
                <w:szCs w:val="18"/>
                <w:color w:val="auto"/>
                <w:w w:val="86"/>
              </w:rPr>
              <w:t>104</w:t>
            </w:r>
          </w:p>
        </w:tc>
        <w:tc>
          <w:tcPr>
            <w:tcW w:w="1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21"/>
        </w:trPr>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rPr>
              <w:t>Date: May 11, 2020</w:t>
            </w:r>
          </w:p>
        </w:tc>
        <w:tc>
          <w:tcPr>
            <w:tcW w:w="32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w:t>
            </w:r>
            <w:r>
              <w:rPr>
                <w:rFonts w:ascii="Arial" w:cs="Arial" w:eastAsia="Arial" w:hAnsi="Arial"/>
                <w:sz w:val="12"/>
                <w:szCs w:val="12"/>
                <w:color w:val="auto"/>
                <w:w w:val="93"/>
              </w:rPr>
              <w:t>HOMAS</w:t>
            </w:r>
            <w:r>
              <w:rPr>
                <w:rFonts w:ascii="Arial" w:cs="Arial" w:eastAsia="Arial" w:hAnsi="Arial"/>
                <w:sz w:val="18"/>
                <w:szCs w:val="18"/>
                <w:color w:val="auto"/>
                <w:w w:val="93"/>
              </w:rPr>
              <w:t xml:space="preserve"> R. R</w:t>
            </w:r>
            <w:r>
              <w:rPr>
                <w:rFonts w:ascii="Arial" w:cs="Arial" w:eastAsia="Arial" w:hAnsi="Arial"/>
                <w:sz w:val="12"/>
                <w:szCs w:val="12"/>
                <w:color w:val="auto"/>
                <w:w w:val="93"/>
              </w:rPr>
              <w:t>EEG</w:t>
            </w:r>
          </w:p>
        </w:tc>
      </w:tr>
      <w:tr>
        <w:trPr>
          <w:trHeight w:val="195"/>
        </w:trPr>
        <w:tc>
          <w:tcPr>
            <w:tcW w:w="34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8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30"/>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(Principal Executive Officer)</w:t>
            </w: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rPr>
              <w:t>Date: May 11, 2020</w:t>
            </w:r>
          </w:p>
        </w:tc>
        <w:tc>
          <w:tcPr>
            <w:tcW w:w="32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w:t>
            </w:r>
            <w:r>
              <w:rPr>
                <w:rFonts w:ascii="Arial" w:cs="Arial" w:eastAsia="Arial" w:hAnsi="Arial"/>
                <w:sz w:val="12"/>
                <w:szCs w:val="12"/>
                <w:color w:val="auto"/>
                <w:w w:val="97"/>
              </w:rPr>
              <w:t>RET</w:t>
            </w:r>
            <w:r>
              <w:rPr>
                <w:rFonts w:ascii="Arial" w:cs="Arial" w:eastAsia="Arial" w:hAnsi="Arial"/>
                <w:sz w:val="18"/>
                <w:szCs w:val="18"/>
                <w:color w:val="auto"/>
                <w:w w:val="97"/>
              </w:rPr>
              <w:t xml:space="preserve"> Y</w:t>
            </w:r>
            <w:r>
              <w:rPr>
                <w:rFonts w:ascii="Arial" w:cs="Arial" w:eastAsia="Arial" w:hAnsi="Arial"/>
                <w:sz w:val="12"/>
                <w:szCs w:val="12"/>
                <w:color w:val="auto"/>
                <w:w w:val="97"/>
              </w:rPr>
              <w:t>UNKER</w:t>
            </w:r>
          </w:p>
        </w:tc>
      </w:tr>
      <w:tr>
        <w:trPr>
          <w:trHeight w:val="195"/>
        </w:trPr>
        <w:tc>
          <w:tcPr>
            <w:tcW w:w="34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80" w:type="dxa"/>
            <w:vAlign w:val="bottom"/>
          </w:tcPr>
          <w:p>
            <w:pPr>
              <w:jc w:val="center"/>
              <w:spacing w:after="0" w:line="195" w:lineRule="exact"/>
              <w:rPr>
                <w:sz w:val="20"/>
                <w:szCs w:val="20"/>
                <w:color w:val="auto"/>
              </w:rPr>
            </w:pPr>
            <w:r>
              <w:rPr>
                <w:rFonts w:ascii="Arial" w:cs="Arial" w:eastAsia="Arial" w:hAnsi="Arial"/>
                <w:sz w:val="18"/>
                <w:szCs w:val="18"/>
                <w:color w:val="auto"/>
                <w:w w:val="92"/>
              </w:rPr>
              <w:t>Bret Yunker</w:t>
            </w:r>
          </w:p>
        </w:tc>
      </w:tr>
      <w:tr>
        <w:trPr>
          <w:trHeight w:val="230"/>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6"/>
              </w:rPr>
              <w:t>Chief Financial Officer (Principal Financial Officer)</w:t>
            </w:r>
          </w:p>
        </w:tc>
      </w:tr>
      <w:tr>
        <w:trPr>
          <w:trHeight w:val="675"/>
        </w:trPr>
        <w:tc>
          <w:tcPr>
            <w:tcW w:w="3480" w:type="dxa"/>
            <w:vAlign w:val="bottom"/>
          </w:tcPr>
          <w:p>
            <w:pPr>
              <w:spacing w:after="0"/>
              <w:rPr>
                <w:sz w:val="24"/>
                <w:szCs w:val="24"/>
                <w:color w:val="auto"/>
              </w:rPr>
            </w:pPr>
          </w:p>
        </w:tc>
        <w:tc>
          <w:tcPr>
            <w:tcW w:w="3280" w:type="dxa"/>
            <w:vAlign w:val="bottom"/>
          </w:tcPr>
          <w:p>
            <w:pPr>
              <w:jc w:val="right"/>
              <w:ind w:right="950"/>
              <w:spacing w:after="0"/>
              <w:rPr>
                <w:sz w:val="20"/>
                <w:szCs w:val="20"/>
                <w:color w:val="auto"/>
              </w:rPr>
            </w:pPr>
            <w:r>
              <w:rPr>
                <w:rFonts w:ascii="Arial" w:cs="Arial" w:eastAsia="Arial" w:hAnsi="Arial"/>
                <w:sz w:val="18"/>
                <w:szCs w:val="18"/>
                <w:color w:val="auto"/>
              </w:rPr>
              <w:t>55</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00" w:hanging="492"/>
        <w:spacing w:after="0" w:line="207" w:lineRule="exact"/>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460" w:hanging="492"/>
        <w:spacing w:after="0" w:line="224" w:lineRule="exact"/>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50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02" w:lineRule="exact"/>
        <w:rPr>
          <w:rFonts w:ascii="Arial" w:cs="Arial" w:eastAsia="Arial" w:hAnsi="Arial"/>
          <w:sz w:val="16"/>
          <w:szCs w:val="16"/>
          <w:color w:val="auto"/>
        </w:rPr>
      </w:pPr>
    </w:p>
    <w:p>
      <w:pPr>
        <w:jc w:val="both"/>
        <w:ind w:left="1000" w:right="6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6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right="6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80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500" w:hanging="492"/>
        <w:spacing w:after="0" w:line="207" w:lineRule="exact"/>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460" w:hanging="492"/>
        <w:spacing w:after="0" w:line="224" w:lineRule="exact"/>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50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02" w:lineRule="exact"/>
        <w:rPr>
          <w:rFonts w:ascii="Arial" w:cs="Arial" w:eastAsia="Arial" w:hAnsi="Arial"/>
          <w:sz w:val="16"/>
          <w:szCs w:val="16"/>
          <w:color w:val="auto"/>
        </w:rPr>
      </w:pPr>
    </w:p>
    <w:p>
      <w:pPr>
        <w:jc w:val="both"/>
        <w:ind w:left="1000" w:right="6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60" w:hanging="493"/>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right="6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800" w:hanging="493"/>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 Thomas R. Reeg, Chief Executive Officer of Eldorado Resorts,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000" w:right="28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2020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1000" w:right="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May 11, 2020</w:t>
      </w: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 Bret Yunker, Chief Financial Officer of Eldorado Resorts,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000" w:right="280" w:hanging="493"/>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2020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1000" w:right="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May 11, 2020</w:t>
      </w: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2020-05-11T16:19:47Z</dcterms:created>
  <dcterms:modified xsi:type="dcterms:W3CDTF">2020-05-11T16:19:47Z</dcterms:modified>
</cp:coreProperties>
</file>