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14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20" w:after="283"/>
        <w:jc w:val="center"/>
        <w:rPr/>
      </w:pPr>
      <w:r>
        <w:rPr>
          <w:rFonts w:ascii="Times New Roman;serif" w:hAnsi="Times New Roman;serif"/>
          <w:b/>
          <w:color w:val="000000"/>
          <w:sz w:val="20"/>
        </w:rPr>
        <w:t>Commission File No. 001</w:t>
      </w:r>
      <w:r>
        <w:rPr>
          <w:rFonts w:ascii="Arial;sans-serif" w:hAnsi="Arial;sans-serif"/>
          <w:b w:val="false"/>
          <w:color w:val="000000"/>
          <w:sz w:val="18"/>
        </w:rPr>
        <w:t>-</w:t>
      </w:r>
      <w:r>
        <w:rPr>
          <w:rFonts w:ascii="Times New Roman;serif" w:hAnsi="Times New Roman;serif"/>
          <w:b/>
          <w:color w:val="000000"/>
          <w:sz w:val="20"/>
        </w:rPr>
        <w:t xml:space="preserve">36629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CAESARS ENTERTAINMENT,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54" w:type="dxa"/>
        <w:jc w:val="left"/>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46-3657681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100 West Liberty Street, 12th Floor, Reno, Nevada 89501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and zip code of principal executive offices)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(775) 328-0100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w:t>
      </w:r>
    </w:p>
    <w:p>
      <w:pPr>
        <w:pStyle w:val="TextBody"/>
        <w:bidi w:val="0"/>
        <w:spacing w:lineRule="auto" w:line="288" w:before="40" w:after="283"/>
        <w:ind w:left="0" w:right="0" w:firstLine="90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722" w:type="dxa"/>
        <w:jc w:val="left"/>
        <w:tblInd w:w="0" w:type="dxa"/>
        <w:tblLayout w:type="fixed"/>
        <w:tblCellMar>
          <w:top w:w="28" w:type="dxa"/>
          <w:left w:w="28" w:type="dxa"/>
          <w:bottom w:w="28" w:type="dxa"/>
          <w:right w:w="28" w:type="dxa"/>
        </w:tblCellMar>
      </w:tblPr>
      <w:tblGrid>
        <w:gridCol w:w="1030"/>
        <w:gridCol w:w="903"/>
        <w:gridCol w:w="916"/>
        <w:gridCol w:w="519"/>
        <w:gridCol w:w="519"/>
        <w:gridCol w:w="521"/>
        <w:gridCol w:w="970"/>
        <w:gridCol w:w="970"/>
        <w:gridCol w:w="1374"/>
      </w:tblGrid>
      <w:tr>
        <w:trPr/>
        <w:tc>
          <w:tcPr>
            <w:tcW w:w="10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$0.00001 par value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CZR</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Stock Market</w:t>
            </w:r>
          </w:p>
        </w:tc>
      </w:tr>
    </w:tbl>
    <w:p>
      <w:pPr>
        <w:pStyle w:val="TextBody"/>
        <w:bidi w:val="0"/>
        <w:spacing w:lineRule="auto" w:line="288" w:before="0" w:after="0"/>
        <w:ind w:left="0" w:right="0" w:firstLine="90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 w:after="283"/>
        <w:ind w:left="0" w:right="0" w:firstLine="90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00"/>
        <w:jc w:val="both"/>
        <w:rPr/>
      </w:pP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20"/>
        </w:rPr>
        <w:t>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40" w:after="283"/>
        <w:ind w:left="0" w:right="0" w:firstLine="900"/>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40" w:after="283"/>
        <w:ind w:left="0" w:right="0" w:firstLine="900"/>
        <w:jc w:val="both"/>
        <w:rPr/>
      </w:pP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20"/>
        </w:rPr>
        <w:t>number of shares of the Registrant’s Common Stock, $0.00001 par value per share, outstanding as of October 23, 2025 was 204,107,943.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609" w:type="dxa"/>
        <w:jc w:val="left"/>
        <w:tblInd w:w="0" w:type="dxa"/>
        <w:tblLayout w:type="fixed"/>
        <w:tblCellMar>
          <w:top w:w="28" w:type="dxa"/>
          <w:left w:w="28" w:type="dxa"/>
          <w:bottom w:w="28" w:type="dxa"/>
          <w:right w:w="28" w:type="dxa"/>
        </w:tblCellMar>
      </w:tblPr>
      <w:tblGrid>
        <w:gridCol w:w="630"/>
        <w:gridCol w:w="552"/>
        <w:gridCol w:w="552"/>
        <w:gridCol w:w="2438"/>
        <w:gridCol w:w="2438"/>
        <w:gridCol w:w="2488"/>
        <w:gridCol w:w="149"/>
        <w:gridCol w:w="149"/>
        <w:gridCol w:w="213"/>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09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3">
              <w:r>
                <w:rPr>
                  <w:rStyle w:val="InternetLink"/>
                  <w:rFonts w:ascii="Times New Roman;serif" w:hAnsi="Times New Roman;serif"/>
                  <w:b/>
                  <w:color w:val="0000FF"/>
                  <w:sz w:val="20"/>
                  <w:u w:val="single"/>
                </w:rPr>
                <w:t>PART I. FINANCIAL INFORMATION</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e1c7ac6d19bb4b3fb593ccd40a5fd54a_13">
              <w:r>
                <w:rPr>
                  <w:rStyle w:val="InternetLink"/>
                  <w:rFonts w:ascii="Times New Roman;serif" w:hAnsi="Times New Roman;serif"/>
                  <w:b w:val="false"/>
                  <w:strike w:val="false"/>
                  <w:dstrike w:val="false"/>
                  <w:color w:val="0000FF"/>
                  <w:sz w:val="20"/>
                  <w:u w:val="none"/>
                  <w:effect w:val="non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3">
              <w:r>
                <w:rPr>
                  <w:rStyle w:val="InternetLink"/>
                  <w:rFonts w:ascii="Times New Roman;serif" w:hAnsi="Times New Roman;serif"/>
                  <w:b w:val="false"/>
                  <w:strike w:val="false"/>
                  <w:dstrike w:val="false"/>
                  <w:color w:val="0000FF"/>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3">
              <w:r>
                <w:rPr>
                  <w:rStyle w:val="InternetLink"/>
                  <w:rFonts w:ascii="Times New Roman;serif" w:hAnsi="Times New Roman;serif"/>
                  <w:b w:val="false"/>
                  <w:color w:val="0000FF"/>
                  <w:sz w:val="20"/>
                  <w:u w:val="single"/>
                </w:rPr>
                <w:t>Unaudited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13">
              <w:r>
                <w:rPr>
                  <w:rStyle w:val="InternetLink"/>
                  <w:rFonts w:ascii="Times New Roman;serif" w:hAnsi="Times New Roman;serif"/>
                  <w:b w:val="false"/>
                  <w:strike w:val="false"/>
                  <w:dstrike w:val="false"/>
                  <w:color w:val="0000FF"/>
                  <w:sz w:val="20"/>
                  <w:u w:val="none"/>
                  <w:effect w:val="none"/>
                </w:rPr>
                <w:t>2</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6">
              <w:r>
                <w:rPr>
                  <w:rStyle w:val="InternetLink"/>
                  <w:rFonts w:ascii="Times New Roman;serif" w:hAnsi="Times New Roman;serif"/>
                  <w:b w:val="false"/>
                  <w:color w:val="0000FF"/>
                  <w:sz w:val="20"/>
                  <w:u w:val="single"/>
                </w:rPr>
                <w:t>Consolidated Condensed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16">
              <w:r>
                <w:rPr>
                  <w:rStyle w:val="InternetLink"/>
                  <w:rFonts w:ascii="Times New Roman;serif" w:hAnsi="Times New Roman;serif"/>
                  <w:b w:val="false"/>
                  <w:strike w:val="false"/>
                  <w:dstrike w:val="false"/>
                  <w:color w:val="0000FF"/>
                  <w:sz w:val="20"/>
                  <w:u w:val="none"/>
                  <w:effect w:val="non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9">
              <w:r>
                <w:rPr>
                  <w:rStyle w:val="InternetLink"/>
                  <w:rFonts w:ascii="Times New Roman;serif" w:hAnsi="Times New Roman;serif"/>
                  <w:b w:val="false"/>
                  <w:color w:val="0000FF"/>
                  <w:sz w:val="20"/>
                  <w:u w:val="single"/>
                </w:rPr>
                <w:t>Consolidated Condensed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19">
              <w:r>
                <w:rPr>
                  <w:rStyle w:val="InternetLink"/>
                  <w:rFonts w:ascii="Times New Roman;serif" w:hAnsi="Times New Roman;serif"/>
                  <w:b w:val="false"/>
                  <w:strike w:val="false"/>
                  <w:dstrike w:val="false"/>
                  <w:color w:val="0000FF"/>
                  <w:sz w:val="20"/>
                  <w:u w:val="none"/>
                  <w:effect w:val="none"/>
                </w:rPr>
                <w:t>3</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22">
              <w:r>
                <w:rPr>
                  <w:rStyle w:val="InternetLink"/>
                  <w:rFonts w:ascii="Times New Roman;serif" w:hAnsi="Times New Roman;serif"/>
                  <w:b w:val="false"/>
                  <w:color w:val="0000FF"/>
                  <w:sz w:val="20"/>
                  <w:u w:val="single"/>
                </w:rPr>
                <w:t>Consolidated Condensed Statements of Comprehensive Income (Loss)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22">
              <w:r>
                <w:rPr>
                  <w:rStyle w:val="InternetLink"/>
                  <w:rFonts w:ascii="Times New Roman;serif" w:hAnsi="Times New Roman;serif"/>
                  <w:b w:val="false"/>
                  <w:strike w:val="false"/>
                  <w:dstrike w:val="false"/>
                  <w:color w:val="0000FF"/>
                  <w:sz w:val="20"/>
                  <w:u w:val="none"/>
                  <w:effect w:val="none"/>
                </w:rPr>
                <w:t>4</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25">
              <w:r>
                <w:rPr>
                  <w:rStyle w:val="InternetLink"/>
                  <w:rFonts w:ascii="Times New Roman;serif" w:hAnsi="Times New Roman;serif"/>
                  <w:b w:val="false"/>
                  <w:color w:val="0000FF"/>
                  <w:sz w:val="20"/>
                  <w:u w:val="single"/>
                </w:rPr>
                <w:t>Consolidated Condensed Statements of Stockholders’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25">
              <w:r>
                <w:rPr>
                  <w:rStyle w:val="InternetLink"/>
                  <w:rFonts w:ascii="Times New Roman;serif" w:hAnsi="Times New Roman;serif"/>
                  <w:b w:val="false"/>
                  <w:strike w:val="false"/>
                  <w:dstrike w:val="false"/>
                  <w:color w:val="0000FF"/>
                  <w:sz w:val="20"/>
                  <w:u w:val="none"/>
                  <w:effect w:val="none"/>
                </w:rPr>
                <w:t>5</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28">
              <w:r>
                <w:rPr>
                  <w:rStyle w:val="InternetLink"/>
                  <w:rFonts w:ascii="Times New Roman;serif" w:hAnsi="Times New Roman;serif"/>
                  <w:b w:val="false"/>
                  <w:color w:val="0000FF"/>
                  <w:sz w:val="20"/>
                  <w:u w:val="single"/>
                </w:rPr>
                <w:t>Consolidated Condensed Statements of Cash Flows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28">
              <w:r>
                <w:rPr>
                  <w:rStyle w:val="InternetLink"/>
                  <w:rFonts w:ascii="Times New Roman;serif" w:hAnsi="Times New Roman;serif"/>
                  <w:b w:val="false"/>
                  <w:strike w:val="false"/>
                  <w:dstrike w:val="false"/>
                  <w:color w:val="0000FF"/>
                  <w:sz w:val="20"/>
                  <w:u w:val="none"/>
                  <w:effect w:val="none"/>
                </w:rPr>
                <w:t>7</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34">
              <w:r>
                <w:rPr>
                  <w:rStyle w:val="InternetLink"/>
                  <w:rFonts w:ascii="Times New Roman;serif" w:hAnsi="Times New Roman;serif"/>
                  <w:b w:val="false"/>
                  <w:color w:val="0000FF"/>
                  <w:sz w:val="20"/>
                  <w:u w:val="single"/>
                </w:rPr>
                <w:t>Notes to Consolidated Condensed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1c7ac6d19bb4b3fb593ccd40a5fd54a_34">
              <w:r>
                <w:rPr>
                  <w:rStyle w:val="InternetLink"/>
                  <w:rFonts w:ascii="Times New Roman;serif" w:hAnsi="Times New Roman;serif"/>
                  <w:b w:val="false"/>
                  <w:strike w:val="false"/>
                  <w:dstrike w:val="false"/>
                  <w:color w:val="0000FF"/>
                  <w:sz w:val="20"/>
                  <w:u w:val="none"/>
                  <w:effect w:val="none"/>
                </w:rPr>
                <w:t>9</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82">
              <w:r>
                <w:rPr>
                  <w:rStyle w:val="InternetLink"/>
                  <w:rFonts w:ascii="Times New Roman;serif" w:hAnsi="Times New Roman;serif"/>
                  <w:b w:val="false"/>
                  <w:strike w:val="false"/>
                  <w:dstrike w:val="false"/>
                  <w:color w:val="0000FF"/>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1c7ac6d19bb4b3fb593ccd40a5fd54a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82">
              <w:r>
                <w:rPr>
                  <w:rStyle w:val="InternetLink"/>
                  <w:rFonts w:ascii="Times New Roman;serif" w:hAnsi="Times New Roman;serif"/>
                  <w:b w:val="false"/>
                  <w:strike w:val="false"/>
                  <w:dstrike w:val="false"/>
                  <w:color w:val="0000FF"/>
                  <w:sz w:val="20"/>
                  <w:u w:val="none"/>
                  <w:effect w:val="none"/>
                </w:rPr>
                <w:t>28</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12">
              <w:r>
                <w:rPr>
                  <w:rStyle w:val="InternetLink"/>
                  <w:rFonts w:ascii="Times New Roman;serif" w:hAnsi="Times New Roman;serif"/>
                  <w:b w:val="false"/>
                  <w:strike w:val="false"/>
                  <w:dstrike w:val="false"/>
                  <w:color w:val="0000FF"/>
                  <w:sz w:val="20"/>
                  <w:u w:val="none"/>
                  <w:effect w:val="non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c7ac6d19bb4b3fb593ccd40a5fd54a_112">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112">
              <w:r>
                <w:rPr>
                  <w:rStyle w:val="InternetLink"/>
                  <w:rFonts w:ascii="Times New Roman;serif" w:hAnsi="Times New Roman;serif"/>
                  <w:b w:val="false"/>
                  <w:strike w:val="false"/>
                  <w:dstrike w:val="false"/>
                  <w:color w:val="0000FF"/>
                  <w:sz w:val="20"/>
                  <w:u w:val="none"/>
                  <w:effect w:val="none"/>
                </w:rPr>
                <w:t>41</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15">
              <w:r>
                <w:rPr>
                  <w:rStyle w:val="InternetLink"/>
                  <w:rFonts w:ascii="Times New Roman;serif" w:hAnsi="Times New Roman;serif"/>
                  <w:b w:val="false"/>
                  <w:strike w:val="false"/>
                  <w:dstrike w:val="false"/>
                  <w:color w:val="0000FF"/>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15">
              <w:r>
                <w:rPr>
                  <w:rStyle w:val="InternetLink"/>
                  <w:rFonts w:ascii="Times New Roman;serif" w:hAnsi="Times New Roman;serif"/>
                  <w:b w:val="false"/>
                  <w:color w:val="0000FF"/>
                  <w:sz w:val="20"/>
                  <w:u w:val="single"/>
                </w:rPr>
                <w:t>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115">
              <w:r>
                <w:rPr>
                  <w:rStyle w:val="InternetLink"/>
                  <w:rFonts w:ascii="Times New Roman;serif" w:hAnsi="Times New Roman;serif"/>
                  <w:b w:val="false"/>
                  <w:strike w:val="false"/>
                  <w:dstrike w:val="false"/>
                  <w:color w:val="0000FF"/>
                  <w:sz w:val="20"/>
                  <w:u w:val="none"/>
                  <w:effect w:val="none"/>
                </w:rPr>
                <w:t>42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18">
              <w:r>
                <w:rPr>
                  <w:rStyle w:val="InternetLink"/>
                  <w:rFonts w:ascii="Times New Roman;serif" w:hAnsi="Times New Roman;serif"/>
                  <w:b/>
                  <w:color w:val="0000FF"/>
                  <w:sz w:val="20"/>
                  <w:u w:val="single"/>
                </w:rPr>
                <w:t>PART II.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118">
              <w:r>
                <w:rPr>
                  <w:rStyle w:val="InternetLink"/>
                  <w:rFonts w:ascii="Times New Roman;serif" w:hAnsi="Times New Roman;serif"/>
                  <w:b w:val="false"/>
                  <w:strike w:val="false"/>
                  <w:dstrike w:val="false"/>
                  <w:color w:val="0000FF"/>
                  <w:sz w:val="20"/>
                  <w:u w:val="none"/>
                  <w:effect w:val="none"/>
                </w:rPr>
                <w:t>43</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21">
              <w:r>
                <w:rPr>
                  <w:rStyle w:val="InternetLink"/>
                  <w:rFonts w:ascii="Times New Roman;serif" w:hAnsi="Times New Roman;serif"/>
                  <w:b w:val="false"/>
                  <w:strike w:val="false"/>
                  <w:dstrike w:val="false"/>
                  <w:color w:val="0000FF"/>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21">
              <w:r>
                <w:rPr>
                  <w:rStyle w:val="InternetLink"/>
                  <w:rFonts w:ascii="Times New Roman;serif" w:hAnsi="Times New Roman;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121">
              <w:r>
                <w:rPr>
                  <w:rStyle w:val="InternetLink"/>
                  <w:rFonts w:ascii="Times New Roman;serif" w:hAnsi="Times New Roman;serif"/>
                  <w:b w:val="false"/>
                  <w:strike w:val="false"/>
                  <w:dstrike w:val="false"/>
                  <w:color w:val="0000FF"/>
                  <w:sz w:val="20"/>
                  <w:u w:val="none"/>
                  <w:effect w:val="none"/>
                </w:rPr>
                <w:t>43</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27">
              <w:r>
                <w:rPr>
                  <w:rStyle w:val="InternetLink"/>
                  <w:rFonts w:ascii="Times New Roman;serif" w:hAnsi="Times New Roman;serif"/>
                  <w:b w:val="false"/>
                  <w:strike w:val="false"/>
                  <w:dstrike w:val="false"/>
                  <w:color w:val="0000FF"/>
                  <w:sz w:val="20"/>
                  <w:u w:val="none"/>
                  <w:effect w:val="non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27">
              <w:r>
                <w:rPr>
                  <w:rStyle w:val="InternetLink"/>
                  <w:rFonts w:ascii="Times New Roman;serif" w:hAnsi="Times New Roman;serif"/>
                  <w:b w:val="false"/>
                  <w:color w:val="0000FF"/>
                  <w:sz w:val="20"/>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127">
              <w:r>
                <w:rPr>
                  <w:rStyle w:val="InternetLink"/>
                  <w:rFonts w:ascii="Times New Roman;serif" w:hAnsi="Times New Roman;serif"/>
                  <w:b w:val="false"/>
                  <w:strike w:val="false"/>
                  <w:dstrike w:val="false"/>
                  <w:color w:val="0000FF"/>
                  <w:sz w:val="20"/>
                  <w:u w:val="none"/>
                  <w:effect w:val="none"/>
                </w:rPr>
                <w:t>45</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30">
              <w:r>
                <w:rPr>
                  <w:rStyle w:val="InternetLink"/>
                  <w:rFonts w:ascii="Times New Roman;serif" w:hAnsi="Times New Roman;serif"/>
                  <w:b w:val="false"/>
                  <w:strike w:val="false"/>
                  <w:dstrike w:val="false"/>
                  <w:color w:val="0000FF"/>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30">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130">
              <w:r>
                <w:rPr>
                  <w:rStyle w:val="InternetLink"/>
                  <w:rFonts w:ascii="Times New Roman;serif" w:hAnsi="Times New Roman;serif"/>
                  <w:b w:val="false"/>
                  <w:strike w:val="false"/>
                  <w:dstrike w:val="false"/>
                  <w:color w:val="0000FF"/>
                  <w:sz w:val="20"/>
                  <w:u w:val="none"/>
                  <w:effect w:val="none"/>
                </w:rPr>
                <w:t>45</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36">
              <w:r>
                <w:rPr>
                  <w:rStyle w:val="InternetLink"/>
                  <w:rFonts w:ascii="Times New Roman;serif" w:hAnsi="Times New Roman;serif"/>
                  <w:b w:val="false"/>
                  <w:strike w:val="false"/>
                  <w:dstrike w:val="false"/>
                  <w:color w:val="0000FF"/>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36">
              <w:r>
                <w:rPr>
                  <w:rStyle w:val="InternetLink"/>
                  <w:rFonts w:ascii="Times New Roman;serif" w:hAnsi="Times New Roman;serif"/>
                  <w:b w:val="false"/>
                  <w:color w:val="0000FF"/>
                  <w:sz w:val="20"/>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136">
              <w:r>
                <w:rPr>
                  <w:rStyle w:val="InternetLink"/>
                  <w:rFonts w:ascii="Times New Roman;serif" w:hAnsi="Times New Roman;serif"/>
                  <w:b w:val="false"/>
                  <w:strike w:val="false"/>
                  <w:dstrike w:val="false"/>
                  <w:color w:val="0000FF"/>
                  <w:sz w:val="20"/>
                  <w:u w:val="none"/>
                  <w:effect w:val="none"/>
                </w:rPr>
                <w:t>45</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39">
              <w:r>
                <w:rPr>
                  <w:rStyle w:val="InternetLink"/>
                  <w:rFonts w:ascii="Times New Roman;serif" w:hAnsi="Times New Roman;serif"/>
                  <w:b w:val="false"/>
                  <w:strike w:val="false"/>
                  <w:dstrike w:val="false"/>
                  <w:color w:val="0000FF"/>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39">
              <w:r>
                <w:rPr>
                  <w:rStyle w:val="InternetLink"/>
                  <w:rFonts w:ascii="Times New Roman;serif" w:hAnsi="Times New Roman;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139">
              <w:r>
                <w:rPr>
                  <w:rStyle w:val="InternetLink"/>
                  <w:rFonts w:ascii="Times New Roman;serif" w:hAnsi="Times New Roman;serif"/>
                  <w:b w:val="false"/>
                  <w:strike w:val="false"/>
                  <w:dstrike w:val="false"/>
                  <w:color w:val="0000FF"/>
                  <w:sz w:val="20"/>
                  <w:u w:val="none"/>
                  <w:effect w:val="none"/>
                </w:rPr>
                <w:t>45</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42">
              <w:r>
                <w:rPr>
                  <w:rStyle w:val="InternetLink"/>
                  <w:rFonts w:ascii="Times New Roman;serif" w:hAnsi="Times New Roman;serif"/>
                  <w:b w:val="false"/>
                  <w:strike w:val="false"/>
                  <w:dstrike w:val="false"/>
                  <w:color w:val="0000FF"/>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42">
              <w:r>
                <w:rPr>
                  <w:rStyle w:val="InternetLink"/>
                  <w:rFonts w:ascii="Times New Roman;serif" w:hAnsi="Times New Roman;serif"/>
                  <w:b w:val="false"/>
                  <w:color w:val="0000FF"/>
                  <w:sz w:val="20"/>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142">
              <w:r>
                <w:rPr>
                  <w:rStyle w:val="InternetLink"/>
                  <w:rFonts w:ascii="Times New Roman;serif" w:hAnsi="Times New Roman;serif"/>
                  <w:b w:val="false"/>
                  <w:strike w:val="false"/>
                  <w:dstrike w:val="false"/>
                  <w:color w:val="0000FF"/>
                  <w:sz w:val="20"/>
                  <w:u w:val="none"/>
                  <w:effect w:val="none"/>
                </w:rPr>
                <w:t>45</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c7ac6d19bb4b3fb593ccd40a5fd54a_148">
              <w:r>
                <w:rPr>
                  <w:rStyle w:val="InternetLink"/>
                  <w:rFonts w:ascii="Times New Roman;serif" w:hAnsi="Times New Roman;serif"/>
                  <w:b w:val="false"/>
                  <w:strike w:val="false"/>
                  <w:dstrike w:val="false"/>
                  <w:color w:val="0000FF"/>
                  <w:sz w:val="20"/>
                  <w:u w:val="none"/>
                  <w:effect w:val="non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c7ac6d19bb4b3fb593ccd40a5fd54a_148">
              <w:r>
                <w:rPr>
                  <w:rStyle w:val="InternetLink"/>
                  <w:rFonts w:ascii="Times New Roman;serif" w:hAnsi="Times New Roman;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1c7ac6d19bb4b3fb593ccd40a5fd54a_148">
              <w:r>
                <w:rPr>
                  <w:rStyle w:val="InternetLink"/>
                  <w:rFonts w:ascii="Times New Roman;serif" w:hAnsi="Times New Roman;serif"/>
                  <w:b w:val="false"/>
                  <w:strike w:val="false"/>
                  <w:dstrike w:val="false"/>
                  <w:color w:val="0000FF"/>
                  <w:sz w:val="20"/>
                  <w:u w:val="none"/>
                  <w:effect w:val="none"/>
                </w:rPr>
                <w:t>46</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1c7ac6d19bb4b3fb593ccd40a5fd54a_154">
              <w:r>
                <w:rPr>
                  <w:rStyle w:val="InternetLink"/>
                  <w:rFonts w:ascii="Times New Roman;serif" w:hAnsi="Times New Roman;serif"/>
                  <w:b/>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e1c7ac6d19bb4b3fb593ccd40a5fd54a_154">
              <w:r>
                <w:rPr>
                  <w:rStyle w:val="InternetLink"/>
                  <w:rFonts w:ascii="Times New Roman;serif" w:hAnsi="Times New Roman;serif"/>
                  <w:b w:val="false"/>
                  <w:strike w:val="false"/>
                  <w:dstrike w:val="false"/>
                  <w:color w:val="0000FF"/>
                  <w:sz w:val="20"/>
                  <w:u w:val="none"/>
                  <w:effect w:val="none"/>
                </w:rPr>
                <w:t>47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80" w:after="283"/>
        <w:jc w:val="center"/>
        <w:rPr>
          <w:rFonts w:ascii="Times New Roman;serif" w:hAnsi="Times New Roman;serif"/>
          <w:b/>
          <w:color w:val="BF2115"/>
          <w:sz w:val="24"/>
        </w:rPr>
      </w:pPr>
      <w:r>
        <w:rPr>
          <w:rFonts w:ascii="Times New Roman;serif" w:hAnsi="Times New Roman;serif"/>
          <w:b/>
          <w:color w:val="BF2115"/>
          <w:sz w:val="24"/>
        </w:rPr>
        <w:t>PART I - FINANCIAL INFORMATION</w:t>
      </w: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615" w:type="dxa"/>
        <w:jc w:val="left"/>
        <w:tblInd w:w="0" w:type="dxa"/>
        <w:tblLayout w:type="fixed"/>
        <w:tblCellMar>
          <w:top w:w="28" w:type="dxa"/>
          <w:left w:w="28" w:type="dxa"/>
          <w:bottom w:w="28" w:type="dxa"/>
          <w:right w:w="28" w:type="dxa"/>
        </w:tblCellMar>
      </w:tblPr>
      <w:tblGrid>
        <w:gridCol w:w="1485"/>
        <w:gridCol w:w="1303"/>
        <w:gridCol w:w="1307"/>
        <w:gridCol w:w="330"/>
        <w:gridCol w:w="1090"/>
        <w:gridCol w:w="184"/>
        <w:gridCol w:w="109"/>
        <w:gridCol w:w="109"/>
        <w:gridCol w:w="109"/>
        <w:gridCol w:w="313"/>
        <w:gridCol w:w="1031"/>
        <w:gridCol w:w="245"/>
      </w:tblGrid>
      <w:tr>
        <w:trPr/>
        <w:tc>
          <w:tcPr>
            <w:tcW w:w="148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and advances to unconsolidated affiliates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other than goodwill</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 net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other liabilities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financing obligations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Commitments and contingencies (</w:t>
            </w:r>
            <w:hyperlink w:anchor="ie1c7ac6d19bb4b3fb593ccd40a5fd54a_49">
              <w:r>
                <w:rPr>
                  <w:rStyle w:val="InternetLink"/>
                  <w:rFonts w:ascii="Times New Roman;serif" w:hAnsi="Times New Roman;serif"/>
                  <w:b w:val="false"/>
                  <w:color w:val="0000FF"/>
                  <w:sz w:val="18"/>
                  <w:u w:val="single"/>
                </w:rPr>
                <w:t>Note 5</w:t>
              </w:r>
            </w:hyperlink>
            <w:r>
              <w:rPr>
                <w:rFonts w:ascii="Times New Roman;serif" w:hAnsi="Times New Roman;serif"/>
                <w:b w:val="false"/>
                <w:color w:val="000000"/>
                <w:sz w:val="18"/>
              </w:rPr>
              <w:t>)</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stockholders’ equity</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32,590 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04165"/>
                <wp:effectExtent l="0" t="0" r="0" b="0"/>
                <wp:wrapNone/>
                <wp:docPr id="3" name="Frame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711" w:type="dxa"/>
        <w:jc w:val="left"/>
        <w:tblInd w:w="0" w:type="dxa"/>
        <w:tblLayout w:type="fixed"/>
        <w:tblCellMar>
          <w:top w:w="28" w:type="dxa"/>
          <w:left w:w="28" w:type="dxa"/>
          <w:bottom w:w="28" w:type="dxa"/>
          <w:right w:w="28" w:type="dxa"/>
        </w:tblCellMar>
      </w:tblPr>
      <w:tblGrid>
        <w:gridCol w:w="1320"/>
        <w:gridCol w:w="1157"/>
        <w:gridCol w:w="1168"/>
        <w:gridCol w:w="277"/>
        <w:gridCol w:w="785"/>
        <w:gridCol w:w="154"/>
        <w:gridCol w:w="154"/>
        <w:gridCol w:w="154"/>
        <w:gridCol w:w="154"/>
        <w:gridCol w:w="277"/>
        <w:gridCol w:w="785"/>
        <w:gridCol w:w="154"/>
        <w:gridCol w:w="109"/>
        <w:gridCol w:w="109"/>
        <w:gridCol w:w="109"/>
        <w:gridCol w:w="266"/>
        <w:gridCol w:w="756"/>
        <w:gridCol w:w="148"/>
        <w:gridCol w:w="148"/>
        <w:gridCol w:w="148"/>
        <w:gridCol w:w="148"/>
        <w:gridCol w:w="266"/>
        <w:gridCol w:w="756"/>
        <w:gridCol w:w="209"/>
      </w:tblGrid>
      <w:tr>
        <w:trPr/>
        <w:tc>
          <w:tcPr>
            <w:tcW w:w="132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other costs, net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Caesars</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 loss per share - basic and diluted:</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loss per share</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loss per share</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basic shares outstanding</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diluted shares outstanding</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04165"/>
                <wp:effectExtent l="0" t="0" r="0" b="0"/>
                <wp:wrapNone/>
                <wp:docPr id="4" name="Frame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78"/>
        <w:gridCol w:w="1353"/>
        <w:gridCol w:w="1357"/>
        <w:gridCol w:w="332"/>
        <w:gridCol w:w="684"/>
        <w:gridCol w:w="184"/>
        <w:gridCol w:w="184"/>
        <w:gridCol w:w="184"/>
        <w:gridCol w:w="184"/>
        <w:gridCol w:w="332"/>
        <w:gridCol w:w="531"/>
        <w:gridCol w:w="184"/>
        <w:gridCol w:w="109"/>
        <w:gridCol w:w="109"/>
        <w:gridCol w:w="109"/>
        <w:gridCol w:w="277"/>
        <w:gridCol w:w="697"/>
        <w:gridCol w:w="153"/>
        <w:gridCol w:w="153"/>
        <w:gridCol w:w="153"/>
        <w:gridCol w:w="153"/>
        <w:gridCol w:w="277"/>
        <w:gridCol w:w="697"/>
        <w:gridCol w:w="231"/>
      </w:tblGrid>
      <w:tr>
        <w:trPr/>
        <w:tc>
          <w:tcPr>
            <w:tcW w:w="157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Caesars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4165"/>
                <wp:effectExtent l="0" t="0" r="0" b="0"/>
                <wp:wrapNone/>
                <wp:docPr id="5" name="Frame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475" w:type="dxa"/>
        <w:jc w:val="left"/>
        <w:tblInd w:w="0" w:type="dxa"/>
        <w:tblLayout w:type="fixed"/>
        <w:tblCellMar>
          <w:top w:w="28" w:type="dxa"/>
          <w:left w:w="28" w:type="dxa"/>
          <w:bottom w:w="28" w:type="dxa"/>
          <w:right w:w="28" w:type="dxa"/>
        </w:tblCellMar>
      </w:tblPr>
      <w:tblGrid>
        <w:gridCol w:w="755"/>
        <w:gridCol w:w="215"/>
        <w:gridCol w:w="216"/>
        <w:gridCol w:w="210"/>
        <w:gridCol w:w="210"/>
        <w:gridCol w:w="211"/>
        <w:gridCol w:w="109"/>
        <w:gridCol w:w="109"/>
        <w:gridCol w:w="109"/>
        <w:gridCol w:w="207"/>
        <w:gridCol w:w="428"/>
        <w:gridCol w:w="116"/>
        <w:gridCol w:w="109"/>
        <w:gridCol w:w="109"/>
        <w:gridCol w:w="109"/>
        <w:gridCol w:w="210"/>
        <w:gridCol w:w="211"/>
        <w:gridCol w:w="211"/>
        <w:gridCol w:w="109"/>
        <w:gridCol w:w="109"/>
        <w:gridCol w:w="109"/>
        <w:gridCol w:w="207"/>
        <w:gridCol w:w="428"/>
        <w:gridCol w:w="116"/>
        <w:gridCol w:w="109"/>
        <w:gridCol w:w="109"/>
        <w:gridCol w:w="109"/>
        <w:gridCol w:w="196"/>
        <w:gridCol w:w="556"/>
        <w:gridCol w:w="109"/>
        <w:gridCol w:w="109"/>
        <w:gridCol w:w="109"/>
        <w:gridCol w:w="109"/>
        <w:gridCol w:w="251"/>
        <w:gridCol w:w="733"/>
        <w:gridCol w:w="142"/>
        <w:gridCol w:w="109"/>
        <w:gridCol w:w="109"/>
        <w:gridCol w:w="109"/>
        <w:gridCol w:w="402"/>
        <w:gridCol w:w="679"/>
        <w:gridCol w:w="225"/>
        <w:gridCol w:w="109"/>
        <w:gridCol w:w="109"/>
        <w:gridCol w:w="109"/>
        <w:gridCol w:w="223"/>
        <w:gridCol w:w="463"/>
        <w:gridCol w:w="125"/>
        <w:gridCol w:w="109"/>
        <w:gridCol w:w="109"/>
        <w:gridCol w:w="109"/>
        <w:gridCol w:w="340"/>
        <w:gridCol w:w="731"/>
        <w:gridCol w:w="190"/>
        <w:gridCol w:w="109"/>
        <w:gridCol w:w="109"/>
        <w:gridCol w:w="109"/>
        <w:gridCol w:w="263"/>
        <w:gridCol w:w="746"/>
        <w:gridCol w:w="207"/>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2025</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30, 2025</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4165"/>
                <wp:effectExtent l="0" t="0" r="0" b="0"/>
                <wp:wrapNone/>
                <wp:docPr id="6" name="Frame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80" w:after="283"/>
        <w:jc w:val="left"/>
        <w:rPr/>
      </w:pPr>
      <w:r>
        <w:rPr/>
      </w:r>
    </w:p>
    <w:tbl>
      <w:tblPr>
        <w:tblW w:w="13475" w:type="dxa"/>
        <w:jc w:val="left"/>
        <w:tblInd w:w="0" w:type="dxa"/>
        <w:tblLayout w:type="fixed"/>
        <w:tblCellMar>
          <w:top w:w="28" w:type="dxa"/>
          <w:left w:w="28" w:type="dxa"/>
          <w:bottom w:w="28" w:type="dxa"/>
          <w:right w:w="28" w:type="dxa"/>
        </w:tblCellMar>
      </w:tblPr>
      <w:tblGrid>
        <w:gridCol w:w="755"/>
        <w:gridCol w:w="215"/>
        <w:gridCol w:w="216"/>
        <w:gridCol w:w="210"/>
        <w:gridCol w:w="210"/>
        <w:gridCol w:w="211"/>
        <w:gridCol w:w="109"/>
        <w:gridCol w:w="109"/>
        <w:gridCol w:w="109"/>
        <w:gridCol w:w="207"/>
        <w:gridCol w:w="428"/>
        <w:gridCol w:w="116"/>
        <w:gridCol w:w="109"/>
        <w:gridCol w:w="109"/>
        <w:gridCol w:w="109"/>
        <w:gridCol w:w="210"/>
        <w:gridCol w:w="211"/>
        <w:gridCol w:w="211"/>
        <w:gridCol w:w="109"/>
        <w:gridCol w:w="109"/>
        <w:gridCol w:w="109"/>
        <w:gridCol w:w="207"/>
        <w:gridCol w:w="428"/>
        <w:gridCol w:w="116"/>
        <w:gridCol w:w="109"/>
        <w:gridCol w:w="109"/>
        <w:gridCol w:w="109"/>
        <w:gridCol w:w="196"/>
        <w:gridCol w:w="556"/>
        <w:gridCol w:w="109"/>
        <w:gridCol w:w="109"/>
        <w:gridCol w:w="109"/>
        <w:gridCol w:w="109"/>
        <w:gridCol w:w="251"/>
        <w:gridCol w:w="733"/>
        <w:gridCol w:w="142"/>
        <w:gridCol w:w="109"/>
        <w:gridCol w:w="109"/>
        <w:gridCol w:w="109"/>
        <w:gridCol w:w="402"/>
        <w:gridCol w:w="679"/>
        <w:gridCol w:w="225"/>
        <w:gridCol w:w="109"/>
        <w:gridCol w:w="109"/>
        <w:gridCol w:w="109"/>
        <w:gridCol w:w="223"/>
        <w:gridCol w:w="463"/>
        <w:gridCol w:w="125"/>
        <w:gridCol w:w="109"/>
        <w:gridCol w:w="109"/>
        <w:gridCol w:w="109"/>
        <w:gridCol w:w="340"/>
        <w:gridCol w:w="731"/>
        <w:gridCol w:w="190"/>
        <w:gridCol w:w="109"/>
        <w:gridCol w:w="109"/>
        <w:gridCol w:w="109"/>
        <w:gridCol w:w="263"/>
        <w:gridCol w:w="746"/>
        <w:gridCol w:w="207"/>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2023</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4,720 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Shares withheld related to net share settlement of stock awards </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2024</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stock awards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Cancellation of shares issued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2024</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September 30, 2024</w:t>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4165"/>
                <wp:effectExtent l="0" t="0" r="0" b="0"/>
                <wp:wrapNone/>
                <wp:docPr id="7" name="Frame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97"/>
        <w:gridCol w:w="2414"/>
        <w:gridCol w:w="2441"/>
        <w:gridCol w:w="239"/>
        <w:gridCol w:w="576"/>
        <w:gridCol w:w="133"/>
        <w:gridCol w:w="133"/>
        <w:gridCol w:w="133"/>
        <w:gridCol w:w="133"/>
        <w:gridCol w:w="239"/>
        <w:gridCol w:w="576"/>
        <w:gridCol w:w="191"/>
      </w:tblGrid>
      <w:tr>
        <w:trPr/>
        <w:tc>
          <w:tcPr>
            <w:tcW w:w="2997"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7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discounts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amortization</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investments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and disposal of trademarks, property and equipment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 to net loss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 and payable, net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intangible assets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trademarks, property and equipment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 from unconsolidated affiliate</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 and revolving credit facilities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 and revolving credit facilities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 payments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and extinguishment costs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 owners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Decrease in cash, cash equivalents and restricted cash</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 TO AMOUNTS REPORTED WITHIN THE CONSOLIDATED CONDENSED BALANCE SHEETS:</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and escrow cash included in other long-term assets, net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7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4165"/>
                <wp:effectExtent l="0" t="0" r="0" b="0"/>
                <wp:wrapNone/>
                <wp:docPr id="8" name="Frame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80" w:after="283"/>
        <w:jc w:val="left"/>
        <w:rPr/>
      </w:pPr>
      <w:r>
        <w:rPr/>
      </w:r>
    </w:p>
    <w:tbl>
      <w:tblPr>
        <w:tblW w:w="8308" w:type="dxa"/>
        <w:jc w:val="center"/>
        <w:tblInd w:w="0" w:type="dxa"/>
        <w:tblLayout w:type="fixed"/>
        <w:tblCellMar>
          <w:top w:w="28" w:type="dxa"/>
          <w:left w:w="28" w:type="dxa"/>
          <w:bottom w:w="28" w:type="dxa"/>
          <w:right w:w="28" w:type="dxa"/>
        </w:tblCellMar>
      </w:tblPr>
      <w:tblGrid>
        <w:gridCol w:w="1976"/>
        <w:gridCol w:w="1733"/>
        <w:gridCol w:w="1751"/>
        <w:gridCol w:w="306"/>
        <w:gridCol w:w="658"/>
        <w:gridCol w:w="170"/>
        <w:gridCol w:w="170"/>
        <w:gridCol w:w="170"/>
        <w:gridCol w:w="170"/>
        <w:gridCol w:w="306"/>
        <w:gridCol w:w="658"/>
        <w:gridCol w:w="240"/>
      </w:tblGrid>
      <w:tr>
        <w:trPr/>
        <w:tc>
          <w:tcPr>
            <w:tcW w:w="197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paid for debt</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paid for rent related to financing obligations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for capital expenditures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of intangible assets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4165"/>
                <wp:effectExtent l="0" t="0" r="0" b="0"/>
                <wp:wrapNone/>
                <wp:docPr id="9" name="Frame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This Form 10-Q should be read in conjunction with our Annual Report on Form 10-K for the year ended December 31, 2024 (the “2024 Annual Report”). Capitalized terms used but not defined in this Form 10-Q have the same meanings as in the 2024 Annual Report.</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pStyle w:val="TextBody"/>
        <w:bidi w:val="0"/>
        <w:spacing w:lineRule="auto" w:line="288" w:before="0" w:after="0"/>
        <w:jc w:val="both"/>
        <w:rPr>
          <w:rFonts w:ascii="Times New Roman;serif" w:hAnsi="Times New Roman;serif"/>
          <w:b/>
          <w:color w:val="BF2115"/>
          <w:sz w:val="24"/>
        </w:rPr>
      </w:pPr>
      <w:r>
        <w:rPr>
          <w:rFonts w:ascii="Times New Roman;serif" w:hAnsi="Times New Roman;serif"/>
          <w:b/>
          <w:color w:val="BF2115"/>
          <w:sz w:val="24"/>
        </w:rPr>
        <w:t>Note 1. Organization and Description of Business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Caesars Entertainment Corporation in 2020 and William Hill PLC in 2021. The Company’s ticker symbol on the NASDAQ Stock Market is “CZR.”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owns, leases, brands or manages an aggregate of 52 domestic properties in 18 states with approximately 51,600 slot machines, video lottery terminals and e-tables, approximately 2,800 table games and approximately 45,600 hotel rooms as of September 30, 2025. In addition, the Company has other properties in North America that are authorized to use the brands and marks of Caesars Entertainment, Inc., as well as other non-gaming properties. The Company’s primary source of revenue is generated by its gaming operations, which includes its casino properties, retail and online sports betting, and online gaming. Additionally, the Company utilizes its hotels, restaurants, bars, entertainment, racing, retail shops and other services to attract customers to its properties.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operations for retail and online sports betting, iGaming, horse racing and online poker are included under the Caesars Digital segment. The Company operates retail and online sports wagering in 33 jurisdictions in North America, 26 of which offer online sports betting, and operates iGaming in five jurisdictions in North America as of September 30, 2025. The Company operates the Caesars Sportsbook app, the Caesars Racebook app, the Caesars Palace Online Casino app and the Horseshoe Online Casino app which initially launched in October 2024. The Company also expects to continue to grow its operations in the Caesars Digital segment as new jurisdictions legalize retail and online sports betting and iGaming.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Divestiture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periodically divests assets that it may not consider core to its business to raise capital or, in some cases, to comply with conditions, terms, obligations or restrictions imposed by antitrust, gaming and other regulatory entities.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December 12, 2024, the Company closed the sale of the LINQ Promenade to a joint venture between TPG Real Estate and the Investment Management Platform of Acadia Realty Trust for $275 million. The LINQ Promenade was reported within the Las Vegas segment. For the three and nine months ended September 30, 2024, the operations of the LINQ Promenade resulted in $7 million and $19 million of net revenues, respectively, and $5 million and $13 million of net income, respectively.</w:t>
      </w:r>
    </w:p>
    <w:p>
      <w:pPr>
        <w:pStyle w:val="TextBody"/>
        <w:bidi w:val="0"/>
        <w:spacing w:lineRule="auto" w:line="288" w:before="180" w:after="283"/>
        <w:jc w:val="both"/>
        <w:rPr/>
      </w:pPr>
      <w:r>
        <w:rPr>
          <w:rFonts w:ascii="Times New Roman;serif" w:hAnsi="Times New Roman;serif"/>
          <w:b w:val="false"/>
          <w:color w:val="000000"/>
          <w:sz w:val="20"/>
        </w:rPr>
        <w:t xml:space="preserve">On October 29, 2024, the Company closed the sale of the World Series of Poker (“WSOP”) trademark to NSUS Group Inc. for total consideration of $500 million, which included a $250 million note receivable. In July 2025, the Company applied the proceeds received from the partial repayment and sale of $225 million of notes receivable to the redemption of outstanding debt. See </w:t>
      </w:r>
      <w:hyperlink w:anchor="ie1c7ac6d19bb4b3fb593ccd40a5fd54a_52">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4165"/>
                <wp:effectExtent l="0" t="0" r="0" b="0"/>
                <wp:wrapNone/>
                <wp:docPr id="10" name="Frame1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2. Basis of Presentation and Significant Accounting Policies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Financial Statements of the Company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pStyle w:val="TextBody"/>
        <w:bidi w:val="0"/>
        <w:spacing w:lineRule="auto" w:line="288" w:before="180" w:after="283"/>
        <w:jc w:val="both"/>
        <w:rPr/>
      </w:pPr>
      <w:r>
        <w:rPr>
          <w:rFonts w:ascii="Times New Roman;serif" w:hAnsi="Times New Roman;serif"/>
          <w:b w:val="false"/>
          <w:color w:val="000000"/>
          <w:sz w:val="20"/>
        </w:rPr>
        <w:t xml:space="preserve">The presentation of financial information herein for the periods after the divestiture of the LINQ Promenade is not fully comparable to the periods prior to such divestiture. See </w:t>
      </w:r>
      <w:hyperlink w:anchor="ie1c7ac6d19bb4b3fb593ccd40a5fd54a_34">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Financial Statements include the accounts of Caesars Entertainment, Inc. and its subsidiaries after elimination of all intercompany accounts and transactions.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Consolidation of Subsidiaries and Variable Interest Entities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if a reconsideration event occurs, to determine if the investment qualifies, or continues to qualify, as a VIE. If we determine an investment qualifies, or no longer qualifies, as a VIE, there may be a material effect to our Financial Statements.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measures certain of its financial assets and liabilities at fair value, on a recurring basis, which is the price that would be received to sell an asset or paid to transfer a liability in an orderly transaction between market participants. Levels of the hierarchy prioritize the inputs used to measure fair value and include: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1: Observable inputs such as quoted prices in active markets.</w:t>
      </w:r>
    </w:p>
    <w:p>
      <w:pPr>
        <w:pStyle w:val="TextBody"/>
        <w:bidi w:val="0"/>
        <w:spacing w:lineRule="auto" w:line="288" w:before="180" w:after="283"/>
        <w:ind w:left="0" w:right="0" w:hanging="360"/>
        <w:jc w:val="both"/>
        <w:rPr/>
      </w:pPr>
      <w:r>
        <w:rPr>
          <w:color w:val="212529"/>
        </w:rPr>
        <w:t>•</w:t>
      </w:r>
      <w:r>
        <w:rPr>
          <w:rFonts w:ascii="Times New Roman;serif" w:hAnsi="Times New Roman;serif"/>
          <w:b w:val="false"/>
          <w:color w:val="000000"/>
          <w:sz w:val="20"/>
        </w:rPr>
        <w:t>Level 2: Inputs other than quoted prices in active markets that are either directly or indirectly observable.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3: Unobservable inputs that reflect the Company’s own assumptions, as there is little, if any, related market activity.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Cash equivalents include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 Cash and cash equivalents also include cash maintained for gaming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Restricted cash includes cash or cash equivalents held in certificates of deposit accounts or money market type funds, that are not subject to remeasurement on a recurring basis, which are restricted under certain operating agreements or restricted for future capital expenditures in the normal course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4165"/>
                <wp:effectExtent l="0" t="0" r="0" b="0"/>
                <wp:wrapNone/>
                <wp:docPr id="11" name="Frame1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Marketable Securities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Marketable securities consist primarily of trading securities held by the Company’s deferred compensation plans. The estimated fair values of the Company’s marketable securities are determined on an individual asset basis based upon quoted prices of identical assets available in active markets (Level 1) and represent the amounts the Company would expect to receive if the Company sold these marketable securities. As of both September 30, 2025 and December 31, 2024, the Company held $2 million in Level 1 securities.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may enter into derivative instruments to hedge the risk of fluctuations in interest rates, foreign exchange rates or pricing for other commodities. These agreements are designated as cash flow hedges. As of September 30, 2025 and December 31, 2024, the Company did not hold any cash flow hedges or any derivative financial instruments for trading purposes.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Advertising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in the period the advertising first occurs. Advertising costs for the three months ended September 30, 2025 and 2024 were $62 million and $52 million, respectively, and for the nine months ended September 30, 2025 and 2024 totaled $171 million and $164 million, respectively, and are included within operating expenses. Advertising costs related to the Caesars Digital segment are primarily recorded in Casino expense.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8014" w:type="dxa"/>
        <w:jc w:val="left"/>
        <w:tblInd w:w="0" w:type="dxa"/>
        <w:tblLayout w:type="fixed"/>
        <w:tblCellMar>
          <w:top w:w="28" w:type="dxa"/>
          <w:left w:w="28" w:type="dxa"/>
          <w:bottom w:w="28" w:type="dxa"/>
          <w:right w:w="28" w:type="dxa"/>
        </w:tblCellMar>
      </w:tblPr>
      <w:tblGrid>
        <w:gridCol w:w="707"/>
        <w:gridCol w:w="620"/>
        <w:gridCol w:w="622"/>
        <w:gridCol w:w="319"/>
        <w:gridCol w:w="685"/>
        <w:gridCol w:w="177"/>
        <w:gridCol w:w="177"/>
        <w:gridCol w:w="177"/>
        <w:gridCol w:w="177"/>
        <w:gridCol w:w="319"/>
        <w:gridCol w:w="685"/>
        <w:gridCol w:w="177"/>
        <w:gridCol w:w="109"/>
        <w:gridCol w:w="109"/>
        <w:gridCol w:w="109"/>
        <w:gridCol w:w="266"/>
        <w:gridCol w:w="756"/>
        <w:gridCol w:w="148"/>
        <w:gridCol w:w="148"/>
        <w:gridCol w:w="148"/>
        <w:gridCol w:w="148"/>
        <w:gridCol w:w="266"/>
        <w:gridCol w:w="756"/>
        <w:gridCol w:w="209"/>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 net</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Pronouncements to Be Implemented in Future Periods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(“FASB’) issued Accounting Standards Update (“ASU’) 2025-06, “Intangibles-Goodwill and Other-Internal-Use Software: Targeted Improvements to the Accounting for Internal-Use Software.” Currently, entities are required to capitalize development costs incurred for internal-use software depending on the nature of the costs and project stage. The amendments in this update improve the operability of the guidance by removing all references to software development project stages so that guidance is neutral to different software development methods. Amendments in this update are effective for all entities for annual periods beginning after December 15, 2027. An entity may apply the new guidance prospectively, a modified transition approach based on status of project, or retrospectively. We do not expect the amendments in this update to have a material impact on our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Measurement of Credit Losses for Accounts Receivable and Contract Assets.” Amendments in this update provide all entities with a practical expedient in developing reasonable and supportable forecasts when estimating expected credit losses, allowing entities to assume that current conditions as of the balance sheet date do not change for the remaining life of the asset. Amendments in the update should be applied prospectively and will be effective for annual reporting periods beginning after December 15, 2025. We do not expect the amendments in this update to have a material impact on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4165"/>
                <wp:effectExtent l="0" t="0" r="0" b="0"/>
                <wp:wrapNone/>
                <wp:docPr id="12" name="Frame1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(as clarified in January 2025 by ASU 2025-01), FASB issued ASU 2024-03, “Income Statement-Reporting Comprehensive Income-Expense Disaggregation Disclosures,” which requires additional disclosure about specific expense categories in the notes to financial statements. This information is generally not presented in the financial statements today. This update applies to all public business entities and will be effective for annual reporting periods beginning after December 15, 2026, and interim reporting periods within annual reporting periods beginning after December 15, 2027. Early adoption is permitted. We do not expect the amendments in this update to have a material impact on our Financial Statements.</w:t>
      </w:r>
    </w:p>
    <w:p>
      <w:pPr>
        <w:pStyle w:val="TextBody"/>
        <w:bidi w:val="0"/>
        <w:spacing w:lineRule="auto" w:line="288" w:before="180" w:after="283"/>
        <w:jc w:val="both"/>
        <w:rPr/>
      </w:pPr>
      <w:r>
        <w:rPr>
          <w:rFonts w:ascii="Times New Roman;serif" w:hAnsi="Times New Roman;serif"/>
          <w:b w:val="false"/>
          <w:color w:val="000000"/>
          <w:sz w:val="20"/>
        </w:rPr>
        <w:t>In December 2023, the FASB issued ASU 2023-09, “</w:t>
      </w:r>
      <w:r>
        <w:rPr>
          <w:rFonts w:ascii="Times New Roman;serif" w:hAnsi="Times New Roman;serif"/>
          <w:b w:val="false"/>
          <w:i/>
          <w:color w:val="000000"/>
          <w:sz w:val="20"/>
        </w:rPr>
        <w:t>Income Taxes: Improvements to Income Tax Disclosures,</w:t>
      </w:r>
      <w:r>
        <w:rPr>
          <w:color w:val="000000"/>
        </w:rPr>
        <w:t xml:space="preserve">” </w:t>
      </w:r>
      <w:r>
        <w:rPr>
          <w:rFonts w:ascii="Times New Roman;serif" w:hAnsi="Times New Roman;serif"/>
          <w:b w:val="false"/>
          <w:color w:val="000000"/>
          <w:sz w:val="20"/>
        </w:rPr>
        <w:t>which requires disaggregated information about an entity’s effective tax rate reconciliation as well as information on income taxes paid. These updates apply to all entities subject to income taxes and will be effective for annual periods beginning after December 15, 2024. Early adoption is permitted. Updates are to be applied on a prospective basis with the option to apply the standard retrospectively. We do not expect the amendments in this update to have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3. Property and Equipment, net</w:t>
      </w:r>
    </w:p>
    <w:tbl>
      <w:tblPr>
        <w:tblW w:w="7870" w:type="dxa"/>
        <w:jc w:val="left"/>
        <w:tblInd w:w="0" w:type="dxa"/>
        <w:tblLayout w:type="fixed"/>
        <w:tblCellMar>
          <w:top w:w="28" w:type="dxa"/>
          <w:left w:w="28" w:type="dxa"/>
          <w:bottom w:w="28" w:type="dxa"/>
          <w:right w:w="28" w:type="dxa"/>
        </w:tblCellMar>
      </w:tblPr>
      <w:tblGrid>
        <w:gridCol w:w="1576"/>
        <w:gridCol w:w="1383"/>
        <w:gridCol w:w="1391"/>
        <w:gridCol w:w="330"/>
        <w:gridCol w:w="1090"/>
        <w:gridCol w:w="184"/>
        <w:gridCol w:w="109"/>
        <w:gridCol w:w="109"/>
        <w:gridCol w:w="109"/>
        <w:gridCol w:w="313"/>
        <w:gridCol w:w="1031"/>
        <w:gridCol w:w="245"/>
      </w:tblGrid>
      <w:tr>
        <w:trPr/>
        <w:tc>
          <w:tcPr>
            <w:tcW w:w="157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riverboats, and leasehold and land improvements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fixtures, and equipment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14,812 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portion of our property and equipment is subject to various operating leases for which we are the lessor. Leased property includes our hotel rooms, convention space and retail space through various short-term and long-term operating leases.</w:t>
      </w:r>
    </w:p>
    <w:tbl>
      <w:tblPr>
        <w:tblW w:w="8422" w:type="dxa"/>
        <w:jc w:val="left"/>
        <w:tblInd w:w="0" w:type="dxa"/>
        <w:tblLayout w:type="fixed"/>
        <w:tblCellMar>
          <w:top w:w="28" w:type="dxa"/>
          <w:left w:w="28" w:type="dxa"/>
          <w:bottom w:w="28" w:type="dxa"/>
          <w:right w:w="28" w:type="dxa"/>
        </w:tblCellMar>
      </w:tblPr>
      <w:tblGrid>
        <w:gridCol w:w="695"/>
        <w:gridCol w:w="611"/>
        <w:gridCol w:w="614"/>
        <w:gridCol w:w="319"/>
        <w:gridCol w:w="685"/>
        <w:gridCol w:w="177"/>
        <w:gridCol w:w="177"/>
        <w:gridCol w:w="177"/>
        <w:gridCol w:w="177"/>
        <w:gridCol w:w="319"/>
        <w:gridCol w:w="685"/>
        <w:gridCol w:w="177"/>
        <w:gridCol w:w="109"/>
        <w:gridCol w:w="109"/>
        <w:gridCol w:w="109"/>
        <w:gridCol w:w="309"/>
        <w:gridCol w:w="664"/>
        <w:gridCol w:w="171"/>
        <w:gridCol w:w="171"/>
        <w:gridCol w:w="171"/>
        <w:gridCol w:w="171"/>
        <w:gridCol w:w="309"/>
        <w:gridCol w:w="664"/>
        <w:gridCol w:w="171"/>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Depreciation Expense</w:t>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Depreciation is calculated using the straight-line method over the shorter of the estimated useful life of the asset or the related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4. Goodwill and Intangible Assets, net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evaluates for impairment annually on October 1 of each year, or whenever events or circumstances make it more likely than not that an impairment may have occurred. When such events or circumstances are noted, the Company then compares estimated future cash flows, discounted, to the carrying value of the asset. If the discounted cash flows exceed the carrying value, no impairment is recorded. Impairment charges are presented on the Statements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did not recognize any impairment charges. During the nine months ended September 30, 2024, the Company recognized impairment charges in our Regional segment related to trademarks, gaming rights and goodwill totaling $118 million.</w:t>
      </w:r>
    </w:p>
    <w:tbl>
      <w:tblPr>
        <w:tblW w:w="10205" w:type="dxa"/>
        <w:jc w:val="left"/>
        <w:tblInd w:w="0" w:type="dxa"/>
        <w:tblLayout w:type="fixed"/>
        <w:tblCellMar>
          <w:top w:w="28" w:type="dxa"/>
          <w:left w:w="28" w:type="dxa"/>
          <w:bottom w:w="28" w:type="dxa"/>
          <w:right w:w="28" w:type="dxa"/>
        </w:tblCellMar>
      </w:tblPr>
      <w:tblGrid>
        <w:gridCol w:w="1833"/>
        <w:gridCol w:w="1594"/>
        <w:gridCol w:w="1599"/>
        <w:gridCol w:w="579"/>
        <w:gridCol w:w="1245"/>
        <w:gridCol w:w="326"/>
        <w:gridCol w:w="109"/>
        <w:gridCol w:w="109"/>
        <w:gridCol w:w="109"/>
        <w:gridCol w:w="242"/>
        <w:gridCol w:w="798"/>
        <w:gridCol w:w="134"/>
        <w:gridCol w:w="134"/>
        <w:gridCol w:w="134"/>
        <w:gridCol w:w="134"/>
        <w:gridCol w:w="242"/>
        <w:gridCol w:w="687"/>
        <w:gridCol w:w="197"/>
      </w:tblGrid>
      <w:tr>
        <w:trPr/>
        <w:tc>
          <w:tcPr>
            <w:tcW w:w="183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Changes in Carrying Value of Goodwill and Other Intangible Assets</w:t>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Non-Amortizing Intangible Assets</w:t>
            </w:r>
          </w:p>
        </w:tc>
      </w:tr>
      <w:tr>
        <w:trPr/>
        <w:tc>
          <w:tcPr>
            <w:tcW w:w="5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2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Amortizing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Goodwill</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December 31, 2024</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2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customer relationships</w:t>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2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September 30, 2025</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4165"/>
                <wp:effectExtent l="0" t="0" r="0" b="0"/>
                <wp:wrapNone/>
                <wp:docPr id="13" name="Frame1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00"/>
        <w:gridCol w:w="269"/>
        <w:gridCol w:w="270"/>
        <w:gridCol w:w="215"/>
        <w:gridCol w:w="215"/>
        <w:gridCol w:w="216"/>
        <w:gridCol w:w="111"/>
        <w:gridCol w:w="111"/>
        <w:gridCol w:w="111"/>
        <w:gridCol w:w="223"/>
        <w:gridCol w:w="634"/>
        <w:gridCol w:w="124"/>
        <w:gridCol w:w="111"/>
        <w:gridCol w:w="111"/>
        <w:gridCol w:w="111"/>
        <w:gridCol w:w="327"/>
        <w:gridCol w:w="729"/>
        <w:gridCol w:w="183"/>
        <w:gridCol w:w="111"/>
        <w:gridCol w:w="111"/>
        <w:gridCol w:w="111"/>
        <w:gridCol w:w="219"/>
        <w:gridCol w:w="622"/>
        <w:gridCol w:w="121"/>
        <w:gridCol w:w="111"/>
        <w:gridCol w:w="111"/>
        <w:gridCol w:w="111"/>
        <w:gridCol w:w="223"/>
        <w:gridCol w:w="634"/>
        <w:gridCol w:w="124"/>
        <w:gridCol w:w="111"/>
        <w:gridCol w:w="111"/>
        <w:gridCol w:w="111"/>
        <w:gridCol w:w="327"/>
        <w:gridCol w:w="729"/>
        <w:gridCol w:w="183"/>
        <w:gridCol w:w="109"/>
        <w:gridCol w:w="109"/>
        <w:gridCol w:w="109"/>
        <w:gridCol w:w="218"/>
        <w:gridCol w:w="618"/>
        <w:gridCol w:w="190"/>
      </w:tblGrid>
      <w:tr>
        <w:trPr/>
        <w:tc>
          <w:tcPr>
            <w:tcW w:w="6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8852"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Gross Carrying Value and Accumulated Amortization of Intangible Assets Other Than 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Amortizing intangible assets</w:t>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1 - 7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 rights and other</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10 - 34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15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Reacquired rights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24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3 - 6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Non-amortizing intangible assets other than Goodwill</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 rights</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Rewards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amortizing and non-amortizing intangible assets other than Goodwill,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with respect to intangible assets totaled $33 million for both the three months ended September 30, 2025 and 2024, and for the nine months ended September 30, 2025 and 2024 totaled $99 million and $102 million, respectively, which is included in Depreciation and amortization in the Statements of Operations.</w:t>
      </w:r>
    </w:p>
    <w:tbl>
      <w:tblPr>
        <w:tblW w:w="9178" w:type="dxa"/>
        <w:jc w:val="left"/>
        <w:tblInd w:w="0" w:type="dxa"/>
        <w:tblLayout w:type="fixed"/>
        <w:tblCellMar>
          <w:top w:w="28" w:type="dxa"/>
          <w:left w:w="28" w:type="dxa"/>
          <w:bottom w:w="28" w:type="dxa"/>
          <w:right w:w="28" w:type="dxa"/>
        </w:tblCellMar>
      </w:tblPr>
      <w:tblGrid>
        <w:gridCol w:w="1044"/>
        <w:gridCol w:w="915"/>
        <w:gridCol w:w="920"/>
        <w:gridCol w:w="415"/>
        <w:gridCol w:w="702"/>
        <w:gridCol w:w="232"/>
        <w:gridCol w:w="109"/>
        <w:gridCol w:w="109"/>
        <w:gridCol w:w="109"/>
        <w:gridCol w:w="196"/>
        <w:gridCol w:w="42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Estimated Five-Year Amortization</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Estimated amortization expense</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 xml:space="preserve">Note 5. Litigation, Commitments and Contingencies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party to various legal proceedings, which have arisen in the normal course of our business. Such proceedings can be costly, time consuming,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certain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changes in such estimates are not expected to have a material impact on our 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Contractual Commitments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Sports Sponsorship/Partnership Obligations</w:t>
      </w:r>
    </w:p>
    <w:p>
      <w:pPr>
        <w:pStyle w:val="TextBody"/>
        <w:bidi w:val="0"/>
        <w:spacing w:lineRule="auto" w:line="288" w:before="180" w:after="283"/>
        <w:jc w:val="both"/>
        <w:rPr/>
      </w:pPr>
      <w:r>
        <w:rPr>
          <w:rFonts w:ascii="Times New Roman;serif" w:hAnsi="Times New Roman;serif"/>
          <w:b w:val="false"/>
          <w:color w:val="222222"/>
          <w:sz w:val="20"/>
        </w:rPr>
        <w:t xml:space="preserve">The Company has agreements with certain professional sports leagues and teams, sporting event facilities and media companies for tickets, suites, advertising, marketing, promotional and sponsorship opportunities including communication with partner customer databases. Some of the agreements provide Caesars with exclusivity to access the aforementioned rights within the casino and/or sports betting category. As of </w:t>
      </w:r>
      <w:r>
        <w:rPr>
          <w:rFonts w:ascii="Times New Roman;serif" w:hAnsi="Times New Roman;serif"/>
          <w:b w:val="false"/>
          <w:color w:val="000000"/>
          <w:sz w:val="20"/>
        </w:rPr>
        <w:t>September 30, 2025 and December 31, 2024</w:t>
      </w:r>
      <w:r>
        <w:rPr>
          <w:rFonts w:ascii="Times New Roman;serif" w:hAnsi="Times New Roman;serif"/>
          <w:b w:val="false"/>
          <w:color w:val="222222"/>
          <w:sz w:val="20"/>
        </w:rPr>
        <w:t>, obligations related to these agreements were $342 million and $421 million, respectively, with contracts extending through 2040. These obligations are composed of various third-party agreements which have been entered into by the Company for certain of our Las Vegas and Regional properties, or our Caesars Digital segment. The agreements include leasing of event suites that are generally considered short-term leases for which the Company does not record a right of use asset or lease liability. The Company recognizes expenses in the period services are received in accordance with the various agreements. In addition, assets or liabilities may be recorded related to the timing of payments as required by the respective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4165"/>
                <wp:effectExtent l="0" t="0" r="0" b="0"/>
                <wp:wrapNone/>
                <wp:docPr id="14" name="Frame1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Self-Insurance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is self-insured for workers compensation and other risk insurance, as well as health insurance and general liability. The Company’s total estimated self-insurance liability was $224 million and $204 million as of September 30, 2025 and December 31, 2024, respectively, which is included in Accrued other liabilities in our Balance Sheets.</w:t>
      </w:r>
    </w:p>
    <w:p>
      <w:pPr>
        <w:pStyle w:val="TextBody"/>
        <w:bidi w:val="0"/>
        <w:spacing w:lineRule="auto" w:line="288" w:before="180" w:after="283"/>
        <w:jc w:val="both"/>
        <w:rPr>
          <w:rFonts w:ascii="Times New Roman;serif" w:hAnsi="Times New Roman;serif"/>
          <w:b w:val="false"/>
          <w:color w:val="222222"/>
          <w:sz w:val="20"/>
        </w:rPr>
      </w:pPr>
      <w:r>
        <w:rPr>
          <w:rFonts w:ascii="Times New Roman;serif" w:hAnsi="Times New Roman;serif"/>
          <w:b w:val="false"/>
          <w:color w:val="222222"/>
          <w:sz w:val="20"/>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Note 6. Long-Term Debt</w:t>
      </w:r>
    </w:p>
    <w:tbl>
      <w:tblPr>
        <w:tblW w:w="9951" w:type="dxa"/>
        <w:jc w:val="left"/>
        <w:tblInd w:w="0" w:type="dxa"/>
        <w:tblLayout w:type="fixed"/>
        <w:tblCellMar>
          <w:top w:w="28" w:type="dxa"/>
          <w:left w:w="28" w:type="dxa"/>
          <w:bottom w:w="28" w:type="dxa"/>
          <w:right w:w="28" w:type="dxa"/>
        </w:tblCellMar>
      </w:tblPr>
      <w:tblGrid>
        <w:gridCol w:w="1078"/>
        <w:gridCol w:w="950"/>
        <w:gridCol w:w="953"/>
        <w:gridCol w:w="451"/>
        <w:gridCol w:w="451"/>
        <w:gridCol w:w="454"/>
        <w:gridCol w:w="120"/>
        <w:gridCol w:w="120"/>
        <w:gridCol w:w="120"/>
        <w:gridCol w:w="241"/>
        <w:gridCol w:w="241"/>
        <w:gridCol w:w="246"/>
        <w:gridCol w:w="109"/>
        <w:gridCol w:w="109"/>
        <w:gridCol w:w="109"/>
        <w:gridCol w:w="196"/>
        <w:gridCol w:w="646"/>
        <w:gridCol w:w="109"/>
        <w:gridCol w:w="109"/>
        <w:gridCol w:w="109"/>
        <w:gridCol w:w="109"/>
        <w:gridCol w:w="207"/>
        <w:gridCol w:w="683"/>
        <w:gridCol w:w="115"/>
        <w:gridCol w:w="109"/>
        <w:gridCol w:w="109"/>
        <w:gridCol w:w="109"/>
        <w:gridCol w:w="313"/>
        <w:gridCol w:w="1031"/>
        <w:gridCol w:w="245"/>
      </w:tblGrid>
      <w:tr>
        <w:trPr/>
        <w:tc>
          <w:tcPr>
            <w:tcW w:w="10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Final Maturity</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Debt</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Revolving Credit Facility</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Term Loan A</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CVA Revolving Credit Facility</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CVA Delayed Draw Term Loan</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Term Loan B</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Term Loan B-1</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Senior Secured Notes due 2030</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Senior Secured Notes due 2032</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Debt</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Senior Notes due 2029</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CEI Senior Notes due 2032</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CEI Senior Notes due 2027</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Improvement District Bonds</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notes and other payables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finance charges associated with the CEI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discounts and deferred finance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9"/>
        <w:gridCol w:w="624"/>
        <w:gridCol w:w="618"/>
        <w:gridCol w:w="255"/>
        <w:gridCol w:w="548"/>
        <w:gridCol w:w="143"/>
        <w:gridCol w:w="113"/>
        <w:gridCol w:w="113"/>
        <w:gridCol w:w="113"/>
        <w:gridCol w:w="203"/>
        <w:gridCol w:w="438"/>
        <w:gridCol w:w="113"/>
        <w:gridCol w:w="113"/>
        <w:gridCol w:w="113"/>
        <w:gridCol w:w="113"/>
        <w:gridCol w:w="203"/>
        <w:gridCol w:w="438"/>
        <w:gridCol w:w="113"/>
        <w:gridCol w:w="113"/>
        <w:gridCol w:w="113"/>
        <w:gridCol w:w="113"/>
        <w:gridCol w:w="203"/>
        <w:gridCol w:w="578"/>
        <w:gridCol w:w="113"/>
        <w:gridCol w:w="113"/>
        <w:gridCol w:w="113"/>
        <w:gridCol w:w="113"/>
        <w:gridCol w:w="203"/>
        <w:gridCol w:w="578"/>
        <w:gridCol w:w="113"/>
        <w:gridCol w:w="109"/>
        <w:gridCol w:w="109"/>
        <w:gridCol w:w="109"/>
        <w:gridCol w:w="196"/>
        <w:gridCol w:w="646"/>
        <w:gridCol w:w="109"/>
        <w:gridCol w:w="109"/>
        <w:gridCol w:w="109"/>
        <w:gridCol w:w="109"/>
        <w:gridCol w:w="196"/>
        <w:gridCol w:w="646"/>
        <w:gridCol w:w="169"/>
      </w:tblGrid>
      <w:tr>
        <w:trPr/>
        <w:tc>
          <w:tcPr>
            <w:tcW w:w="74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589"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Annual Estimated Debt Service Requirements 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maturities of long-term debt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interest payments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debt service obligation </w:t>
            </w:r>
            <w:r>
              <w:rPr>
                <w:rFonts w:ascii="Times New Roman;serif" w:hAnsi="Times New Roman;serif"/>
                <w:b w:val="false"/>
                <w:i/>
                <w:color w:val="000000"/>
                <w:sz w:val="12"/>
              </w:rPr>
              <w:t>(a)</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Debt principal payments are estimated amounts based on contractual maturity and scheduled repayment dates. Interest payments are estimated based on the forward-looking SOFR curve, where applicable. Actual payments may differ from these estimates.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Current Portion of Long-Term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current portion of long-term debt as of September 30, 2025 includes the principal payments on the term loans, special improvement district bonds, and other unsecured borrowings that are contractually due within 12 months. The Company may, from time to time, seek to repurchase or prepay its outstanding indebtedness. Any such purchases or repayments may be funded by existing cash balances or the incurrence of debt. The amount and timing of any repurchase will be based on business and market conditions, capital availability, compliance with debt covenants and other considerations.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4165"/>
                <wp:effectExtent l="0" t="0" r="0" b="0"/>
                <wp:wrapNone/>
                <wp:docPr id="15" name="Frame1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Debt Discounts or Premiums and Deferred Finance Charges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scheduled payment dates.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amortization of the debt issuance costs and the discount and/or premium associated with the Company’s indebtedness totaled $7 million and $8 million for the three months ended September 30, 2025 and 2024, respectively, and $20 million and $23 million for the nine months ended September 30, 2025 and 2024, respectively, and is included in Interest expense, net in the Statements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debt has been calculated primarily based on the borrowing rates available as of September 30, 2025 and based on market quotes of our publicly traded debt. We classify the fair value of debt within Level 1 and Level 2 in the fair value hierarchy.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Terms of Outstanding Debt</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Term Loans and CEI Revolving Credit Facility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and will mature on January 31, 2028. The CEI Revolving Credit Facility includes a letter of credit sub-facility of $388 million and contains reserves of $40 million which are available only for certain permitted uses.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5, 2022, Caesars entered into an amendment to the CEI Credit Agreement pursuant to which the Company incurred a senior secured term loan in an aggregate principal amount of $750 million (the “CEI Term Loan A”) as a new term loan under the credit agreement and made certain other amendments to the CEI Credit Agreement. The CEI Term Loan A will mature on January 31, 2028. The CEI Term Loan A requires scheduled quarterly payments in amounts equal to 1.25% of the original aggregate principal amount of the CEI Term Loan A, with the balance payable at maturity.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CEI Revolving Credit Facility and the CEI Term Loan A bear interest, paid at least quarterly, at a rate equal to, at the Company’s option, either (a) a forward-looking term rate based on the Secured Overnight Financing Rate (“Term SOFR”) for the applicable interest period plus an adjustment of 0.10% per annum (the “Term SOFR Adjustment” and Term SOFR as so adjusted,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Term SOFR plus 1.00% per annum, plus, in the case of the CEI Revolving Credit Facility and the CEI Term Loan A only, the Term SOFR Adjustment, in each 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CEI Revolving Credit Facility a commitment fee in respect of any unused commitments under the CEI Revolving Credit Facility in the amount of 0.35% per annum of the principal amount of the unused commitments of such lender, subject to three 0.05% step-downs based on the Company’s net total leverage ratio.</w:t>
      </w:r>
    </w:p>
    <w:p>
      <w:pPr>
        <w:pStyle w:val="TextBody"/>
        <w:bidi w:val="0"/>
        <w:spacing w:lineRule="auto" w:line="288" w:before="180" w:after="283"/>
        <w:jc w:val="both"/>
        <w:rPr>
          <w:rFonts w:ascii="Times New Roman;serif" w:hAnsi="Times New Roman;serif"/>
          <w:b w:val="false"/>
          <w:color w:val="212529"/>
          <w:sz w:val="20"/>
        </w:rPr>
      </w:pPr>
      <w:r>
        <w:rPr>
          <w:rFonts w:ascii="Times New Roman;serif" w:hAnsi="Times New Roman;serif"/>
          <w:b w:val="false"/>
          <w:color w:val="212529"/>
          <w:sz w:val="20"/>
        </w:rPr>
        <w:t xml:space="preserve">On February 6, 2023, the Company entered into an Incremental Assumption Agreement No. 2 pursuant to which the Company incurred a new senior secured incremental term loan in an aggregate principal amount of $2.5 billion (the “CEI Term Loan B”) under the CEI Credit Agreement. The CEI Term Loan B requires scheduled quarterly principal payments in amounts equal to 0.25% of the original aggregate principal amount of the CEI Term Loan B, with the balance payable at maturity. Borrowings under the CEI Term Loan B, as amended, bear interest, paid at least quarterly, at a rate equal to, at the Company’s option, either (a) Term SOFR, subject to a floor of 0.50% or (b) the Base Rate, in each case, plus an applicable margin. Such applicable margin is 2.25% per annum in the case of any Term SOFR loan and 1.25% per annum in the case of any Base Rate loan. The CEI Term Loan B will mature on February 6, 2030.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4165"/>
                <wp:effectExtent l="0" t="0" r="0" b="0"/>
                <wp:wrapNone/>
                <wp:docPr id="16" name="Frame1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pPr>
      <w:r>
        <w:rPr>
          <w:rFonts w:ascii="Times New Roman;serif" w:hAnsi="Times New Roman;serif"/>
          <w:b w:val="false"/>
          <w:color w:val="212529"/>
          <w:sz w:val="20"/>
        </w:rPr>
        <w:t>On February 6, 2024, the Company entered into an Incremental Assumption Agreement No. 3 pursuant to which the Company incurred a new senior secured incremental term loan in an aggregate principal amount of $2.9 billion (the “CEI Term Loan B-1”) under the CEI Credit Agreement. The CEI Term Loan B-1 requires quarterly principal payments in amounts equal to 0.25% of the original aggregate principal amount of the CEI Term Loan B-1, with the balance payable at maturity. Borrowings under the CEI Term Loan B-1, as amended in November 2024, bear interest</w:t>
      </w:r>
      <w:r>
        <w:rPr>
          <w:rFonts w:ascii="Times New Roman;serif" w:hAnsi="Times New Roman;serif"/>
          <w:b w:val="false"/>
          <w:color w:val="000000"/>
          <w:sz w:val="20"/>
        </w:rPr>
        <w:t>, paid at least quarterly,</w:t>
      </w:r>
      <w:r>
        <w:rPr>
          <w:color w:val="212529"/>
        </w:rPr>
        <w:t xml:space="preserve"> </w:t>
      </w:r>
      <w:r>
        <w:rPr>
          <w:rFonts w:ascii="Times New Roman;serif" w:hAnsi="Times New Roman;serif"/>
          <w:b w:val="false"/>
          <w:color w:val="212529"/>
          <w:sz w:val="20"/>
        </w:rPr>
        <w:t>at a rate equal to, at the Company’s option, either (a) Term SOFR, subject to a floor of 0.50% or (b) the Base Rate, in each case, plus an applicable margin. Such applicable margin is 2.25% per annum in the case of any Term SOFR loan and 1.25% per annum in the case of any Base Rate loan. The CEI Term Loan B-1 will mature on February 6, 2031.</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$1.9 billion of available borrowing capacity under the CEI Revolving Credit Facility, after consideration of $83 million in outstanding letters of credit, $46 million committed for regulatory purposes, the outstanding amount, and the reserves described above. </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Caesars Virginia Credit Facility due 2029</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26, 2024, Caesars Virginia, LLC entered into a credit agreement with Wells Fargo Bank, N.A., as administrative agent and collateral agent, and certain banks and other financial institutions and lenders party thereto, which provides for a senior secured first lien multi-draw term loan facility up to an aggregate principal amount of $400 million (the “CVA Delayed Draw Term Loan”) and a senior secured first lien revolving credit facility in an aggregate principal amount of $25 million (the “CVA Revolving Credit Facility”), both maturing on April 26, 2029.</w:t>
      </w:r>
    </w:p>
    <w:p>
      <w:pPr>
        <w:pStyle w:val="TextBody"/>
        <w:bidi w:val="0"/>
        <w:spacing w:lineRule="auto" w:line="288" w:before="180" w:after="283"/>
        <w:jc w:val="both"/>
        <w:rPr/>
      </w:pPr>
      <w:r>
        <w:rPr>
          <w:rFonts w:ascii="Times New Roman;serif" w:hAnsi="Times New Roman;serif"/>
          <w:b w:val="false"/>
          <w:color w:val="212529"/>
          <w:sz w:val="20"/>
        </w:rPr>
        <w:t xml:space="preserve">The CVA Delayed Draw Term Loan requires quarterly principal payments which began on </w:t>
      </w:r>
      <w:r>
        <w:rPr>
          <w:rFonts w:ascii="Times New Roman;serif" w:hAnsi="Times New Roman;serif"/>
          <w:b w:val="false"/>
          <w:color w:val="000000"/>
          <w:sz w:val="20"/>
        </w:rPr>
        <w:t>June 30, 2025</w:t>
      </w:r>
      <w:r>
        <w:rPr>
          <w:rFonts w:ascii="Times New Roman;serif" w:hAnsi="Times New Roman;serif"/>
          <w:b w:val="false"/>
          <w:color w:val="212529"/>
          <w:sz w:val="20"/>
        </w:rPr>
        <w:t xml:space="preserve">. </w:t>
      </w:r>
      <w:r>
        <w:rPr>
          <w:rFonts w:ascii="Times New Roman;serif" w:hAnsi="Times New Roman;serif"/>
          <w:b w:val="false"/>
          <w:color w:val="000000"/>
          <w:sz w:val="20"/>
        </w:rPr>
        <w:t>The CVA Revolving Credit Facility and the CVA Delayed Draw Term Loan are subject to a variable rate of interest based on</w:t>
      </w:r>
      <w:r>
        <w:rPr>
          <w:color w:val="212529"/>
        </w:rPr>
        <w:t xml:space="preserve"> </w:t>
      </w:r>
      <w:r>
        <w:rPr>
          <w:rFonts w:ascii="Times New Roman;serif" w:hAnsi="Times New Roman;serif"/>
          <w:b w:val="false"/>
          <w:color w:val="212529"/>
          <w:sz w:val="20"/>
        </w:rPr>
        <w:t xml:space="preserve">Term SOFR plus an applicable margin. </w:t>
      </w:r>
      <w:r>
        <w:rPr>
          <w:rFonts w:ascii="Times New Roman;serif" w:hAnsi="Times New Roman;serif"/>
          <w:b w:val="false"/>
          <w:color w:val="000000"/>
          <w:sz w:val="20"/>
        </w:rPr>
        <w:t>The CVA Revolving Credit Facility includes a $10 million letter of credit sub-facility.</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Secured Notes due 2030</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February 6, 2023,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on February 15, 2030, with interest payable semi-annually on February 15 and August 15 of each year.</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Secured Notes due 2032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February 6, 2024, the Company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Notes due 2029</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semi-annually on April 15 and October 15 of each year. </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Notes due 2032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17, 2024, the Company issued $1.1 billion in aggregate principal amount of 6.00% Senior Notes due 2032 (the “CEI Senior Notes due 2032”) pursuant to an indenture dated as of October 17, 2024, by and among the Company, the subsidiary guarantors party thereto, and U.S. Bank Trust Company, National Association, as trustee. The CEI Senior Notes due 2032 rank equally with all existing and future senior unsecured indebtedness of the Company and the subsidiary guarantors. The CEI Senior Notes due 2032 will mature on October 15, 2032, with interest payable semi-annually on April 15 and October 15 of each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4165"/>
                <wp:effectExtent l="0" t="0" r="0" b="0"/>
                <wp:wrapNone/>
                <wp:docPr id="17" name="Frame1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CEI Senior Notes due 2027</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6, 2020, Colt Merger Sub, Inc. (the “Escrow Issuer”) issued $1.8 billion in aggregate principal amount of 8.125% Senior Notes due 2027 (the “CEI Senior Notes due 2027”) pursuant to an indenture, dated July 6, 2020, by and between the Escrow Issuer and U.S. Bank National Association, as trustee. The CEI Senior Notes due 2027 ranked equally with all existing and future senior unsecured indebtedness of the Company and the subsidiary guarantors. The CEI Senior Notes due 2027 were scheduled to mature on July 1, 2027, with interest payable semi-annually on January 1 and July 1 of each year.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July 8, 2025, the Company fully redeemed all of the $546 million outstanding principal amount of the CEI Senior Notes due 2027 and paid the related accrued interest and expenses with borrowings under the CEI Revolving Credit Facility and proceeds received from the partial repayment and sale of $225 million of notes receivable related to the previously disclosed WSOP trademark sale. As a result of the early repayment, the Company recognized approximately $4 million of loss on extinguishment of debt.</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Debt Covenant Compliance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CEI Revolving Credit Facility, the CEI Term Loan A, the CEI Term Loan B, the CEI Term Loan B-1 and the indentures governing the CEI Senior Secured Notes due 2030, the CEI Senior Secured Notes due 2032, the CEI Senior Notes due 2029 and the CEI Senior Notes due 2032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CEI Revolving Credit Facility and the CEI Term Loan A include a maximum net total leverage ratio financial covenant of 6.50:1. In addition, the CEI Revolving Credit Facility and the CEI Term Loan A include a minimum fixed charge coverage ratio financial covenant of 2.0:1.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agreement.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CVA Revolving Credit Facility and the CVA Delayed Draw Term Loan contain covenants which are standard and customary for this type of agreement, including a maximum net total leverage ratio financial covenant of 4:1 and a minimum fixed charge coverage ratio financial covenant of 1.05:1, applicable to the operations of Caesars Virginia.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was in compliance with all of the applicable financial covenants described above.</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Guarantees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CEI Revolving Credit Facility, the CEI Term Loan A, the CEI Term Loan B, the CEI Term Loan B-1, the CEI Senior Secured Notes due 2030 and the CEI Senior Secured Notes due 2032 are guaranteed on a senior secured basis by each existing and future material wholly-owned domestic subsidiary of the Company and are secured by substantially all of the existing and future property and assets of the Company and its subsidiary guarantors (subject to certain exceptions). The CEI Senior Notes due 2029 and the CEI Senior Notes due 2032 are guaranteed on a senior unsecured basis by such subsidiaries.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CVA Revolving Credit Facility and the CVA Delayed Draw Term Loan are secured by substantially all material assets of Caesars Virginia, LLC and any newly formed wholly-owned subsidiary of Caesars Virginia, LLC. CEI does not provide a guarantee of these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7. Revenue Recognition</w:t>
      </w:r>
    </w:p>
    <w:p>
      <w:pPr>
        <w:pStyle w:val="TextBody"/>
        <w:bidi w:val="0"/>
        <w:spacing w:lineRule="auto" w:line="288" w:before="180" w:after="283"/>
        <w:jc w:val="both"/>
        <w:rPr/>
      </w:pPr>
      <w:r>
        <w:rPr>
          <w:rFonts w:ascii="Times New Roman;serif" w:hAnsi="Times New Roman;serif"/>
          <w:b w:val="false"/>
          <w:color w:val="000000"/>
          <w:sz w:val="20"/>
        </w:rPr>
        <w:t xml:space="preserve">The Company’s Statements of Operations present net revenue disaggregated by type or nature of the good or service. A summary of net revenues disaggregated by type of revenue and reportable segment is presented below. Refer to </w:t>
      </w:r>
      <w:hyperlink w:anchor="ie1c7ac6d19bb4b3fb593ccd40a5fd54a_73">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color w:val="000000"/>
          <w:sz w:val="20"/>
        </w:rPr>
        <w:t>for additional information on the Company’s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4165"/>
                <wp:effectExtent l="0" t="0" r="0" b="0"/>
                <wp:wrapNone/>
                <wp:docPr id="18" name="Frame1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02"/>
        <w:gridCol w:w="432"/>
        <w:gridCol w:w="433"/>
        <w:gridCol w:w="236"/>
        <w:gridCol w:w="507"/>
        <w:gridCol w:w="131"/>
        <w:gridCol w:w="109"/>
        <w:gridCol w:w="109"/>
        <w:gridCol w:w="109"/>
        <w:gridCol w:w="196"/>
        <w:gridCol w:w="556"/>
        <w:gridCol w:w="109"/>
        <w:gridCol w:w="109"/>
        <w:gridCol w:w="109"/>
        <w:gridCol w:w="109"/>
        <w:gridCol w:w="323"/>
        <w:gridCol w:w="694"/>
        <w:gridCol w:w="179"/>
        <w:gridCol w:w="109"/>
        <w:gridCol w:w="109"/>
        <w:gridCol w:w="109"/>
        <w:gridCol w:w="477"/>
        <w:gridCol w:w="992"/>
        <w:gridCol w:w="269"/>
        <w:gridCol w:w="109"/>
        <w:gridCol w:w="109"/>
        <w:gridCol w:w="109"/>
        <w:gridCol w:w="564"/>
        <w:gridCol w:w="740"/>
        <w:gridCol w:w="316"/>
        <w:gridCol w:w="109"/>
        <w:gridCol w:w="109"/>
        <w:gridCol w:w="109"/>
        <w:gridCol w:w="196"/>
        <w:gridCol w:w="556"/>
        <w:gridCol w:w="162"/>
      </w:tblGrid>
      <w:tr>
        <w:trPr/>
        <w:tc>
          <w:tcPr>
            <w:tcW w:w="50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76"/>
        <w:gridCol w:w="988"/>
        <w:gridCol w:w="268"/>
        <w:gridCol w:w="109"/>
        <w:gridCol w:w="109"/>
        <w:gridCol w:w="109"/>
        <w:gridCol w:w="563"/>
        <w:gridCol w:w="737"/>
        <w:gridCol w:w="315"/>
        <w:gridCol w:w="109"/>
        <w:gridCol w:w="109"/>
        <w:gridCol w:w="109"/>
        <w:gridCol w:w="196"/>
        <w:gridCol w:w="556"/>
        <w:gridCol w:w="163"/>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66"/>
        <w:gridCol w:w="1003"/>
        <w:gridCol w:w="264"/>
        <w:gridCol w:w="109"/>
        <w:gridCol w:w="109"/>
        <w:gridCol w:w="109"/>
        <w:gridCol w:w="563"/>
        <w:gridCol w:w="737"/>
        <w:gridCol w:w="315"/>
        <w:gridCol w:w="109"/>
        <w:gridCol w:w="109"/>
        <w:gridCol w:w="109"/>
        <w:gridCol w:w="196"/>
        <w:gridCol w:w="556"/>
        <w:gridCol w:w="162"/>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66"/>
        <w:gridCol w:w="1003"/>
        <w:gridCol w:w="264"/>
        <w:gridCol w:w="109"/>
        <w:gridCol w:w="109"/>
        <w:gridCol w:w="109"/>
        <w:gridCol w:w="563"/>
        <w:gridCol w:w="737"/>
        <w:gridCol w:w="315"/>
        <w:gridCol w:w="109"/>
        <w:gridCol w:w="109"/>
        <w:gridCol w:w="109"/>
        <w:gridCol w:w="196"/>
        <w:gridCol w:w="556"/>
        <w:gridCol w:w="162"/>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80" w:type="dxa"/>
        <w:jc w:val="left"/>
        <w:tblInd w:w="0" w:type="dxa"/>
        <w:tblLayout w:type="fixed"/>
        <w:tblCellMar>
          <w:top w:w="28" w:type="dxa"/>
          <w:left w:w="28" w:type="dxa"/>
          <w:bottom w:w="28" w:type="dxa"/>
          <w:right w:w="28" w:type="dxa"/>
        </w:tblCellMar>
      </w:tblPr>
      <w:tblGrid>
        <w:gridCol w:w="782"/>
        <w:gridCol w:w="687"/>
        <w:gridCol w:w="691"/>
        <w:gridCol w:w="432"/>
        <w:gridCol w:w="929"/>
        <w:gridCol w:w="243"/>
        <w:gridCol w:w="109"/>
        <w:gridCol w:w="109"/>
        <w:gridCol w:w="109"/>
        <w:gridCol w:w="402"/>
        <w:gridCol w:w="868"/>
        <w:gridCol w:w="319"/>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Accounts Receivable, net</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and hotel</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Contract and Contract Related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contract or contract 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customers, (2)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4165"/>
                <wp:effectExtent l="0" t="0" r="0" b="0"/>
                <wp:wrapNone/>
                <wp:docPr id="19" name="Frame1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Liabilities expected to be recognized as revenue beyond one year of being purchased, earned, or deposited are recorded within Other long-term liabilities on the Company’s Balance Sheets.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contract and contract related liabilities:</w:t>
      </w:r>
    </w:p>
    <w:tbl>
      <w:tblPr>
        <w:tblW w:w="10198" w:type="dxa"/>
        <w:jc w:val="left"/>
        <w:tblInd w:w="0" w:type="dxa"/>
        <w:tblLayout w:type="fixed"/>
        <w:tblCellMar>
          <w:top w:w="28" w:type="dxa"/>
          <w:left w:w="28" w:type="dxa"/>
          <w:bottom w:w="28" w:type="dxa"/>
          <w:right w:w="28" w:type="dxa"/>
        </w:tblCellMar>
      </w:tblPr>
      <w:tblGrid>
        <w:gridCol w:w="674"/>
        <w:gridCol w:w="591"/>
        <w:gridCol w:w="594"/>
        <w:gridCol w:w="258"/>
        <w:gridCol w:w="535"/>
        <w:gridCol w:w="143"/>
        <w:gridCol w:w="143"/>
        <w:gridCol w:w="143"/>
        <w:gridCol w:w="143"/>
        <w:gridCol w:w="258"/>
        <w:gridCol w:w="436"/>
        <w:gridCol w:w="143"/>
        <w:gridCol w:w="109"/>
        <w:gridCol w:w="109"/>
        <w:gridCol w:w="109"/>
        <w:gridCol w:w="196"/>
        <w:gridCol w:w="331"/>
        <w:gridCol w:w="109"/>
        <w:gridCol w:w="109"/>
        <w:gridCol w:w="109"/>
        <w:gridCol w:w="109"/>
        <w:gridCol w:w="196"/>
        <w:gridCol w:w="331"/>
        <w:gridCol w:w="109"/>
        <w:gridCol w:w="109"/>
        <w:gridCol w:w="109"/>
        <w:gridCol w:w="109"/>
        <w:gridCol w:w="401"/>
        <w:gridCol w:w="861"/>
        <w:gridCol w:w="223"/>
        <w:gridCol w:w="223"/>
        <w:gridCol w:w="223"/>
        <w:gridCol w:w="223"/>
        <w:gridCol w:w="401"/>
        <w:gridCol w:w="1014"/>
        <w:gridCol w:w="315"/>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Chip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Rewards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Deposits and Other Deferred Revenue</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8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 (decrease)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Customer deposits and other deferred revenue decreased in 2024 primarily due to a reduction in both advanced ticket sales and gaming deposits.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Lease Revenue</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Lodging Arrangements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September 30, 2025 and 2024, we recognized lease revenue of approximately $485 million and $515 million, respectively, and during both nine months ended September 30, 2025 and 2024, we recognized approximately $1.5 billion, which is included in Hotel revenues in the Statements of Operations.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Conventions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Food and beverage revenue in the Statements of Operations and during the three months ended September 30, 2025 and 2024, lease revenue related to conventions was approximately $12 million and $14 million, respectively, and during the nine months ended September 30, 2025 and 2024, lease revenue related to conventions was approximately $41 million and $39 million, respectively.</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Real Estate Operating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Real estate lease revenue is included in Other revenue in the Statements of Operations. During the three months ended September 30, 2025 and 2024, we recognized approximately $32 million and $38 million, respectively, and during the nine months ended September 30, 2025 and 2024, we recognized approximately $93 million and $110 million, respectively, of real estate lease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Real estate lease revenue includes $15 million and $17 million of variable rental income for the three months ended September 30, 2025 and 2024, respectively, and $44 million and $45 million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4165"/>
                <wp:effectExtent l="0" t="0" r="0" b="0"/>
                <wp:wrapNone/>
                <wp:docPr id="20" name="Frame2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8. Earnings per Share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reconciliation of the numerators and denominators of the basic and diluted net income (loss) per share computations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672"/>
        <w:gridCol w:w="1414"/>
        <w:gridCol w:w="1426"/>
        <w:gridCol w:w="264"/>
        <w:gridCol w:w="717"/>
        <w:gridCol w:w="146"/>
        <w:gridCol w:w="146"/>
        <w:gridCol w:w="146"/>
        <w:gridCol w:w="146"/>
        <w:gridCol w:w="264"/>
        <w:gridCol w:w="717"/>
        <w:gridCol w:w="146"/>
        <w:gridCol w:w="109"/>
        <w:gridCol w:w="109"/>
        <w:gridCol w:w="109"/>
        <w:gridCol w:w="255"/>
        <w:gridCol w:w="694"/>
        <w:gridCol w:w="141"/>
        <w:gridCol w:w="141"/>
        <w:gridCol w:w="141"/>
        <w:gridCol w:w="141"/>
        <w:gridCol w:w="255"/>
        <w:gridCol w:w="694"/>
        <w:gridCol w:w="212"/>
      </w:tblGrid>
      <w:tr>
        <w:trPr/>
        <w:tc>
          <w:tcPr>
            <w:tcW w:w="1672"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Caesars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diluted</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 attributable to common stockholders – basic:</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1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 attributable to common stockholders – diluted: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a period in which the Company generated a net loss attributable to Caesars, the weighted average shares outstanding - basic was used in calculating diluted loss per share because using diluted shares would have been anti-dilutive to loss per share.</w:t>
      </w:r>
    </w:p>
    <w:tbl>
      <w:tblPr>
        <w:tblW w:w="10144" w:type="dxa"/>
        <w:jc w:val="left"/>
        <w:tblInd w:w="0" w:type="dxa"/>
        <w:tblLayout w:type="fixed"/>
        <w:tblCellMar>
          <w:top w:w="28" w:type="dxa"/>
          <w:left w:w="28" w:type="dxa"/>
          <w:bottom w:w="28" w:type="dxa"/>
          <w:right w:w="28" w:type="dxa"/>
        </w:tblCellMar>
      </w:tblPr>
      <w:tblGrid>
        <w:gridCol w:w="930"/>
        <w:gridCol w:w="817"/>
        <w:gridCol w:w="817"/>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500"/>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014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Weighted-Average Number of Anti-Dilutive Shares Excluded from the Calculation of Earnings per Share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awards</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anti-dilutive common stock</w:t>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9. Stock-Based Compensation and Stockholders’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Stock-Based Awards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long-term incentive plan, adopted by the Board of Directors (“Board”) and approved by the Company’s stockholders, which allows for granting stock-based compensation awards to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recognized in the period in which they occur.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in the accompanying Statements of Operations totaled $22 million and $24 million during the three months ended September 30, 2025 and 2024, respectively, and $72 million and $73 million during the nine months ended September 30, 2025 and 2024, respectively. These amounts are included in Corporate expense in the Company’s Statements of Operations.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2015 Equity Incentive Plan (the “2015 Plan”)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as part of the annual incentive program, the Company granted 2.2 million RSUs to eligible participants with an aggregate fair value of $76 million and generally vest ratably on each anniversary over three years from the grant date. Each RSU represents the right to receive payment in respect of one share of the Company’s Common Stock.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the Company also granted 233 thousand PSUs to eligible participants with an aggregate fair value of $6 million that are primarily scheduled to cliff vest after three years from the date of grant. On the vesting date, recipients will receive between 0% and 200% of the target number of PSUs granted, in the form of Company Common Stock, based on the achievement of specified performance and service conditions and terms of the underlying award granted. The fair value of the PSUs is based on the market price of our common stock when a mutual understanding of the key terms and conditions of the awards between the Company and recipient is achieved. The awards are remeasured each period until such an understanding is reached.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4165"/>
                <wp:effectExtent l="0" t="0" r="0" b="0"/>
                <wp:wrapNone/>
                <wp:docPr id="21" name="Frame2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during the nine months ended September 30, 2025, the Company granted 350 thousand MSUs to eligible participants with an aggregate fair value of $16 million that are primarily scheduled to cliff vest after three years from the date of grant. On the vesting date, recipients will receive between 0% and 200% of the target number of MSUs granted, in the form of Company Common Stock, based on the achievement of specified market and service conditions and terms of the underlying award granted.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1.2 million, 80 thousand and 107 thousand of RSUs, PSUs and MSUs, respectively, vested under the 2015 Plan.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Outstanding at End of Period</w:t>
      </w:r>
    </w:p>
    <w:tbl>
      <w:tblPr>
        <w:tblW w:w="6644" w:type="dxa"/>
        <w:jc w:val="left"/>
        <w:tblInd w:w="0" w:type="dxa"/>
        <w:tblLayout w:type="fixed"/>
        <w:tblCellMar>
          <w:top w:w="28" w:type="dxa"/>
          <w:left w:w="28" w:type="dxa"/>
          <w:bottom w:w="28" w:type="dxa"/>
          <w:right w:w="28" w:type="dxa"/>
        </w:tblCellMar>
      </w:tblPr>
      <w:tblGrid>
        <w:gridCol w:w="690"/>
        <w:gridCol w:w="606"/>
        <w:gridCol w:w="608"/>
        <w:gridCol w:w="274"/>
        <w:gridCol w:w="274"/>
        <w:gridCol w:w="278"/>
        <w:gridCol w:w="115"/>
        <w:gridCol w:w="115"/>
        <w:gridCol w:w="115"/>
        <w:gridCol w:w="231"/>
        <w:gridCol w:w="660"/>
        <w:gridCol w:w="128"/>
        <w:gridCol w:w="109"/>
        <w:gridCol w:w="109"/>
        <w:gridCol w:w="109"/>
        <w:gridCol w:w="274"/>
        <w:gridCol w:w="274"/>
        <w:gridCol w:w="278"/>
        <w:gridCol w:w="111"/>
        <w:gridCol w:w="111"/>
        <w:gridCol w:w="111"/>
        <w:gridCol w:w="229"/>
        <w:gridCol w:w="654"/>
        <w:gridCol w:w="181"/>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Quantity</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Wtd-Avg </w:t>
            </w:r>
            <w:r>
              <w:rPr>
                <w:rFonts w:ascii="Times New Roman;serif" w:hAnsi="Times New Roman;serif"/>
                <w:b/>
                <w:i/>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Quantity</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Wtd-Avg </w:t>
            </w:r>
            <w:r>
              <w:rPr>
                <w:rFonts w:ascii="Times New Roman;serif" w:hAnsi="Times New Roman;serif"/>
                <w:b/>
                <w:i/>
                <w:color w:val="000000"/>
                <w:sz w:val="12"/>
              </w:rPr>
              <w:t>(a)</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3,532,419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2,668,811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Performance stock units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518,221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397,156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Market-based stock units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1,050,105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1,096,104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Represents the weighted-average grant date fair value for RSUs, weighted-average grant date fair value for PSUs where the grant date has been achieved, the price of CEI common stock as of the balance sheet date for PSUs where a grant date has not been achieved, and the grant date fair value of the MSUs determined using the Monte-Carlo simulation model.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by component, net of tax, for the periods through September 30, 2025 and 2024 are shown below.</w:t>
      </w:r>
    </w:p>
    <w:tbl>
      <w:tblPr>
        <w:tblW w:w="6584" w:type="dxa"/>
        <w:jc w:val="left"/>
        <w:tblInd w:w="0" w:type="dxa"/>
        <w:tblLayout w:type="fixed"/>
        <w:tblCellMar>
          <w:top w:w="28" w:type="dxa"/>
          <w:left w:w="28" w:type="dxa"/>
          <w:bottom w:w="28" w:type="dxa"/>
          <w:right w:w="28" w:type="dxa"/>
        </w:tblCellMar>
      </w:tblPr>
      <w:tblGrid>
        <w:gridCol w:w="917"/>
        <w:gridCol w:w="805"/>
        <w:gridCol w:w="812"/>
        <w:gridCol w:w="1163"/>
        <w:gridCol w:w="1967"/>
        <w:gridCol w:w="920"/>
      </w:tblGrid>
      <w:tr>
        <w:trPr/>
        <w:tc>
          <w:tcPr>
            <w:tcW w:w="9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2023</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March 31, 2024</w:t>
            </w:r>
          </w:p>
        </w:tc>
        <w:tc>
          <w:tcPr>
            <w:tcW w:w="3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2024</w:t>
            </w:r>
          </w:p>
        </w:tc>
        <w:tc>
          <w:tcPr>
            <w:tcW w:w="3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2024</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3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3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405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2025</w:t>
            </w:r>
          </w:p>
        </w:tc>
        <w:tc>
          <w:tcPr>
            <w:tcW w:w="1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 Repurchase Programs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2024, we reached the limit of authorized repurchases under our $150 million common stock repurchase plan announced on November 8, 2018, by acquiring 3,872,478 shares of common stock at an aggregate value of $141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4165"/>
                <wp:effectExtent l="0" t="0" r="0" b="0"/>
                <wp:wrapNone/>
                <wp:docPr id="22" name="Frame2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2, 2024, the Company announced that its Board authorized a $500 million common stock repurchase program (the “2024 Share Repurchase Program”). Under the 2024 Share Repurchase Program, the Company may, from time to time, repurchase shares of common stock on the open market (either with or without a 10b5-1 plan) or through privately negotiated transactions. The 2024 Share Repurchase Program has no time limit and may be suspended or discontinued at any time without notice. There is no minimum number of shares of common stock that the Company is required to repurchase under the 2024 Share Repurchase Program. The Company repurchased 1,262,990 shares of common stock at an aggregate value of $50 million during the fourth quarter of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Company’s share repurchases for the three and nine months ended September 30, 2025 and 2024:</w:t>
      </w:r>
    </w:p>
    <w:tbl>
      <w:tblPr>
        <w:tblW w:w="8645" w:type="dxa"/>
        <w:jc w:val="left"/>
        <w:tblInd w:w="0" w:type="dxa"/>
        <w:tblLayout w:type="fixed"/>
        <w:tblCellMar>
          <w:top w:w="28" w:type="dxa"/>
          <w:left w:w="28" w:type="dxa"/>
          <w:bottom w:w="28" w:type="dxa"/>
          <w:right w:w="28" w:type="dxa"/>
        </w:tblCellMar>
      </w:tblPr>
      <w:tblGrid>
        <w:gridCol w:w="934"/>
        <w:gridCol w:w="819"/>
        <w:gridCol w:w="826"/>
        <w:gridCol w:w="277"/>
        <w:gridCol w:w="785"/>
        <w:gridCol w:w="154"/>
        <w:gridCol w:w="154"/>
        <w:gridCol w:w="154"/>
        <w:gridCol w:w="154"/>
        <w:gridCol w:w="277"/>
        <w:gridCol w:w="785"/>
        <w:gridCol w:w="154"/>
        <w:gridCol w:w="109"/>
        <w:gridCol w:w="109"/>
        <w:gridCol w:w="109"/>
        <w:gridCol w:w="266"/>
        <w:gridCol w:w="756"/>
        <w:gridCol w:w="148"/>
        <w:gridCol w:w="148"/>
        <w:gridCol w:w="148"/>
        <w:gridCol w:w="148"/>
        <w:gridCol w:w="266"/>
        <w:gridCol w:w="756"/>
        <w:gridCol w:w="209"/>
      </w:tblGrid>
      <w:tr>
        <w:trPr/>
        <w:tc>
          <w:tcPr>
            <w:tcW w:w="93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Shares repurchased </w:t>
            </w:r>
            <w:r>
              <w:rPr>
                <w:rFonts w:ascii="Times New Roman;serif" w:hAnsi="Times New Roman;serif"/>
                <w:b w:val="false"/>
                <w:i/>
                <w:color w:val="000000"/>
                <w:sz w:val="12"/>
              </w:rPr>
              <w:t>(a)</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cost </w:t>
            </w:r>
            <w:r>
              <w:rPr>
                <w:rFonts w:ascii="Times New Roman;serif" w:hAnsi="Times New Roman;serif"/>
                <w:b w:val="false"/>
                <w:i/>
                <w:color w:val="000000"/>
                <w:sz w:val="12"/>
              </w:rPr>
              <w:t>(b)</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price paid per share</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Shares repurchased reflect repurchases settled during the three and nine months ended September 30, 2025 and 2024. These amounts exclude repurchases, if any, traded but not yet settled on or before September 30, 2025 and 2024, respectively.</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Total cost excludes commissions or applicable excise tax.</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2024 Share Repurchase Program, as of September 30, 2025, the Company has authorization to repurchase up to $271 million more of our outstanding common stock. All share repurchases under the 2024 Share Repurchase Program are retired upon repurchase.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September 30, 2025, the Company acquired 770,556 shares of our common stock at an aggregate value of approximately $21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10. 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a new tax policy was enacted into law. The new tax policy makes permanent key elements of the Tax Cuts and Jobs Act from 2017, including 100% bonus depreciation, domestic research cost expensing, and the business interest expense limitation. During the quarter, as a result of the enactment of the legislation, the Company recorded a tax benefit of approximately $35 million, related to a decrease in federal and state valuation allowances against the deferred tax assets for excess business interest expense.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utilized a discrete effective tax rate method, as allowed by ASC 740-270 “Income Taxes, Interim Reporting,” to calculate taxes for the three and nine months ended September 30, 2025 and 2024. The Company determined that small changes in estimated “ordinary” income would result in significant changes in the estimated annual effective tax rate (“AETR”), and therefore, the AETR method would not provide a reliable estimate.</w:t>
      </w:r>
    </w:p>
    <w:tbl>
      <w:tblPr>
        <w:tblW w:w="8751" w:type="dxa"/>
        <w:jc w:val="left"/>
        <w:tblInd w:w="0" w:type="dxa"/>
        <w:tblLayout w:type="fixed"/>
        <w:tblCellMar>
          <w:top w:w="28" w:type="dxa"/>
          <w:left w:w="28" w:type="dxa"/>
          <w:bottom w:w="28" w:type="dxa"/>
          <w:right w:w="28" w:type="dxa"/>
        </w:tblCellMar>
      </w:tblPr>
      <w:tblGrid>
        <w:gridCol w:w="973"/>
        <w:gridCol w:w="853"/>
        <w:gridCol w:w="858"/>
        <w:gridCol w:w="288"/>
        <w:gridCol w:w="597"/>
        <w:gridCol w:w="376"/>
        <w:gridCol w:w="160"/>
        <w:gridCol w:w="160"/>
        <w:gridCol w:w="160"/>
        <w:gridCol w:w="288"/>
        <w:gridCol w:w="487"/>
        <w:gridCol w:w="376"/>
        <w:gridCol w:w="109"/>
        <w:gridCol w:w="109"/>
        <w:gridCol w:w="109"/>
        <w:gridCol w:w="246"/>
        <w:gridCol w:w="623"/>
        <w:gridCol w:w="321"/>
        <w:gridCol w:w="137"/>
        <w:gridCol w:w="137"/>
        <w:gridCol w:w="137"/>
        <w:gridCol w:w="246"/>
        <w:gridCol w:w="623"/>
        <w:gridCol w:w="378"/>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Income Tax Allocation</w:t>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classifies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Management assesses the available positive and negative evidence to estimate if sufficient future taxable income will be generated to use existing deferred tax assets. The Company is carrying a valuation allowance on certain federal and state deferred tax assets that are not more likely than not to be realized in the future. The Company has assessed the changes to the valuation allowance, including realization of the disallowed interest expense deferred tax asset, using the integrated approach.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4165"/>
                <wp:effectExtent l="0" t="0" r="0" b="0"/>
                <wp:wrapNone/>
                <wp:docPr id="23" name="Frame2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income tax provision for the three months ended September 30, 2025 differed from the expected income tax provision based on the federal tax rate of 21% primarily due to a decrease in federal and state valuation allowances against the deferred tax assets for excess business interest expense, primarily related to the change in tax law. The income tax provision for the nine months ended September 30, 2025 differed from the expected income tax provision based on the federal tax rate of 21% primarily due to an increase in federal and state valuation allowances against the deferred tax assets for excess business interest expense.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income tax provision for the three and nine months ended September 30, 2024 differed from the expected income tax provision based on the federal tax rate of 21% primarily due to an increase in federal and state valuation allowances against the deferred tax assets for excess business interest expense.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2021, and it is possible that the amount of the liability for unrecognized tax benefits could change during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11. Related Party and Affiliate Transactions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 S. &amp; Y. Associates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owns the entire parcel on which Eldorado Resort Casino Reno is located, except for approximately 30,000 square feet which is leased from C. S. &amp; Y. Associates (“CSY”) (the “CSY Lease”). CSY is a general partnership in which a trust has an approximate 27% interest. The Company’s Executive Chairman of the Board, Gary L. Carano, and his siblings are direct or indirect beneficiaries of the trust. The CSY Lease expires on June 30, 2057. Annual rent pursuant to the CSY Lease is currently $0.6 million, paid monthly. Annual rent is subject to periodic rent escalations of 1 to 2 percent through the term of the lease. Commensurate with its interest, the trust receives directly from the Company approximately 27% of the rent paid by the Company. As of September 30, 2025 and December 31, 2024, there were no amounts due to or from CSY.</w:t>
      </w:r>
    </w:p>
    <w:p>
      <w:pPr>
        <w:pStyle w:val="TextBody"/>
        <w:bidi w:val="0"/>
        <w:spacing w:lineRule="auto" w:line="288" w:before="180" w:after="283"/>
        <w:jc w:val="both"/>
        <w:rPr/>
      </w:pPr>
      <w:r>
        <w:rPr>
          <w:rFonts w:ascii="Times New Roman;serif" w:hAnsi="Times New Roman;serif"/>
          <w:b/>
          <w:color w:val="000000"/>
          <w:sz w:val="20"/>
        </w:rPr>
        <w:t>C</w:t>
      </w:r>
      <w:r>
        <w:rPr>
          <w:rFonts w:ascii="Times New Roman;serif" w:hAnsi="Times New Roman;serif"/>
          <w:b/>
          <w:i/>
          <w:color w:val="000000"/>
          <w:sz w:val="20"/>
        </w:rPr>
        <w:t>VA Holdco, LLC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May 2023, the Company entered into a joint venture, CVA Holdco, LLC, with the Eastern Band of Cherokee Indians to construct, own and operate a gaming facility in Danville, Virginia (“Caesars Virginia”). Caesars Virginia opened in a temporary facility on May 15, 2023 followed by the completion of construction and opening of the permanent facility on December 17, 2024. As the managing member, the Company operates the business and has managed the development, construction, financing, marketing, leasing, maintenance and day-to-day operation of the various phases of the project. The Company holds a 50.0% variable interest in the joint venture and is the primary beneficiary; as such, the joint venture’s operations are included in the Financial Statements, with a minority interest recorded reflecting the operations attributed to the other partner. The Company participates ratably, based on ownership percentage, in the profits and losses of the joint venture. During the nine months ended September 30, 2025, the Company made distributions totaling $76 million to the partner.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Pompano Joint Venture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2018, the Company entered into a joint venture with Cordish Companies (“Cordish”) to plan and develop a mixed-use entertainment and hospitality destination expected to be located on unused land adjacent to the casino at the Company’s Pompano property. As the managing member, Cordish will operate the business and manage the development, construction, financing, marketing, leasing, maintenance and day-to-day operation of the various phases of the project. Additionally, Cordish is responsible for the development of the master plan for the project with the Company’s input and will submit it for the Company’s review and approval. While the Company holds a 50% variable interest in the joint venture, it is not the primary beneficiary; as such, the investment in the joint venture is accounted for using the equity method and is recorded in Investments in and advances to unconsolidated affiliates on the Balance Sheets. The Company participates evenly with Cordish in the profits and losses of the joint venture, which are included in Transaction and other costs, net on the Statements of Operations. </w:t>
      </w:r>
    </w:p>
    <w:tbl>
      <w:tblPr>
        <w:tblW w:w="3951" w:type="dxa"/>
        <w:jc w:val="left"/>
        <w:tblInd w:w="0" w:type="dxa"/>
        <w:tblLayout w:type="fixed"/>
        <w:tblCellMar>
          <w:top w:w="28" w:type="dxa"/>
          <w:left w:w="28" w:type="dxa"/>
          <w:bottom w:w="28" w:type="dxa"/>
          <w:right w:w="28" w:type="dxa"/>
        </w:tblCellMar>
      </w:tblPr>
      <w:tblGrid>
        <w:gridCol w:w="1152"/>
        <w:gridCol w:w="1011"/>
        <w:gridCol w:w="1017"/>
        <w:gridCol w:w="196"/>
        <w:gridCol w:w="42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Investment in Pompano Joint Venture</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 earnings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4165"/>
                <wp:effectExtent l="0" t="0" r="0" b="0"/>
                <wp:wrapNone/>
                <wp:docPr id="24" name="Frame2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left"/>
        <w:rPr>
          <w:rFonts w:ascii="Times New Roman;serif" w:hAnsi="Times New Roman;serif"/>
          <w:b/>
          <w:color w:val="BF2115"/>
          <w:sz w:val="24"/>
        </w:rPr>
      </w:pPr>
      <w:r>
        <w:rPr>
          <w:rFonts w:ascii="Times New Roman;serif" w:hAnsi="Times New Roman;serif"/>
          <w:b/>
          <w:color w:val="BF2115"/>
          <w:sz w:val="24"/>
        </w:rPr>
        <w:t>Note 12. Segment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properties (listed by segment in which each property is reported) as of September 30, 2025:</w:t>
      </w:r>
    </w:p>
    <w:tbl>
      <w:tblPr>
        <w:tblW w:w="10205" w:type="dxa"/>
        <w:jc w:val="left"/>
        <w:tblInd w:w="0" w:type="dxa"/>
        <w:tblLayout w:type="fixed"/>
        <w:tblCellMar>
          <w:top w:w="28" w:type="dxa"/>
          <w:left w:w="28" w:type="dxa"/>
          <w:bottom w:w="28" w:type="dxa"/>
          <w:right w:w="28" w:type="dxa"/>
        </w:tblCellMar>
      </w:tblPr>
      <w:tblGrid>
        <w:gridCol w:w="858"/>
        <w:gridCol w:w="677"/>
        <w:gridCol w:w="685"/>
        <w:gridCol w:w="109"/>
        <w:gridCol w:w="109"/>
        <w:gridCol w:w="109"/>
        <w:gridCol w:w="881"/>
        <w:gridCol w:w="804"/>
        <w:gridCol w:w="807"/>
        <w:gridCol w:w="109"/>
        <w:gridCol w:w="109"/>
        <w:gridCol w:w="109"/>
        <w:gridCol w:w="775"/>
        <w:gridCol w:w="727"/>
        <w:gridCol w:w="729"/>
        <w:gridCol w:w="109"/>
        <w:gridCol w:w="109"/>
        <w:gridCol w:w="109"/>
        <w:gridCol w:w="665"/>
        <w:gridCol w:w="665"/>
        <w:gridCol w:w="951"/>
      </w:tblGrid>
      <w:tr>
        <w:trPr/>
        <w:tc>
          <w:tcPr>
            <w:tcW w:w="85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Caesars Palace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Atlantic City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Pompano Beach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Managed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The Cromwell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Caesars New Orleans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Horseshoe Baltimore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Ak-Chin</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Flamingo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Republic Lake Tahoe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Cherokee</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Bossier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Cherokee Valley River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Horseshoe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Circus Circus Reno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Resort Southern California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The LINQ Hotel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Eldorado Gaming Scioto 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Hammond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Caesars Windsor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Paris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Eldorado Resort Casino Reno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Horseshoe Indianapolis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Branded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Planet Hollywood Resort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Grand Victoria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Lake Charles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 xml:space="preserve">Caesars Southern Indiana </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Atlantic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St. Louis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Northern California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Harrah’s Columbus Nebraska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Horseshoe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Casino Bettendorf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Gulf Coast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of Capri Casino Boonville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Hoosier Park Racing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of Capri Casino Lula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Joliet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Casino Waterloo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Lake Tahoe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Lady Luck Casino -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Laughlin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Silver Legacy Resort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Metropolis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 Casino Greenville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North Kansas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Tropicana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Harrah’s Philadelphia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Tropicana Laughlin Hotel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properties operate off-track betting locations, including Harrah’s Hoosier Park Racing &amp; Casino, which operates Winner’s Circle Indianapolis and Winner’s Circle New Haven, and Horseshoe Indianapolis, which operates Winner’s Circle Clarksville. On December 12, 2024, we sold the LINQ Promenade, which is an open-air dining, entertainment, and retail promenade next to The LINQ Hotel &amp; Casino (the “LINQ”). We continue to operate the High Roller, a 550-foot observation wheel, and the Fly LINQ Zipline attraction, located on the east side of the Las Vegas Strip next to the LINQ. The CAESARS FORUM is a 550,000 square feet conference center with 300,000 square feet of flexible meeting space, two of the largest pillarless ballrooms in the world and direct access to the LINQ.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Corporate and Other includes certain unallocated corporate overhead costs and other adjustments, including eliminations of transactions among segments, to reconcile to the Company’s consolidated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The CODM assesses segment performance by using Adjusted EBITDA, which is defined and reconciled to net income (loss) below.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CODM uses Adjusted EBITDA during the annual budgeting process and evaluates budget-to-actual variances on a regular basis to make decisions about the allocation of operating and capital resources. Annual incentive awards and bonus plans have historically been based on the achievement of Adjusted EBITDA as a primary metric as the Company believes it most accurately reflects our results and represents a key metric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4165"/>
                <wp:effectExtent l="0" t="0" r="0" b="0"/>
                <wp:wrapNone/>
                <wp:docPr id="25" name="Frame2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certain operating data for the Company’s four reportable segments, in addition to Corporate and Other:</w:t>
      </w:r>
    </w:p>
    <w:tbl>
      <w:tblPr>
        <w:tblW w:w="7891" w:type="dxa"/>
        <w:jc w:val="left"/>
        <w:tblInd w:w="0" w:type="dxa"/>
        <w:tblLayout w:type="fixed"/>
        <w:tblCellMar>
          <w:top w:w="28" w:type="dxa"/>
          <w:left w:w="28" w:type="dxa"/>
          <w:bottom w:w="28" w:type="dxa"/>
          <w:right w:w="28" w:type="dxa"/>
        </w:tblCellMar>
      </w:tblPr>
      <w:tblGrid>
        <w:gridCol w:w="664"/>
        <w:gridCol w:w="582"/>
        <w:gridCol w:w="584"/>
        <w:gridCol w:w="296"/>
        <w:gridCol w:w="636"/>
        <w:gridCol w:w="164"/>
        <w:gridCol w:w="164"/>
        <w:gridCol w:w="164"/>
        <w:gridCol w:w="164"/>
        <w:gridCol w:w="296"/>
        <w:gridCol w:w="841"/>
        <w:gridCol w:w="164"/>
        <w:gridCol w:w="109"/>
        <w:gridCol w:w="109"/>
        <w:gridCol w:w="109"/>
        <w:gridCol w:w="266"/>
        <w:gridCol w:w="756"/>
        <w:gridCol w:w="148"/>
        <w:gridCol w:w="148"/>
        <w:gridCol w:w="148"/>
        <w:gridCol w:w="148"/>
        <w:gridCol w:w="266"/>
        <w:gridCol w:w="756"/>
        <w:gridCol w:w="209"/>
      </w:tblGrid>
      <w:tr>
        <w:trPr/>
        <w:tc>
          <w:tcPr>
            <w:tcW w:w="66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Las Vegas: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Regional:</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Caesars Digital:</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Managed and Branded:</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Corporate and Other:</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Disaggregation of Certain Significant Expenses by Segment</w:t>
      </w:r>
    </w:p>
    <w:tbl>
      <w:tblPr>
        <w:tblW w:w="10205" w:type="dxa"/>
        <w:jc w:val="left"/>
        <w:tblInd w:w="0" w:type="dxa"/>
        <w:tblLayout w:type="fixed"/>
        <w:tblCellMar>
          <w:top w:w="28" w:type="dxa"/>
          <w:left w:w="28" w:type="dxa"/>
          <w:bottom w:w="28" w:type="dxa"/>
          <w:right w:w="28" w:type="dxa"/>
        </w:tblCellMar>
      </w:tblPr>
      <w:tblGrid>
        <w:gridCol w:w="636"/>
        <w:gridCol w:w="532"/>
        <w:gridCol w:w="533"/>
        <w:gridCol w:w="230"/>
        <w:gridCol w:w="494"/>
        <w:gridCol w:w="128"/>
        <w:gridCol w:w="109"/>
        <w:gridCol w:w="109"/>
        <w:gridCol w:w="109"/>
        <w:gridCol w:w="196"/>
        <w:gridCol w:w="556"/>
        <w:gridCol w:w="109"/>
        <w:gridCol w:w="109"/>
        <w:gridCol w:w="109"/>
        <w:gridCol w:w="109"/>
        <w:gridCol w:w="304"/>
        <w:gridCol w:w="653"/>
        <w:gridCol w:w="169"/>
        <w:gridCol w:w="109"/>
        <w:gridCol w:w="109"/>
        <w:gridCol w:w="109"/>
        <w:gridCol w:w="493"/>
        <w:gridCol w:w="833"/>
        <w:gridCol w:w="277"/>
        <w:gridCol w:w="109"/>
        <w:gridCol w:w="109"/>
        <w:gridCol w:w="109"/>
        <w:gridCol w:w="455"/>
        <w:gridCol w:w="803"/>
        <w:gridCol w:w="255"/>
        <w:gridCol w:w="109"/>
        <w:gridCol w:w="109"/>
        <w:gridCol w:w="109"/>
        <w:gridCol w:w="196"/>
        <w:gridCol w:w="556"/>
        <w:gridCol w:w="162"/>
      </w:tblGrid>
      <w:tr>
        <w:trPr/>
        <w:tc>
          <w:tcPr>
            <w:tcW w:w="63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r>
      <w:tr>
        <w:trPr/>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Gaming taxes</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Labor expense</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expenses </w:t>
            </w:r>
            <w:r>
              <w:rPr>
                <w:rFonts w:ascii="Times New Roman;serif" w:hAnsi="Times New Roman;serif"/>
                <w:b w:val="false"/>
                <w:i/>
                <w:color w:val="000000"/>
                <w:sz w:val="12"/>
              </w:rPr>
              <w:t>(a)</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2"/>
        <w:gridCol w:w="528"/>
        <w:gridCol w:w="529"/>
        <w:gridCol w:w="202"/>
        <w:gridCol w:w="574"/>
        <w:gridCol w:w="112"/>
        <w:gridCol w:w="109"/>
        <w:gridCol w:w="109"/>
        <w:gridCol w:w="109"/>
        <w:gridCol w:w="196"/>
        <w:gridCol w:w="556"/>
        <w:gridCol w:w="109"/>
        <w:gridCol w:w="109"/>
        <w:gridCol w:w="109"/>
        <w:gridCol w:w="109"/>
        <w:gridCol w:w="302"/>
        <w:gridCol w:w="650"/>
        <w:gridCol w:w="168"/>
        <w:gridCol w:w="109"/>
        <w:gridCol w:w="109"/>
        <w:gridCol w:w="109"/>
        <w:gridCol w:w="490"/>
        <w:gridCol w:w="828"/>
        <w:gridCol w:w="275"/>
        <w:gridCol w:w="109"/>
        <w:gridCol w:w="109"/>
        <w:gridCol w:w="109"/>
        <w:gridCol w:w="453"/>
        <w:gridCol w:w="799"/>
        <w:gridCol w:w="253"/>
        <w:gridCol w:w="109"/>
        <w:gridCol w:w="109"/>
        <w:gridCol w:w="109"/>
        <w:gridCol w:w="196"/>
        <w:gridCol w:w="556"/>
        <w:gridCol w:w="162"/>
      </w:tblGrid>
      <w:tr>
        <w:trPr/>
        <w:tc>
          <w:tcPr>
            <w:tcW w:w="6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Gaming taxes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expenses </w:t>
            </w:r>
            <w:r>
              <w:rPr>
                <w:rFonts w:ascii="Times New Roman;serif" w:hAnsi="Times New Roman;serif"/>
                <w:b w:val="false"/>
                <w:i/>
                <w:color w:val="000000"/>
                <w:sz w:val="12"/>
              </w:rPr>
              <w:t>(a)</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4165"/>
                <wp:effectExtent l="0" t="0" r="0" b="0"/>
                <wp:wrapNone/>
                <wp:docPr id="26" name="Frame2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32"/>
        <w:gridCol w:w="528"/>
        <w:gridCol w:w="529"/>
        <w:gridCol w:w="202"/>
        <w:gridCol w:w="574"/>
        <w:gridCol w:w="112"/>
        <w:gridCol w:w="109"/>
        <w:gridCol w:w="109"/>
        <w:gridCol w:w="109"/>
        <w:gridCol w:w="196"/>
        <w:gridCol w:w="556"/>
        <w:gridCol w:w="109"/>
        <w:gridCol w:w="109"/>
        <w:gridCol w:w="109"/>
        <w:gridCol w:w="109"/>
        <w:gridCol w:w="302"/>
        <w:gridCol w:w="650"/>
        <w:gridCol w:w="168"/>
        <w:gridCol w:w="109"/>
        <w:gridCol w:w="109"/>
        <w:gridCol w:w="109"/>
        <w:gridCol w:w="428"/>
        <w:gridCol w:w="923"/>
        <w:gridCol w:w="243"/>
        <w:gridCol w:w="109"/>
        <w:gridCol w:w="109"/>
        <w:gridCol w:w="109"/>
        <w:gridCol w:w="397"/>
        <w:gridCol w:w="886"/>
        <w:gridCol w:w="221"/>
        <w:gridCol w:w="109"/>
        <w:gridCol w:w="109"/>
        <w:gridCol w:w="109"/>
        <w:gridCol w:w="196"/>
        <w:gridCol w:w="556"/>
        <w:gridCol w:w="162"/>
      </w:tblGrid>
      <w:tr>
        <w:trPr/>
        <w:tc>
          <w:tcPr>
            <w:tcW w:w="6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Gaming taxes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Labor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expenses </w:t>
            </w:r>
            <w:r>
              <w:rPr>
                <w:rFonts w:ascii="Times New Roman;serif" w:hAnsi="Times New Roman;serif"/>
                <w:b w:val="false"/>
                <w:i/>
                <w:color w:val="000000"/>
                <w:sz w:val="12"/>
              </w:rPr>
              <w:t>(a)</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2"/>
        <w:gridCol w:w="528"/>
        <w:gridCol w:w="529"/>
        <w:gridCol w:w="202"/>
        <w:gridCol w:w="574"/>
        <w:gridCol w:w="112"/>
        <w:gridCol w:w="109"/>
        <w:gridCol w:w="109"/>
        <w:gridCol w:w="109"/>
        <w:gridCol w:w="196"/>
        <w:gridCol w:w="556"/>
        <w:gridCol w:w="109"/>
        <w:gridCol w:w="109"/>
        <w:gridCol w:w="109"/>
        <w:gridCol w:w="109"/>
        <w:gridCol w:w="302"/>
        <w:gridCol w:w="650"/>
        <w:gridCol w:w="168"/>
        <w:gridCol w:w="109"/>
        <w:gridCol w:w="109"/>
        <w:gridCol w:w="109"/>
        <w:gridCol w:w="428"/>
        <w:gridCol w:w="923"/>
        <w:gridCol w:w="243"/>
        <w:gridCol w:w="109"/>
        <w:gridCol w:w="109"/>
        <w:gridCol w:w="109"/>
        <w:gridCol w:w="397"/>
        <w:gridCol w:w="886"/>
        <w:gridCol w:w="221"/>
        <w:gridCol w:w="109"/>
        <w:gridCol w:w="109"/>
        <w:gridCol w:w="109"/>
        <w:gridCol w:w="196"/>
        <w:gridCol w:w="556"/>
        <w:gridCol w:w="162"/>
      </w:tblGrid>
      <w:tr>
        <w:trPr/>
        <w:tc>
          <w:tcPr>
            <w:tcW w:w="6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Gaming taxes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expenses </w:t>
            </w:r>
            <w:r>
              <w:rPr>
                <w:rFonts w:ascii="Times New Roman;serif" w:hAnsi="Times New Roman;serif"/>
                <w:b w:val="false"/>
                <w:i/>
                <w:color w:val="000000"/>
                <w:sz w:val="12"/>
              </w:rPr>
              <w:t>(a)</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The ‘Other segment expenses’ category for each of our reportable segments primarily includes:</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16"/>
        </w:rPr>
        <w:t>Las Vegas and Regional Segments</w:t>
      </w:r>
      <w:r>
        <w:rPr>
          <w:color w:val="000000"/>
        </w:rPr>
        <w:t xml:space="preserve"> </w:t>
      </w:r>
      <w:r>
        <w:rPr>
          <w:rFonts w:ascii="Times New Roman;serif" w:hAnsi="Times New Roman;serif"/>
          <w:b w:val="false"/>
          <w:i/>
          <w:color w:val="000000"/>
          <w:sz w:val="16"/>
        </w:rPr>
        <w:t>- Cost of sales associated with food, beverage and retail offerings; commission fees, talent fees and ticketing expenses associated with entertainment offerings; utility costs; costs of supplies; repairs and maintenance charges; professional fees; marketing and advertising expenses; software and licensing expenses; rental costs; and insurance expense.</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16"/>
        </w:rPr>
        <w:t>Caesars Digital</w:t>
      </w:r>
      <w:r>
        <w:rPr>
          <w:color w:val="000000"/>
        </w:rPr>
        <w:t xml:space="preserve"> </w:t>
      </w:r>
      <w:r>
        <w:rPr>
          <w:rFonts w:ascii="Times New Roman;serif" w:hAnsi="Times New Roman;serif"/>
          <w:b w:val="false"/>
          <w:i/>
          <w:color w:val="000000"/>
          <w:sz w:val="16"/>
        </w:rPr>
        <w:t>- Labor costs directly associated with the operation and maintenance of the digital platforms; professional fees; marketing and advertising expenses; and software and license expenses.</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16"/>
        </w:rPr>
        <w:t xml:space="preserve">Managed and Branded </w:t>
      </w:r>
      <w:r>
        <w:rPr>
          <w:rFonts w:ascii="Times New Roman;serif" w:hAnsi="Times New Roman;serif"/>
          <w:b w:val="false"/>
          <w:i/>
          <w:color w:val="000000"/>
          <w:sz w:val="16"/>
        </w:rPr>
        <w:t>- Reimbursable expenses which are primarily payroll costs associated with our managed properties.</w:t>
      </w:r>
    </w:p>
    <w:p>
      <w:pPr>
        <w:pStyle w:val="TextBody"/>
        <w:bidi w:val="0"/>
        <w:spacing w:lineRule="auto" w:line="288" w:before="60" w:after="283"/>
        <w:ind w:left="0" w:right="0" w:hanging="360"/>
        <w:jc w:val="both"/>
        <w:rPr/>
      </w:pPr>
      <w:r>
        <w:rPr>
          <w:color w:val="000000"/>
        </w:rPr>
        <w:t>•</w:t>
      </w:r>
      <w:r>
        <w:rPr>
          <w:rFonts w:ascii="Times New Roman;serif" w:hAnsi="Times New Roman;serif"/>
          <w:b/>
          <w:i/>
          <w:color w:val="000000"/>
          <w:sz w:val="16"/>
        </w:rPr>
        <w:t xml:space="preserve">Corporate and Other </w:t>
      </w:r>
      <w:r>
        <w:rPr>
          <w:rFonts w:ascii="Times New Roman;serif" w:hAnsi="Times New Roman;serif"/>
          <w:b w:val="false"/>
          <w:i/>
          <w:color w:val="000000"/>
          <w:sz w:val="16"/>
        </w:rPr>
        <w:t>- Unallocated corporate payroll and overhead costs.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Reconciliation of Net Income (Loss) Attributable to Caesars to Adjusted EBITDA by Segment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a financial measure commonly used in our industry and should not be construed as an alternative to net income (loss) as an indicator of operating performance or as an alternative to cash flows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4165"/>
                <wp:effectExtent l="0" t="0" r="0" b="0"/>
                <wp:wrapNone/>
                <wp:docPr id="27" name="Frame2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CAESARS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706" w:type="dxa"/>
        <w:jc w:val="left"/>
        <w:tblInd w:w="0" w:type="dxa"/>
        <w:tblLayout w:type="fixed"/>
        <w:tblCellMar>
          <w:top w:w="28" w:type="dxa"/>
          <w:left w:w="28" w:type="dxa"/>
          <w:bottom w:w="28" w:type="dxa"/>
          <w:right w:w="28" w:type="dxa"/>
        </w:tblCellMar>
      </w:tblPr>
      <w:tblGrid>
        <w:gridCol w:w="1322"/>
        <w:gridCol w:w="1160"/>
        <w:gridCol w:w="1163"/>
        <w:gridCol w:w="296"/>
        <w:gridCol w:w="636"/>
        <w:gridCol w:w="164"/>
        <w:gridCol w:w="164"/>
        <w:gridCol w:w="164"/>
        <w:gridCol w:w="164"/>
        <w:gridCol w:w="296"/>
        <w:gridCol w:w="841"/>
        <w:gridCol w:w="164"/>
        <w:gridCol w:w="109"/>
        <w:gridCol w:w="109"/>
        <w:gridCol w:w="109"/>
        <w:gridCol w:w="266"/>
        <w:gridCol w:w="756"/>
        <w:gridCol w:w="148"/>
        <w:gridCol w:w="148"/>
        <w:gridCol w:w="148"/>
        <w:gridCol w:w="148"/>
        <w:gridCol w:w="266"/>
        <w:gridCol w:w="756"/>
        <w:gridCol w:w="209"/>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Caesars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income </w:t>
            </w:r>
            <w:r>
              <w:rPr>
                <w:rFonts w:ascii="Times New Roman;serif" w:hAnsi="Times New Roman;serif"/>
                <w:b w:val="false"/>
                <w:i/>
                <w:color w:val="000000"/>
                <w:sz w:val="12"/>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Impairment charges</w:t>
            </w:r>
            <w:r>
              <w:rPr>
                <w:color w:val="000000"/>
              </w:rPr>
              <w:t xml:space="preserve"> </w:t>
            </w:r>
            <w:r>
              <w:rPr>
                <w:rFonts w:ascii="Times New Roman;serif" w:hAnsi="Times New Roman;serif"/>
                <w:b w:val="false"/>
                <w:i/>
                <w:color w:val="000000"/>
                <w:sz w:val="12"/>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 and other, net</w:t>
            </w:r>
            <w:r>
              <w:rPr>
                <w:color w:val="000000"/>
              </w:rPr>
              <w:t xml:space="preserve"> </w:t>
            </w:r>
            <w:r>
              <w:rPr>
                <w:rFonts w:ascii="Times New Roman;serif" w:hAnsi="Times New Roman;serif"/>
                <w:b w:val="false"/>
                <w:i/>
                <w:color w:val="000000"/>
                <w:sz w:val="12"/>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by Segment:</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Managed and Branded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 xml:space="preserve">Other income for the nine months ended September 30, 2024 primarily represents a change in the estimate of our disputed claims liability. </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Impairment charges for the nine months ended September 30, 2024 includes impairment within our Regional segment as a result of a decrease in projected cash flows at certain properties primarily due to localized competition.</w:t>
      </w:r>
    </w:p>
    <w:p>
      <w:pPr>
        <w:pStyle w:val="TextBody"/>
        <w:bidi w:val="0"/>
        <w:spacing w:lineRule="auto" w:line="288" w:before="60" w:after="283"/>
        <w:ind w:left="0" w:right="0" w:hanging="360"/>
        <w:jc w:val="both"/>
        <w:rPr/>
      </w:pPr>
      <w:r>
        <w:rPr>
          <w:rFonts w:ascii="Times New Roman;serif" w:hAnsi="Times New Roman;serif"/>
          <w:b w:val="false"/>
          <w:i/>
          <w:color w:val="000000"/>
          <w:sz w:val="10"/>
        </w:rPr>
        <w:t>(c)</w:t>
      </w:r>
      <w:r>
        <w:rPr>
          <w:rFonts w:ascii="Times New Roman;serif" w:hAnsi="Times New Roman;serif"/>
          <w:b w:val="false"/>
          <w:i/>
          <w:color w:val="000000"/>
          <w:sz w:val="16"/>
        </w:rPr>
        <w:t xml:space="preserve">Transaction costs and other, net primarily includes costs related to non-cash losses on the write down and disposal of assets, certain non-recurring litigation reserves, non-recurring asset recoveries, professional services for transaction and integration costs, various contract exit or termination costs, pre-opening costs in connection with new property openings and non-cash changes in equity method investments. </w:t>
      </w:r>
    </w:p>
    <w:tbl>
      <w:tblPr>
        <w:tblW w:w="9382" w:type="dxa"/>
        <w:jc w:val="left"/>
        <w:tblInd w:w="0" w:type="dxa"/>
        <w:tblLayout w:type="fixed"/>
        <w:tblCellMar>
          <w:top w:w="28" w:type="dxa"/>
          <w:left w:w="28" w:type="dxa"/>
          <w:bottom w:w="28" w:type="dxa"/>
          <w:right w:w="28" w:type="dxa"/>
        </w:tblCellMar>
      </w:tblPr>
      <w:tblGrid>
        <w:gridCol w:w="1200"/>
        <w:gridCol w:w="1056"/>
        <w:gridCol w:w="1059"/>
        <w:gridCol w:w="319"/>
        <w:gridCol w:w="685"/>
        <w:gridCol w:w="177"/>
        <w:gridCol w:w="177"/>
        <w:gridCol w:w="177"/>
        <w:gridCol w:w="177"/>
        <w:gridCol w:w="319"/>
        <w:gridCol w:w="685"/>
        <w:gridCol w:w="177"/>
        <w:gridCol w:w="109"/>
        <w:gridCol w:w="109"/>
        <w:gridCol w:w="109"/>
        <w:gridCol w:w="285"/>
        <w:gridCol w:w="612"/>
        <w:gridCol w:w="158"/>
        <w:gridCol w:w="158"/>
        <w:gridCol w:w="158"/>
        <w:gridCol w:w="158"/>
        <w:gridCol w:w="285"/>
        <w:gridCol w:w="809"/>
        <w:gridCol w:w="22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Capital Expenditures, net - By Segment</w:t>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and Other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10" w:type="dxa"/>
        <w:jc w:val="left"/>
        <w:tblInd w:w="0" w:type="dxa"/>
        <w:tblLayout w:type="fixed"/>
        <w:tblCellMar>
          <w:top w:w="28" w:type="dxa"/>
          <w:left w:w="28" w:type="dxa"/>
          <w:bottom w:w="28" w:type="dxa"/>
          <w:right w:w="28" w:type="dxa"/>
        </w:tblCellMar>
      </w:tblPr>
      <w:tblGrid>
        <w:gridCol w:w="794"/>
        <w:gridCol w:w="697"/>
        <w:gridCol w:w="699"/>
        <w:gridCol w:w="330"/>
        <w:gridCol w:w="1090"/>
        <w:gridCol w:w="184"/>
        <w:gridCol w:w="109"/>
        <w:gridCol w:w="109"/>
        <w:gridCol w:w="109"/>
        <w:gridCol w:w="313"/>
        <w:gridCol w:w="1031"/>
        <w:gridCol w:w="245"/>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Total Assets - By Segment</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Managed and Branded </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Corporate and Other </w:t>
            </w:r>
            <w:r>
              <w:rPr>
                <w:rFonts w:ascii="Times New Roman;serif" w:hAnsi="Times New Roman;serif"/>
                <w:b w:val="false"/>
                <w:i/>
                <w:color w:val="000000"/>
                <w:sz w:val="12"/>
              </w:rPr>
              <w:t>(a)</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31,900 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32,590 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Includes eliminations of transactions among segments, to reconcile to the Company’s consolidated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4165"/>
                <wp:effectExtent l="0" t="0" r="0" b="0"/>
                <wp:wrapNone/>
                <wp:docPr id="28" name="Frame2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2. Management’s Discussion and Analysis of Financial Condition and Results of Operations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operating results of Caesars Entertainment, Inc., a Delaware corporation, and its consolidated subsidiaries, which may be referred to as the “Company,” “CEI,” “Caesars,” “we,” “our,” or “us,” for the three and nine months ended September 30, 2025 and 2024 should be read in conjunction with the unaudited consolidated condensed financial statements and the notes thereto and other financial information included elsewhere in this Form 10-Q as well as our Annual Report on Form 10-K for the fiscal year ended December 31, 2024 (the “2024 Annual Report”). Capitalized terms used but not defined in this Form 10-Q have the same meanings as in the 2024 Annual Report.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 unless otherwise noted.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Objective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in 2021. Our ticker symbol on the NASDAQ Stock Market is “CZR.”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own, lease or manage an aggregate of 52 domestic properties in 18 states with approximately 51,600 slot machines, video lottery terminals and e-tables, approximately 2,800 table games and approximately 45,600 hotel rooms as of September 30, 2025. In addition, we have other properties in North America that are authorized to use the brands and marks of Caesars Entertainment, Inc., as well as other non-gaming properties. Our primary source of revenue is generated by our gaming operations, which includes our casino properties, retail and online sports betting, and online gaming. Additionally, we utilize our hotels, restaurants, bars, entertainment, racing, retail shops and other services to attract customers to our properties.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owned 22 of our casinos and leased 24 casinos in the U.S. We lease 18 casinos from VICI Properties L.P., a Delaware limited partnership (“VICI”), pursuant to a regional lease, a Las Vegas lease and a Joliet lease (the “VICI Leases”). In addition, we lease six casinos from GLP Capital, L.P., the operating partnership of Gaming and Leisure Properties, Inc. (“GLPI”) pursuant to a Master Lease (as amended, the “GLPI Master Lease”) and a Lumière lease associated with our Horseshoe St. Louis property (together with the GLPI Master Lease, the “GLPI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4165"/>
                <wp:effectExtent l="0" t="0" r="0" b="0"/>
                <wp:wrapNone/>
                <wp:docPr id="29" name="Frame2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operate and conduct retail and online sports wagering across 33 jurisdictions in North America, 26 of which offer online sports betting. Additionally, we operate iGaming in five jurisdictions in North America. The map below illustrates Caesars Digital’s presence as of September 30, 2025:</w:t>
      </w:r>
    </w:p>
    <w:p>
      <w:pPr>
        <w:pStyle w:val="TextBody"/>
        <w:bidi w:val="0"/>
        <w:spacing w:before="180" w:after="283"/>
        <w:jc w:val="center"/>
        <w:rPr/>
      </w:pPr>
      <w:r>
        <w:rPr/>
        <w:drawing>
          <wp:inline distT="0" distB="0" distL="0" distR="0">
            <wp:extent cx="6515100" cy="5153025"/>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2"/>
                    <a:stretch>
                      <a:fillRect/>
                    </a:stretch>
                  </pic:blipFill>
                  <pic:spPr bwMode="auto">
                    <a:xfrm>
                      <a:off x="0" y="0"/>
                      <a:ext cx="6515100" cy="5153025"/>
                    </a:xfrm>
                    <a:prstGeom prst="rect">
                      <a:avLst/>
                    </a:prstGeom>
                  </pic:spPr>
                </pic:pic>
              </a:graphicData>
            </a:graphic>
          </wp:inline>
        </w:drawing>
      </w:r>
      <w:bookmarkStart w:id="0" w:name="i-1"/>
      <w:bookmarkEnd w:id="0"/>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 partnership with NYRABets LLC, the official online wagering platform of the New York Racing Association, Inc., and operate the Caesars Racebook app in 22 states as of September 30, 2025. The Caesars Racebook app provides access for pari-mutuel wagering at over 300 racetracks around the world as well as livestreaming of races. Wagers placed can earn credits towards our Caesars Rewards loyalty program or points which can be redeemed for free wagering credits.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continue to expand our Caesars Digital footprint into other states with the Caesars Sportsbook, Caesars Racebook and iGaming mobile apps as jurisdictions legalize or provide necessary approvals. No customers under 21 years old are allowed to wager on any of the Caesars Sportsbook, Caesars Racebook or iGaming mobile apps.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periodically divest assets to raise capital or, in previous cases, to comply with conditions, terms, obligations or restrictions imposed by antitrust, gaming and other regulatory entities. The following is a summary of divestitures recently completed as of September 30, 2025:</w:t>
      </w:r>
    </w:p>
    <w:tbl>
      <w:tblPr>
        <w:tblW w:w="8059" w:type="dxa"/>
        <w:jc w:val="left"/>
        <w:tblInd w:w="0" w:type="dxa"/>
        <w:tblLayout w:type="fixed"/>
        <w:tblCellMar>
          <w:top w:w="28" w:type="dxa"/>
          <w:left w:w="28" w:type="dxa"/>
          <w:bottom w:w="28" w:type="dxa"/>
          <w:right w:w="28" w:type="dxa"/>
        </w:tblCellMar>
      </w:tblPr>
      <w:tblGrid>
        <w:gridCol w:w="435"/>
        <w:gridCol w:w="381"/>
        <w:gridCol w:w="384"/>
        <w:gridCol w:w="109"/>
        <w:gridCol w:w="109"/>
        <w:gridCol w:w="109"/>
        <w:gridCol w:w="1108"/>
        <w:gridCol w:w="1108"/>
        <w:gridCol w:w="1113"/>
        <w:gridCol w:w="109"/>
        <w:gridCol w:w="109"/>
        <w:gridCol w:w="109"/>
        <w:gridCol w:w="499"/>
        <w:gridCol w:w="499"/>
        <w:gridCol w:w="502"/>
        <w:gridCol w:w="109"/>
        <w:gridCol w:w="109"/>
        <w:gridCol w:w="109"/>
        <w:gridCol w:w="306"/>
        <w:gridCol w:w="306"/>
        <w:gridCol w:w="437"/>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Sales Price</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World Series of Poker (“WSOP”) Trademark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 million</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LINQ Promenade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$275 million</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376" w:type="dxa"/>
            <w:gridSpan w:val="6"/>
            <w:tcBorders/>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4165"/>
                <wp:effectExtent l="0" t="0" r="0" b="0"/>
                <wp:wrapNone/>
                <wp:docPr id="31" name="Frame3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Investments and Partnerships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investments in unconsolidated affiliates accounted for under the equity method which are recorded in Investments in and advances to unconsolidated affiliates on the Balance Sheets.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Pompano Joint Venture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April 2018, we entered into a joint venture with Cordish Companies (“Cordish”) to plan and develop a mixed-use entertainment and hospitality destination expected to be located on unused land adjacent to our Pompano property. As the managing member, Cordish will operate the business and manage the development, construction, financing, marketing, leasing, maintenance and day-to-day operation of the various phases of the project. Additionally, Cordish is responsible for the development of the master plan for the project with our input and will submit it for our review and approval. 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and other costs, net on the Statements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received distributions totaling $23 million and recorded $1 million of income related to the joint venture. As of September 30, 2025 and December 31, 2024, our investment in the joint venture was $97 million and $119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Reportable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Presentation of Financial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presentation of financial information herein for the periods after our completed divestitures, described above, is not fully comparable to the periods prior to such divestitures.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MD&amp;A is intended to provide information to assist in better understanding and evaluating our financial condition and results of operations. Our historical operating results may not be indicative of our future results of operations because of the factor described in the preceding paragraph and the changing competitive landscape in each of our markets, including changes in market and societal trends, as well as by factors discussed elsewhere herein. We recommend that you read this MD&amp;A in conjunction with our unaudited Financial Statements and the notes to those statements included in this Quarterly Report on Form 10-Q.</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Key Performance Metrics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 of revenue is generated by our gaming operations, which includes our casino properties, retail and online sports betting, and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horse racing and iGaming applications. </w:t>
      </w:r>
    </w:p>
    <w:p>
      <w:pPr>
        <w:pStyle w:val="TextBody"/>
        <w:bidi w:val="0"/>
        <w:spacing w:lineRule="auto" w:line="288" w:before="180" w:after="283"/>
        <w:jc w:val="both"/>
        <w:rPr/>
      </w:pPr>
      <w:r>
        <w:rPr>
          <w:rFonts w:ascii="Times New Roman;serif" w:hAnsi="Times New Roman;serif"/>
          <w:b w:val="false"/>
          <w:color w:val="000000"/>
          <w:sz w:val="20"/>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Table games hold percentage is typically in the range of approximately 16% to 23% of table games drop. Sports betting hold is typically in the range of 7% to 11% and iGaming hold typically ranges from 3% to 5%. In addition, hotel occupancy, which is the average percentage of available hotel rooms occupied during a period, is a key indicator for our hotel business in the Las Vegas segment. Complimentary and discounted rooms are treated as occupied rooms in our calculation of hotel occupancy. The key metrics we utilize to measure our profitability and performance are Adjusted EBITDA and Adjusted EBITDA margin. See “</w:t>
      </w:r>
      <w:hyperlink w:anchor="ie1c7ac6d19bb4b3fb593ccd40a5fd54a_97">
        <w:r>
          <w:rPr>
            <w:rStyle w:val="InternetLink"/>
            <w:rFonts w:ascii="Times New Roman;serif" w:hAnsi="Times New Roman;serif"/>
            <w:b w:val="false"/>
            <w:color w:val="0000FF"/>
            <w:sz w:val="20"/>
            <w:u w:val="single"/>
          </w:rPr>
          <w:t>Results of Operations</w:t>
        </w:r>
      </w:hyperlink>
      <w:r>
        <w:rPr>
          <w:color w:val="000000"/>
        </w:rPr>
        <w:t xml:space="preserve">” </w:t>
      </w:r>
      <w:r>
        <w:rPr>
          <w:rFonts w:ascii="Times New Roman;serif" w:hAnsi="Times New Roman;serif"/>
          <w:b w:val="false"/>
          <w:color w:val="000000"/>
          <w:sz w:val="20"/>
        </w:rPr>
        <w:t xml:space="preserve">section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4165"/>
                <wp:effectExtent l="0" t="0" r="0" b="0"/>
                <wp:wrapNone/>
                <wp:docPr id="32" name="Frame3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Significant Factors Impacting Financial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summary highlights the significant factors impacting our financial results for the three and nine months ended September 30, 2025 and 2024:</w:t>
      </w:r>
    </w:p>
    <w:p>
      <w:pPr>
        <w:pStyle w:val="TextBody"/>
        <w:bidi w:val="0"/>
        <w:spacing w:lineRule="auto" w:line="288" w:before="180" w:after="283"/>
        <w:ind w:left="0" w:right="0" w:hanging="360"/>
        <w:jc w:val="both"/>
        <w:rPr/>
      </w:pPr>
      <w:r>
        <w:rPr>
          <w:color w:val="212529"/>
        </w:rPr>
        <w:t>•</w:t>
      </w:r>
      <w:r>
        <w:rPr>
          <w:rFonts w:ascii="Times New Roman;serif" w:hAnsi="Times New Roman;serif"/>
          <w:b w:val="false"/>
          <w:i/>
          <w:color w:val="000000"/>
          <w:sz w:val="20"/>
        </w:rPr>
        <w:t xml:space="preserve">Economic Factors Impacting Discretionary Spending – </w:t>
      </w:r>
      <w:r>
        <w:rPr>
          <w:rFonts w:ascii="Times New Roman;serif" w:hAnsi="Times New Roman;serif"/>
          <w:b w:val="false"/>
          <w:color w:val="212529"/>
          <w:sz w:val="20"/>
        </w:rPr>
        <w:t>Gaming and other leisure activities we offer represent discretionary expenditures that may be sensitive to economic downturns, which impact the behavior among the components of our customer mix differently. W</w:t>
      </w:r>
      <w:r>
        <w:rPr>
          <w:rFonts w:ascii="Times New Roman;serif" w:hAnsi="Times New Roman;serif"/>
          <w:b w:val="false"/>
          <w:color w:val="000000"/>
          <w:sz w:val="20"/>
        </w:rPr>
        <w:t>e monitor current and recent trends, including inflation, interest rates, global hostilities, trade tension and related actions, such as the imposition of tariffs between the United States and other countries, and the associated effects, if any, on travel, visitation, our customers, and our operations.</w:t>
      </w:r>
    </w:p>
    <w:p>
      <w:pPr>
        <w:pStyle w:val="TextBody"/>
        <w:bidi w:val="0"/>
        <w:spacing w:lineRule="auto" w:line="288" w:before="180" w:after="283"/>
        <w:ind w:left="0" w:right="0" w:hanging="360"/>
        <w:jc w:val="both"/>
        <w:rPr/>
      </w:pPr>
      <w:r>
        <w:rPr>
          <w:color w:val="212529"/>
        </w:rPr>
        <w:t>•</w:t>
      </w:r>
      <w:r>
        <w:rPr>
          <w:rFonts w:ascii="Times New Roman;serif" w:hAnsi="Times New Roman;serif"/>
          <w:b w:val="false"/>
          <w:i/>
          <w:color w:val="000000"/>
          <w:sz w:val="20"/>
        </w:rPr>
        <w:t>Debt Transactions –</w:t>
      </w:r>
      <w:r>
        <w:rPr>
          <w:color w:val="000000"/>
        </w:rPr>
        <w:t xml:space="preserve"> </w:t>
      </w:r>
      <w:r>
        <w:rPr>
          <w:rFonts w:ascii="Times New Roman;serif" w:hAnsi="Times New Roman;serif"/>
          <w:b w:val="false"/>
          <w:color w:val="000000"/>
          <w:sz w:val="20"/>
        </w:rPr>
        <w:t>On July 8, 2025, we fully redeemed all of the $546 million outstanding principal amount of the CEI Senior Notes due 2027 and paid the related accrued interest and expenses with borrowings under the CEI Revolving Credit Facility and proceeds received from the partial repayment and sale of $225 million of notes receivable related to the previously disclosed WSOP trademark sale. We refinanced and extended the maturities of outstanding debt in the amount of $4.4 billion in February 2024, shifting a portion of our outstanding debt from fixed rate to variable rate debt, and reduced interest rate margins for both the CEI Term Loan B and CEI Term Loan B-1 in May 2024. These refinancing activities have resulted in a significant reduction in interest expense and associated cash paid for interest for the three and nine months ended September 30, 2025.</w:t>
      </w:r>
    </w:p>
    <w:p>
      <w:pPr>
        <w:pStyle w:val="TextBody"/>
        <w:bidi w:val="0"/>
        <w:spacing w:lineRule="auto" w:line="288" w:before="180" w:after="283"/>
        <w:ind w:left="0" w:right="0" w:hanging="360"/>
        <w:jc w:val="both"/>
        <w:rPr/>
      </w:pPr>
      <w:r>
        <w:rPr>
          <w:color w:val="212529"/>
        </w:rPr>
        <w:t>•</w:t>
      </w:r>
      <w:r>
        <w:rPr>
          <w:rFonts w:ascii="Times New Roman;serif" w:hAnsi="Times New Roman;serif"/>
          <w:b w:val="false"/>
          <w:i/>
          <w:color w:val="000000"/>
          <w:sz w:val="20"/>
        </w:rPr>
        <w:t>Impairment Charges –</w:t>
      </w:r>
      <w:r>
        <w:rPr>
          <w:color w:val="000000"/>
        </w:rPr>
        <w:t xml:space="preserve"> </w:t>
      </w:r>
      <w:r>
        <w:rPr>
          <w:rFonts w:ascii="Times New Roman;serif" w:hAnsi="Times New Roman;serif"/>
          <w:b w:val="false"/>
          <w:color w:val="000000"/>
          <w:sz w:val="20"/>
        </w:rPr>
        <w:t>During the three and nine months ended September 30, 2025, we did not recognize any impairment charges. During the nine months ended September 30, 2024, we recognized impairment charges in our Regional segment related to trademarks, gaming rights and goodwill totaling $118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highlights the results of our operations:</w:t>
      </w:r>
    </w:p>
    <w:tbl>
      <w:tblPr>
        <w:tblW w:w="8077" w:type="dxa"/>
        <w:jc w:val="left"/>
        <w:tblInd w:w="0" w:type="dxa"/>
        <w:tblLayout w:type="fixed"/>
        <w:tblCellMar>
          <w:top w:w="28" w:type="dxa"/>
          <w:left w:w="28" w:type="dxa"/>
          <w:bottom w:w="28" w:type="dxa"/>
          <w:right w:w="28" w:type="dxa"/>
        </w:tblCellMar>
      </w:tblPr>
      <w:tblGrid>
        <w:gridCol w:w="727"/>
        <w:gridCol w:w="640"/>
        <w:gridCol w:w="643"/>
        <w:gridCol w:w="242"/>
        <w:gridCol w:w="687"/>
        <w:gridCol w:w="316"/>
        <w:gridCol w:w="134"/>
        <w:gridCol w:w="134"/>
        <w:gridCol w:w="134"/>
        <w:gridCol w:w="242"/>
        <w:gridCol w:w="687"/>
        <w:gridCol w:w="316"/>
        <w:gridCol w:w="109"/>
        <w:gridCol w:w="109"/>
        <w:gridCol w:w="109"/>
        <w:gridCol w:w="234"/>
        <w:gridCol w:w="663"/>
        <w:gridCol w:w="305"/>
        <w:gridCol w:w="130"/>
        <w:gridCol w:w="130"/>
        <w:gridCol w:w="130"/>
        <w:gridCol w:w="234"/>
        <w:gridCol w:w="663"/>
        <w:gridCol w:w="359"/>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Managed and Branded</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Corporate and Other </w:t>
            </w:r>
            <w:r>
              <w:rPr>
                <w:rFonts w:ascii="Times New Roman;serif" w:hAnsi="Times New Roman;serif"/>
                <w:b w:val="false"/>
                <w:i/>
                <w:color w:val="000000"/>
                <w:sz w:val="12"/>
              </w:rPr>
              <w:t>(a)</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8,446 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EBITDA </w:t>
            </w:r>
            <w:r>
              <w:rPr>
                <w:rFonts w:ascii="Times New Roman;serif" w:hAnsi="Times New Roman;serif"/>
                <w:b/>
                <w:i/>
                <w:color w:val="000000"/>
                <w:sz w:val="12"/>
              </w:rPr>
              <w:t>(b)</w:t>
            </w:r>
            <w:r>
              <w:rPr>
                <w:rFonts w:ascii="Times New Roman;serif" w:hAnsi="Times New Roman;serif"/>
                <w:b/>
                <w:color w:val="000000"/>
                <w:sz w:val="18"/>
              </w:rPr>
              <w:t>:</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Las Vegas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Managed and Branded</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Corporate and Other </w:t>
            </w:r>
            <w:r>
              <w:rPr>
                <w:rFonts w:ascii="Times New Roman;serif" w:hAnsi="Times New Roman;serif"/>
                <w:b w:val="false"/>
                <w:i/>
                <w:color w:val="000000"/>
                <w:sz w:val="12"/>
              </w:rPr>
              <w:t>(a)</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margin</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Corporate and Other includes revenues related to certain licensing arrangements and various revenue sharing agreements and includes eliminations of transactions among segments to reconcile to the Company’s consolidated results. Corporate and Other Adjusted EBITDA includes corporate overhead costs, which consist of certain expenses, such as: payroll, professional fees, cybersecurity and other general and administrative expenses.</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See the “Supplemental Unaudited Presentation of Consolidated Adjusted Earnings Before Interest, Taxes, Depreciation and Amortization (“Adjusted EBITDA”) for the Three and Nine Months Ended September 30, 2025 and 2024” discussion later in this MD&amp;A for a description of Adjusted EBITDA and a reconciliation of net income (loss) attributable to Caesars to 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04165"/>
                <wp:effectExtent l="0" t="0" r="0" b="0"/>
                <wp:wrapNone/>
                <wp:docPr id="33" name="Frame3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Consolidated comparison of the three and nine months ended September 30, 2025 and 2024</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Net Revenues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revenues were as follows:</w:t>
      </w:r>
    </w:p>
    <w:tbl>
      <w:tblPr>
        <w:tblW w:w="10205" w:type="dxa"/>
        <w:jc w:val="left"/>
        <w:tblInd w:w="0" w:type="dxa"/>
        <w:tblLayout w:type="fixed"/>
        <w:tblCellMar>
          <w:top w:w="28" w:type="dxa"/>
          <w:left w:w="28" w:type="dxa"/>
          <w:bottom w:w="28" w:type="dxa"/>
          <w:right w:w="28" w:type="dxa"/>
        </w:tblCellMar>
      </w:tblPr>
      <w:tblGrid>
        <w:gridCol w:w="347"/>
        <w:gridCol w:w="260"/>
        <w:gridCol w:w="261"/>
        <w:gridCol w:w="208"/>
        <w:gridCol w:w="590"/>
        <w:gridCol w:w="115"/>
        <w:gridCol w:w="115"/>
        <w:gridCol w:w="115"/>
        <w:gridCol w:w="115"/>
        <w:gridCol w:w="208"/>
        <w:gridCol w:w="590"/>
        <w:gridCol w:w="115"/>
        <w:gridCol w:w="109"/>
        <w:gridCol w:w="109"/>
        <w:gridCol w:w="109"/>
        <w:gridCol w:w="245"/>
        <w:gridCol w:w="414"/>
        <w:gridCol w:w="137"/>
        <w:gridCol w:w="109"/>
        <w:gridCol w:w="109"/>
        <w:gridCol w:w="109"/>
        <w:gridCol w:w="240"/>
        <w:gridCol w:w="183"/>
        <w:gridCol w:w="432"/>
        <w:gridCol w:w="109"/>
        <w:gridCol w:w="109"/>
        <w:gridCol w:w="109"/>
        <w:gridCol w:w="206"/>
        <w:gridCol w:w="587"/>
        <w:gridCol w:w="115"/>
        <w:gridCol w:w="115"/>
        <w:gridCol w:w="115"/>
        <w:gridCol w:w="115"/>
        <w:gridCol w:w="206"/>
        <w:gridCol w:w="587"/>
        <w:gridCol w:w="115"/>
        <w:gridCol w:w="109"/>
        <w:gridCol w:w="109"/>
        <w:gridCol w:w="109"/>
        <w:gridCol w:w="214"/>
        <w:gridCol w:w="461"/>
        <w:gridCol w:w="121"/>
        <w:gridCol w:w="109"/>
        <w:gridCol w:w="109"/>
        <w:gridCol w:w="109"/>
        <w:gridCol w:w="241"/>
        <w:gridCol w:w="176"/>
        <w:gridCol w:w="506"/>
      </w:tblGrid>
      <w:tr>
        <w:trPr/>
        <w:tc>
          <w:tcPr>
            <w:tcW w:w="34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6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Consolidated net revenues remained substantially flat for the three and nine months ended September 30, 2025, as compared to the same prior year periods, with mixed results between gaming and non-gaming revenues. Casino revenues increased driven by significant growth in iGaming handle coupled with improved iGaming hold in our Caesars Digital segment and the recently completed development projects of Caesars Virginia and Caesars New Orleans, offset in part by certain competitive markets in our Regional segment. Net revenues in the Las Vegas segment were down, primarily due to lower gaming and non-gaming revenue, consistent with visitation trends city-wide and unfavorable table games hold, as compared to the three and nine months ended September 30, 2024.</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Operating expenses were as follows:</w:t>
      </w:r>
    </w:p>
    <w:tbl>
      <w:tblPr>
        <w:tblW w:w="10397" w:type="dxa"/>
        <w:jc w:val="left"/>
        <w:tblInd w:w="0" w:type="dxa"/>
        <w:tblLayout w:type="fixed"/>
        <w:tblCellMar>
          <w:top w:w="28" w:type="dxa"/>
          <w:left w:w="28" w:type="dxa"/>
          <w:bottom w:w="28" w:type="dxa"/>
          <w:right w:w="28" w:type="dxa"/>
        </w:tblCellMar>
      </w:tblPr>
      <w:tblGrid>
        <w:gridCol w:w="553"/>
        <w:gridCol w:w="337"/>
        <w:gridCol w:w="221"/>
        <w:gridCol w:w="196"/>
        <w:gridCol w:w="556"/>
        <w:gridCol w:w="109"/>
        <w:gridCol w:w="109"/>
        <w:gridCol w:w="109"/>
        <w:gridCol w:w="109"/>
        <w:gridCol w:w="196"/>
        <w:gridCol w:w="556"/>
        <w:gridCol w:w="109"/>
        <w:gridCol w:w="109"/>
        <w:gridCol w:w="109"/>
        <w:gridCol w:w="109"/>
        <w:gridCol w:w="214"/>
        <w:gridCol w:w="461"/>
        <w:gridCol w:w="121"/>
        <w:gridCol w:w="109"/>
        <w:gridCol w:w="109"/>
        <w:gridCol w:w="109"/>
        <w:gridCol w:w="303"/>
        <w:gridCol w:w="268"/>
        <w:gridCol w:w="382"/>
        <w:gridCol w:w="109"/>
        <w:gridCol w:w="109"/>
        <w:gridCol w:w="109"/>
        <w:gridCol w:w="196"/>
        <w:gridCol w:w="556"/>
        <w:gridCol w:w="109"/>
        <w:gridCol w:w="109"/>
        <w:gridCol w:w="109"/>
        <w:gridCol w:w="109"/>
        <w:gridCol w:w="196"/>
        <w:gridCol w:w="556"/>
        <w:gridCol w:w="109"/>
        <w:gridCol w:w="109"/>
        <w:gridCol w:w="109"/>
        <w:gridCol w:w="109"/>
        <w:gridCol w:w="214"/>
        <w:gridCol w:w="461"/>
        <w:gridCol w:w="121"/>
        <w:gridCol w:w="109"/>
        <w:gridCol w:w="109"/>
        <w:gridCol w:w="109"/>
        <w:gridCol w:w="350"/>
        <w:gridCol w:w="221"/>
        <w:gridCol w:w="437"/>
      </w:tblGrid>
      <w:tr>
        <w:trPr/>
        <w:tc>
          <w:tcPr>
            <w:tcW w:w="5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other costs,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6"/>
        </w:rPr>
        <w:t>*    </w:t>
      </w:r>
      <w:r>
        <w:rPr>
          <w:rFonts w:ascii="Times New Roman;serif" w:hAnsi="Times New Roman;serif"/>
          <w:b w:val="false"/>
          <w:i/>
          <w:color w:val="000000"/>
          <w:sz w:val="16"/>
        </w:rPr>
        <w:t>Not meaningful.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Casino expenses consist principally of salaries and wages, gaming taxes and marketing and advertising costs attributable to our gaming operations. Food and beverage expenses consist principally of salaries and wages and costs of goods sold associated with our food and beverage operations. Hotel expenses consist principally of salaries and wages and supplies associated with our hotel operations. Other expenses consist principally of salaries and wages, costs of goods sold associated with our retail operations, entertainment costs, including professional talent fees, reimbursable management costs (described below) and other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Casino expenses increased for the three and nine months ended September 30, 2025, as compared to the same prior year periods. Casino expenses rose in connection with increased revenues in our Caesars Digital and Regional segments and targeted customer reinvestment in certain competitive markets in our Regional segment. Gaming taxes increased in connection with additional casino revenues, as well as the impact of increased gaming tax rates on sports betting wagers and iGaming in certain states, which took effect on July 1, 2025. Increased casino expenses were partially offset by decreased marketing expenses in our Las Vegas segment associated with the Super Bowl held in Las Vegas in the first quarter of 2024. Food and beverage and hotel expenses have increased due to incremental wages correlating with additional revenues associated with the opening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4165"/>
                <wp:effectExtent l="0" t="0" r="0" b="0"/>
                <wp:wrapNone/>
                <wp:docPr id="34" name="Frame3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Caesars Virginia’s permanent facility and the completed expansion of Caesars New Orleans, as well as higher union and non-union wages. We continue to focus on labor efficiencies across the enterprise to manage increased labor costs.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items such as information technology, facility maintenance, utilities, property and liability insurance, expenses for administrative departments such as accounting, compliance, purchasing, human resources, legal, internal audit, property taxes and marketing expenses indirectly related to our gaming and non-gaming operations.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Corporate expenses include unallocated expenses such as payroll, inclusive of the annual bonus, stock-based compensation, professional fees, cybersecurity and other various expenses not directly related to the Company’s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Impairment charges were recorded within our Regional segment in June 2024 as a result of a decrease in projected future cash flows at certain properties primarily due to localized competition.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increased for the three and nine months ended September 30, 2025, as compared to the same prior year periods, primarily related to recently completed construction projects.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and other costs, net primarily includes non-cash losses on the write down and disposal of assets, gains and losses on the sale of certain assets, certain non-recurring litigation reserves, non-recurring asset recoveries, professional services for transaction and integration costs, various contract exit or termination costs, pre-opening costs in connection with our new property openings and non-cash changes in equity method investments. For the three months ended September 30, 2025, as compared to the same prior year period, transaction and other costs decreased due to non-recurring asset recoveries. For the nine months ended September 30, 2025, as compared to the same prior year period, transaction and other costs increased due to non-recurring litigation reserves. </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(expenses)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(expenses) were as follows:</w:t>
      </w:r>
    </w:p>
    <w:tbl>
      <w:tblPr>
        <w:tblW w:w="10205" w:type="dxa"/>
        <w:jc w:val="left"/>
        <w:tblInd w:w="0" w:type="dxa"/>
        <w:tblLayout w:type="fixed"/>
        <w:tblCellMar>
          <w:top w:w="28" w:type="dxa"/>
          <w:left w:w="28" w:type="dxa"/>
          <w:bottom w:w="28" w:type="dxa"/>
          <w:right w:w="28" w:type="dxa"/>
        </w:tblCellMar>
      </w:tblPr>
      <w:tblGrid>
        <w:gridCol w:w="574"/>
        <w:gridCol w:w="427"/>
        <w:gridCol w:w="237"/>
        <w:gridCol w:w="198"/>
        <w:gridCol w:w="443"/>
        <w:gridCol w:w="110"/>
        <w:gridCol w:w="110"/>
        <w:gridCol w:w="110"/>
        <w:gridCol w:w="110"/>
        <w:gridCol w:w="198"/>
        <w:gridCol w:w="443"/>
        <w:gridCol w:w="110"/>
        <w:gridCol w:w="109"/>
        <w:gridCol w:w="109"/>
        <w:gridCol w:w="109"/>
        <w:gridCol w:w="245"/>
        <w:gridCol w:w="414"/>
        <w:gridCol w:w="137"/>
        <w:gridCol w:w="109"/>
        <w:gridCol w:w="109"/>
        <w:gridCol w:w="109"/>
        <w:gridCol w:w="303"/>
        <w:gridCol w:w="181"/>
        <w:gridCol w:w="390"/>
        <w:gridCol w:w="109"/>
        <w:gridCol w:w="109"/>
        <w:gridCol w:w="109"/>
        <w:gridCol w:w="197"/>
        <w:gridCol w:w="577"/>
        <w:gridCol w:w="109"/>
        <w:gridCol w:w="109"/>
        <w:gridCol w:w="109"/>
        <w:gridCol w:w="109"/>
        <w:gridCol w:w="197"/>
        <w:gridCol w:w="577"/>
        <w:gridCol w:w="109"/>
        <w:gridCol w:w="109"/>
        <w:gridCol w:w="109"/>
        <w:gridCol w:w="109"/>
        <w:gridCol w:w="245"/>
        <w:gridCol w:w="414"/>
        <w:gridCol w:w="137"/>
        <w:gridCol w:w="109"/>
        <w:gridCol w:w="109"/>
        <w:gridCol w:w="109"/>
        <w:gridCol w:w="285"/>
        <w:gridCol w:w="198"/>
        <w:gridCol w:w="458"/>
      </w:tblGrid>
      <w:tr>
        <w:trPr/>
        <w:tc>
          <w:tcPr>
            <w:tcW w:w="57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6"/>
        </w:rPr>
        <w:t>*    </w:t>
      </w:r>
      <w:r>
        <w:rPr>
          <w:rFonts w:ascii="Times New Roman;serif" w:hAnsi="Times New Roman;serif"/>
          <w:b w:val="false"/>
          <w:i/>
          <w:color w:val="000000"/>
          <w:sz w:val="16"/>
        </w:rPr>
        <w:t>Not meaningful.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for the three and nine months ended September 30, 2025, as compared to the same prior year periods, primarily due a reduction in outstanding debt and our strategic shift in our debt mix from higher fixed rate debt to variable rate debt during the first quarter of 2024, which has benefitted from recent interest rate cuts. Capitalized interest has also decreased for the three and nine months ended September 30, 2025, as compared to the same prior year periods, as construction projects in the prior year have been completed.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loss on extinguishment of debt was related to the full redemption of the CEI Senior Notes due 2027. For the nine months ended September 30, 2024, loss on extinguishment of debt was primarily related to the prepayments of the CEI Senior Secured Notes due 2025, the Caesars Resort Collection Senior Secured Notes, and the partial prepayment of the CEI Term Loan B.</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Other income for the nine months ended September 30, 2024 primarily represents a change in the estimate of our disputed claims liability.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income tax provision for the three months ended September 30, 2025 differed from the expected income tax provision based on the federal tax rate of 21% primarily due to a decrease in federal and state valuation allowances against the deferred tax assets for excess business interest expense, primarily related to the change in tax law. The income tax provision for the nine months ended September 30, 2025 differed from the expected income tax provision based on the federal tax rate of 21% primarily due to an increase in federal and state valuation allowances against the deferred tax assets for excess business 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04165"/>
                <wp:effectExtent l="0" t="0" r="0" b="0"/>
                <wp:wrapNone/>
                <wp:docPr id="35" name="Frame3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income tax provision for the three and nine months ended September 30, 2024 differed from the expected income tax provision based on the federal tax rate of 21% primarily due to an increase in federal and state valuation allowances against the deferred tax assets for excess business interest expense.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Segment comparison of the three and nine months ended September 30, 2025 and 2024</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Las Vegas Segment</w:t>
      </w:r>
    </w:p>
    <w:tbl>
      <w:tblPr>
        <w:tblW w:w="10595" w:type="dxa"/>
        <w:jc w:val="left"/>
        <w:tblInd w:w="0" w:type="dxa"/>
        <w:tblLayout w:type="fixed"/>
        <w:tblCellMar>
          <w:top w:w="28" w:type="dxa"/>
          <w:left w:w="28" w:type="dxa"/>
          <w:bottom w:w="28" w:type="dxa"/>
          <w:right w:w="28" w:type="dxa"/>
        </w:tblCellMar>
      </w:tblPr>
      <w:tblGrid>
        <w:gridCol w:w="460"/>
        <w:gridCol w:w="220"/>
        <w:gridCol w:w="221"/>
        <w:gridCol w:w="196"/>
        <w:gridCol w:w="556"/>
        <w:gridCol w:w="256"/>
        <w:gridCol w:w="109"/>
        <w:gridCol w:w="109"/>
        <w:gridCol w:w="109"/>
        <w:gridCol w:w="196"/>
        <w:gridCol w:w="556"/>
        <w:gridCol w:w="256"/>
        <w:gridCol w:w="109"/>
        <w:gridCol w:w="109"/>
        <w:gridCol w:w="109"/>
        <w:gridCol w:w="196"/>
        <w:gridCol w:w="491"/>
        <w:gridCol w:w="109"/>
        <w:gridCol w:w="109"/>
        <w:gridCol w:w="109"/>
        <w:gridCol w:w="109"/>
        <w:gridCol w:w="303"/>
        <w:gridCol w:w="178"/>
        <w:gridCol w:w="382"/>
        <w:gridCol w:w="109"/>
        <w:gridCol w:w="109"/>
        <w:gridCol w:w="109"/>
        <w:gridCol w:w="196"/>
        <w:gridCol w:w="556"/>
        <w:gridCol w:w="256"/>
        <w:gridCol w:w="109"/>
        <w:gridCol w:w="109"/>
        <w:gridCol w:w="109"/>
        <w:gridCol w:w="196"/>
        <w:gridCol w:w="556"/>
        <w:gridCol w:w="256"/>
        <w:gridCol w:w="109"/>
        <w:gridCol w:w="109"/>
        <w:gridCol w:w="109"/>
        <w:gridCol w:w="196"/>
        <w:gridCol w:w="491"/>
        <w:gridCol w:w="109"/>
        <w:gridCol w:w="109"/>
        <w:gridCol w:w="109"/>
        <w:gridCol w:w="109"/>
        <w:gridCol w:w="285"/>
        <w:gridCol w:w="196"/>
        <w:gridCol w:w="437"/>
      </w:tblGrid>
      <w:tr>
        <w:trPr/>
        <w:tc>
          <w:tcPr>
            <w:tcW w:w="4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drop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Table games hold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handle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 occupancy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pts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Las Vegas segment’s net revenues, net income, Adjusted EBITDA and Adjusted EBITDA margin decreased for the three and nine months ended September 30, 2025, as compared to the same prior year periods, primarily due to city-wide visitation trends that have resulted in lower gaming and non-gaming revenue. Table and slot volumes declined, coupled with unfavorable table games hold, particularly during the third quarter, resulting in current year third quarter table games hold at the low end of the typical range while prior year third quarter table games hold exceeded the typical range. Similarly, declines in city-wide visitation have resulted in lower hotel occupancy and room rates compared to the prior year periods. Other revenue declined as compared to the same prior year periods primarily due to the sale of the LINQ Promenade during the fourth quarter of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Slot win percentage in the Las Vegas segment for the three and nine months ended September 30, 2025 was within our typical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4165"/>
                <wp:effectExtent l="0" t="0" r="0" b="0"/>
                <wp:wrapNone/>
                <wp:docPr id="36" name="Frame3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Regional Segment</w:t>
      </w:r>
    </w:p>
    <w:tbl>
      <w:tblPr>
        <w:tblW w:w="11020" w:type="dxa"/>
        <w:jc w:val="left"/>
        <w:tblInd w:w="0" w:type="dxa"/>
        <w:tblLayout w:type="fixed"/>
        <w:tblCellMar>
          <w:top w:w="28" w:type="dxa"/>
          <w:left w:w="28" w:type="dxa"/>
          <w:bottom w:w="28" w:type="dxa"/>
          <w:right w:w="28" w:type="dxa"/>
        </w:tblCellMar>
      </w:tblPr>
      <w:tblGrid>
        <w:gridCol w:w="460"/>
        <w:gridCol w:w="220"/>
        <w:gridCol w:w="221"/>
        <w:gridCol w:w="196"/>
        <w:gridCol w:w="646"/>
        <w:gridCol w:w="256"/>
        <w:gridCol w:w="109"/>
        <w:gridCol w:w="109"/>
        <w:gridCol w:w="109"/>
        <w:gridCol w:w="196"/>
        <w:gridCol w:w="646"/>
        <w:gridCol w:w="256"/>
        <w:gridCol w:w="109"/>
        <w:gridCol w:w="109"/>
        <w:gridCol w:w="109"/>
        <w:gridCol w:w="214"/>
        <w:gridCol w:w="461"/>
        <w:gridCol w:w="121"/>
        <w:gridCol w:w="109"/>
        <w:gridCol w:w="109"/>
        <w:gridCol w:w="109"/>
        <w:gridCol w:w="303"/>
        <w:gridCol w:w="178"/>
        <w:gridCol w:w="382"/>
        <w:gridCol w:w="109"/>
        <w:gridCol w:w="109"/>
        <w:gridCol w:w="109"/>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285"/>
        <w:gridCol w:w="196"/>
        <w:gridCol w:w="437"/>
      </w:tblGrid>
      <w:tr>
        <w:trPr/>
        <w:tc>
          <w:tcPr>
            <w:tcW w:w="4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Table games drop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Table games hold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handle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Regional segment’s net revenues improved for the three and nine months ended September 30, 2025, as compared to the same prior year periods, primarily due to the positive results driven by our recently completed Caesars Virginia and Caesars New Orleans development projects. These increases were partially offset by the continued impact of competition and inclement weather in several of our regional markets, as well as construction disruption in Lake Tahoe. Adjusted EBITDA remained stable for the three and nine months ended September 30, 2025, as compared to the same prior year periods, primarily due to increased labor costs and targeted customer reinvestment in certain competitive markets during the second quarter. Net income decreased for the three and nine months ended September 30, 2025, as compared to the prior year periods, due to additional depreciation expense resulting from the recently completed development projects.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Slot win percentage in the Regional segment for the three and nine months ended September 30, 2025 was within our typical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04165"/>
                <wp:effectExtent l="0" t="0" r="0" b="0"/>
                <wp:wrapNone/>
                <wp:docPr id="37" name="Frame3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Caesars Digital Segment</w:t>
      </w:r>
    </w:p>
    <w:tbl>
      <w:tblPr>
        <w:tblW w:w="10735" w:type="dxa"/>
        <w:jc w:val="left"/>
        <w:tblInd w:w="0" w:type="dxa"/>
        <w:tblLayout w:type="fixed"/>
        <w:tblCellMar>
          <w:top w:w="28" w:type="dxa"/>
          <w:left w:w="28" w:type="dxa"/>
          <w:bottom w:w="28" w:type="dxa"/>
          <w:right w:w="28" w:type="dxa"/>
        </w:tblCellMar>
      </w:tblPr>
      <w:tblGrid>
        <w:gridCol w:w="355"/>
        <w:gridCol w:w="220"/>
        <w:gridCol w:w="221"/>
        <w:gridCol w:w="196"/>
        <w:gridCol w:w="556"/>
        <w:gridCol w:w="256"/>
        <w:gridCol w:w="109"/>
        <w:gridCol w:w="109"/>
        <w:gridCol w:w="109"/>
        <w:gridCol w:w="196"/>
        <w:gridCol w:w="556"/>
        <w:gridCol w:w="256"/>
        <w:gridCol w:w="109"/>
        <w:gridCol w:w="109"/>
        <w:gridCol w:w="109"/>
        <w:gridCol w:w="214"/>
        <w:gridCol w:w="461"/>
        <w:gridCol w:w="121"/>
        <w:gridCol w:w="109"/>
        <w:gridCol w:w="109"/>
        <w:gridCol w:w="109"/>
        <w:gridCol w:w="303"/>
        <w:gridCol w:w="178"/>
        <w:gridCol w:w="382"/>
        <w:gridCol w:w="109"/>
        <w:gridCol w:w="109"/>
        <w:gridCol w:w="109"/>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285"/>
        <w:gridCol w:w="196"/>
        <w:gridCol w:w="437"/>
      </w:tblGrid>
      <w:tr>
        <w:trPr/>
        <w:tc>
          <w:tcPr>
            <w:tcW w:w="35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Casino </w:t>
            </w:r>
            <w:r>
              <w:rPr>
                <w:rFonts w:ascii="Times New Roman;serif" w:hAnsi="Times New Roman;serif"/>
                <w:b w:val="false"/>
                <w:i/>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Sports betting handle</w:t>
            </w:r>
            <w:r>
              <w:rPr>
                <w:color w:val="000000"/>
              </w:rPr>
              <w:t xml:space="preserve"> </w:t>
            </w:r>
            <w:r>
              <w:rPr>
                <w:rFonts w:ascii="Times New Roman;serif" w:hAnsi="Times New Roman;serif"/>
                <w:b w:val="false"/>
                <w:i/>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Sports betting hold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pts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iGaming handle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iGaming hold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pts</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pts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6"/>
        </w:rPr>
        <w:t>*    </w:t>
      </w:r>
      <w:r>
        <w:rPr>
          <w:rFonts w:ascii="Times New Roman;serif" w:hAnsi="Times New Roman;serif"/>
          <w:b w:val="false"/>
          <w:i/>
          <w:color w:val="000000"/>
          <w:sz w:val="16"/>
        </w:rPr>
        <w:t>Not meaningful.</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Includes total promotional and complimentary incentives related to sports betting, iGaming, and online poker of $78 million and $66 million for the three months ended September 30, 2025 and 2024, respectively, and $223 million and $214 million for the nine months ended</w:t>
      </w:r>
      <w:r>
        <w:rPr>
          <w:color w:val="000000"/>
        </w:rPr>
        <w:t xml:space="preserve"> </w:t>
      </w:r>
      <w:r>
        <w:rPr>
          <w:rFonts w:ascii="Times New Roman;serif" w:hAnsi="Times New Roman;serif"/>
          <w:b w:val="false"/>
          <w:i/>
          <w:color w:val="000000"/>
          <w:sz w:val="16"/>
        </w:rPr>
        <w:t>September 30, 2025 and 2024, respectively. Promotional and complimentary incentives for online poker were $4 million and $5 million for the three months ended September 30, 2025 and 2024, respectively, and $12 million and $11 million for the nine months ended</w:t>
      </w:r>
      <w:r>
        <w:rPr>
          <w:color w:val="000000"/>
        </w:rPr>
        <w:t xml:space="preserve"> </w:t>
      </w:r>
      <w:r>
        <w:rPr>
          <w:rFonts w:ascii="Times New Roman;serif" w:hAnsi="Times New Roman;serif"/>
          <w:b w:val="false"/>
          <w:i/>
          <w:color w:val="000000"/>
          <w:sz w:val="16"/>
        </w:rPr>
        <w:t>September 30, 2025 and 2024, respectively.</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Caesars Digital generated an additional $193 million and $191 million of sports betting handle for the three months ended September 30, 2025 and 2024, respectively, and $661 million and $669 million for the nine months ended</w:t>
      </w:r>
      <w:r>
        <w:rPr>
          <w:color w:val="000000"/>
        </w:rPr>
        <w:t xml:space="preserve"> </w:t>
      </w:r>
      <w:r>
        <w:rPr>
          <w:rFonts w:ascii="Times New Roman;serif" w:hAnsi="Times New Roman;serif"/>
          <w:b w:val="false"/>
          <w:i/>
          <w:color w:val="000000"/>
          <w:sz w:val="16"/>
        </w:rPr>
        <w:t>September 30, 2025 and 2024, respectively, which is not included in this table, for select wholly-owned and third-party operations for which Caesars Digital provides services and we receive all, or a share of, the net profits. Hold related to these operations was 11.0% and 12.7%, for the three months ended September 30, 2025 and 2024, respectively, and 11.1% and 10.5% for the nine months ended</w:t>
      </w:r>
      <w:r>
        <w:rPr>
          <w:color w:val="000000"/>
        </w:rPr>
        <w:t xml:space="preserve"> </w:t>
      </w:r>
      <w:r>
        <w:rPr>
          <w:rFonts w:ascii="Times New Roman;serif" w:hAnsi="Times New Roman;serif"/>
          <w:b w:val="false"/>
          <w:i/>
          <w:color w:val="000000"/>
          <w:sz w:val="16"/>
        </w:rPr>
        <w:t>September 30, 2025 and 2024, respectively. Sports betting handle includes $9 million and $10 million for the three months ended September 30, 2025 and 2024, respectively, and $31 million and $32 million for the nine months ended</w:t>
      </w:r>
      <w:r>
        <w:rPr>
          <w:color w:val="000000"/>
        </w:rPr>
        <w:t xml:space="preserve"> </w:t>
      </w:r>
      <w:r>
        <w:rPr>
          <w:rFonts w:ascii="Times New Roman;serif" w:hAnsi="Times New Roman;serif"/>
          <w:b w:val="false"/>
          <w:i/>
          <w:color w:val="000000"/>
          <w:sz w:val="16"/>
        </w:rPr>
        <w:t>September 30, 2025 and 2024, respectively, related to horse racing and pari-mutuel wagers.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Caesars Digital’s net revenues, net income (loss), Adjusted EBITDA, and Adjusted EBITDA margin improved significantly for the nine months ended September 30, 2025, as compared to the same prior year period, primarily due to higher iGaming handle and iGaming hold coupled with improved sports betting hold. For the three months ended September 30, 2025, as compared to the same prior year period, increases in iGaming handle and hold drove an increase in net revenues. Customer friendly sports betting outcomes resulted in sports betting hold at the lower end of our expected range which offset growth in sports betting handle. Net income (loss), Adjusted EBITDA and Adjusted EBITDA margin were negatively impacted by: (i) the loss of highly profitable licensing revenue in connection with the sale of the WSOP trademark, (ii) additional processing fees, platform costs, and gaming taxes resulting from increased iGaming volumes, and (iii) recent increases in online gaming tax rates in certain states.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sports betting and online casinos expand through increased state or jurisdictional legalization, new product launches, and customer adoption, variations in hold percentages and increases in promotional and marketing expenses in highly competitive markets may negatively impact Caesars Digital’s net revenues, net income (loss), Adjusted EBITDA and Adjusted EBITDA margin in comparison to current or prior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04165"/>
                <wp:effectExtent l="0" t="0" r="0" b="0"/>
                <wp:wrapNone/>
                <wp:docPr id="38" name="Frame3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Managed and Branded Segment</w:t>
      </w:r>
    </w:p>
    <w:tbl>
      <w:tblPr>
        <w:tblW w:w="10205" w:type="dxa"/>
        <w:jc w:val="left"/>
        <w:tblInd w:w="0" w:type="dxa"/>
        <w:tblLayout w:type="fixed"/>
        <w:tblCellMar>
          <w:top w:w="28" w:type="dxa"/>
          <w:left w:w="28" w:type="dxa"/>
          <w:bottom w:w="28" w:type="dxa"/>
          <w:right w:w="28" w:type="dxa"/>
        </w:tblCellMar>
      </w:tblPr>
      <w:tblGrid>
        <w:gridCol w:w="512"/>
        <w:gridCol w:w="287"/>
        <w:gridCol w:w="288"/>
        <w:gridCol w:w="207"/>
        <w:gridCol w:w="351"/>
        <w:gridCol w:w="271"/>
        <w:gridCol w:w="115"/>
        <w:gridCol w:w="115"/>
        <w:gridCol w:w="115"/>
        <w:gridCol w:w="207"/>
        <w:gridCol w:w="351"/>
        <w:gridCol w:w="271"/>
        <w:gridCol w:w="109"/>
        <w:gridCol w:w="109"/>
        <w:gridCol w:w="109"/>
        <w:gridCol w:w="278"/>
        <w:gridCol w:w="363"/>
        <w:gridCol w:w="155"/>
        <w:gridCol w:w="109"/>
        <w:gridCol w:w="109"/>
        <w:gridCol w:w="109"/>
        <w:gridCol w:w="237"/>
        <w:gridCol w:w="178"/>
        <w:gridCol w:w="420"/>
        <w:gridCol w:w="109"/>
        <w:gridCol w:w="109"/>
        <w:gridCol w:w="109"/>
        <w:gridCol w:w="203"/>
        <w:gridCol w:w="437"/>
        <w:gridCol w:w="266"/>
        <w:gridCol w:w="113"/>
        <w:gridCol w:w="113"/>
        <w:gridCol w:w="113"/>
        <w:gridCol w:w="203"/>
        <w:gridCol w:w="437"/>
        <w:gridCol w:w="266"/>
        <w:gridCol w:w="109"/>
        <w:gridCol w:w="109"/>
        <w:gridCol w:w="109"/>
        <w:gridCol w:w="278"/>
        <w:gridCol w:w="363"/>
        <w:gridCol w:w="155"/>
        <w:gridCol w:w="109"/>
        <w:gridCol w:w="109"/>
        <w:gridCol w:w="109"/>
        <w:gridCol w:w="239"/>
        <w:gridCol w:w="171"/>
        <w:gridCol w:w="492"/>
      </w:tblGrid>
      <w:tr>
        <w:trPr/>
        <w:tc>
          <w:tcPr>
            <w:tcW w:w="51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pts</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Caesars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manage several properties and license rights to the use of certain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w:t>
      </w:r>
    </w:p>
    <w:tbl>
      <w:tblPr>
        <w:tblW w:w="10205" w:type="dxa"/>
        <w:jc w:val="left"/>
        <w:tblInd w:w="0" w:type="dxa"/>
        <w:tblLayout w:type="fixed"/>
        <w:tblCellMar>
          <w:top w:w="28" w:type="dxa"/>
          <w:left w:w="28" w:type="dxa"/>
          <w:bottom w:w="28" w:type="dxa"/>
          <w:right w:w="28" w:type="dxa"/>
        </w:tblCellMar>
      </w:tblPr>
      <w:tblGrid>
        <w:gridCol w:w="627"/>
        <w:gridCol w:w="418"/>
        <w:gridCol w:w="337"/>
        <w:gridCol w:w="225"/>
        <w:gridCol w:w="381"/>
        <w:gridCol w:w="125"/>
        <w:gridCol w:w="125"/>
        <w:gridCol w:w="125"/>
        <w:gridCol w:w="125"/>
        <w:gridCol w:w="225"/>
        <w:gridCol w:w="381"/>
        <w:gridCol w:w="125"/>
        <w:gridCol w:w="109"/>
        <w:gridCol w:w="109"/>
        <w:gridCol w:w="109"/>
        <w:gridCol w:w="285"/>
        <w:gridCol w:w="351"/>
        <w:gridCol w:w="160"/>
        <w:gridCol w:w="109"/>
        <w:gridCol w:w="109"/>
        <w:gridCol w:w="109"/>
        <w:gridCol w:w="230"/>
        <w:gridCol w:w="188"/>
        <w:gridCol w:w="444"/>
        <w:gridCol w:w="109"/>
        <w:gridCol w:w="109"/>
        <w:gridCol w:w="109"/>
        <w:gridCol w:w="217"/>
        <w:gridCol w:w="466"/>
        <w:gridCol w:w="120"/>
        <w:gridCol w:w="120"/>
        <w:gridCol w:w="120"/>
        <w:gridCol w:w="120"/>
        <w:gridCol w:w="217"/>
        <w:gridCol w:w="466"/>
        <w:gridCol w:w="120"/>
        <w:gridCol w:w="109"/>
        <w:gridCol w:w="109"/>
        <w:gridCol w:w="109"/>
        <w:gridCol w:w="285"/>
        <w:gridCol w:w="351"/>
        <w:gridCol w:w="160"/>
        <w:gridCol w:w="109"/>
        <w:gridCol w:w="109"/>
        <w:gridCol w:w="109"/>
        <w:gridCol w:w="231"/>
        <w:gridCol w:w="181"/>
        <w:gridCol w:w="519"/>
      </w:tblGrid>
      <w:tr>
        <w:trPr/>
        <w:tc>
          <w:tcPr>
            <w:tcW w:w="62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management revenue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Reimbursable management costs</w:t>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Corporate &amp; Other</w:t>
      </w:r>
    </w:p>
    <w:tbl>
      <w:tblPr>
        <w:tblW w:w="10205" w:type="dxa"/>
        <w:jc w:val="left"/>
        <w:tblInd w:w="0" w:type="dxa"/>
        <w:tblLayout w:type="fixed"/>
        <w:tblCellMar>
          <w:top w:w="28" w:type="dxa"/>
          <w:left w:w="28" w:type="dxa"/>
          <w:bottom w:w="28" w:type="dxa"/>
          <w:right w:w="28" w:type="dxa"/>
        </w:tblCellMar>
      </w:tblPr>
      <w:tblGrid>
        <w:gridCol w:w="400"/>
        <w:gridCol w:w="280"/>
        <w:gridCol w:w="282"/>
        <w:gridCol w:w="225"/>
        <w:gridCol w:w="420"/>
        <w:gridCol w:w="125"/>
        <w:gridCol w:w="125"/>
        <w:gridCol w:w="125"/>
        <w:gridCol w:w="125"/>
        <w:gridCol w:w="225"/>
        <w:gridCol w:w="420"/>
        <w:gridCol w:w="125"/>
        <w:gridCol w:w="109"/>
        <w:gridCol w:w="109"/>
        <w:gridCol w:w="109"/>
        <w:gridCol w:w="278"/>
        <w:gridCol w:w="363"/>
        <w:gridCol w:w="155"/>
        <w:gridCol w:w="109"/>
        <w:gridCol w:w="109"/>
        <w:gridCol w:w="109"/>
        <w:gridCol w:w="305"/>
        <w:gridCol w:w="278"/>
        <w:gridCol w:w="457"/>
        <w:gridCol w:w="109"/>
        <w:gridCol w:w="109"/>
        <w:gridCol w:w="109"/>
        <w:gridCol w:w="216"/>
        <w:gridCol w:w="501"/>
        <w:gridCol w:w="120"/>
        <w:gridCol w:w="120"/>
        <w:gridCol w:w="120"/>
        <w:gridCol w:w="120"/>
        <w:gridCol w:w="216"/>
        <w:gridCol w:w="501"/>
        <w:gridCol w:w="120"/>
        <w:gridCol w:w="109"/>
        <w:gridCol w:w="109"/>
        <w:gridCol w:w="109"/>
        <w:gridCol w:w="239"/>
        <w:gridCol w:w="423"/>
        <w:gridCol w:w="134"/>
        <w:gridCol w:w="109"/>
        <w:gridCol w:w="109"/>
        <w:gridCol w:w="109"/>
        <w:gridCol w:w="285"/>
        <w:gridCol w:w="216"/>
        <w:gridCol w:w="526"/>
      </w:tblGrid>
      <w:tr>
        <w:trPr/>
        <w:tc>
          <w:tcPr>
            <w:tcW w:w="40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(Dollars in millions)</w:t>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62"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962"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62"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6"/>
        </w:rPr>
        <w:t>*    </w:t>
      </w:r>
      <w:r>
        <w:rPr>
          <w:rFonts w:ascii="Times New Roman;serif" w:hAnsi="Times New Roman;serif"/>
          <w:b w:val="false"/>
          <w:i/>
          <w:color w:val="000000"/>
          <w:sz w:val="16"/>
        </w:rPr>
        <w:t>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Supplemental Unaudited Presentation of Consolidated Adjusted Earnings Before Interest, Taxes, Depreciation and Amortization (“Adjusted EBITDA”) for the Three and Nine Months Ended September 30, 2025 and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and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Adjusted EBITDA is unaudited and should not be considered an alternative to, or more meaningful than, net income (loss) as an indicator of our operating performance. Uses of cash flows that are not reflected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4165"/>
                <wp:effectExtent l="0" t="0" r="0" b="0"/>
                <wp:wrapNone/>
                <wp:docPr id="39" name="Frame3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Adjusted EBITDA include capital expenditures, interest payments, income taxes, debt principal repayments, distributions to our noncontrolling interest owners and payments under our leases with affiliates of VICI and GLPI, which can be significant. As a result, Adjusted EBITDA should not be considered as a measure of our liquidity. Other companies that provide Adjusted EBITDA information may calculate Adjusted EBITDA differently than we do. The definition of Adjusted EBITDA may not be the same as the definitions used in any of our debt agreements.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Adjusted EBITDA for the three and nine months ended September 30, 2025 and 2024, respectively, in addition to reconciling net income (loss) attributable to Caesars to Adjusted EBITDA in accordance with GAAP (unaudited):</w:t>
      </w:r>
    </w:p>
    <w:tbl>
      <w:tblPr>
        <w:tblW w:w="9710" w:type="dxa"/>
        <w:jc w:val="left"/>
        <w:tblInd w:w="0" w:type="dxa"/>
        <w:tblLayout w:type="fixed"/>
        <w:tblCellMar>
          <w:top w:w="28" w:type="dxa"/>
          <w:left w:w="28" w:type="dxa"/>
          <w:bottom w:w="28" w:type="dxa"/>
          <w:right w:w="28" w:type="dxa"/>
        </w:tblCellMar>
      </w:tblPr>
      <w:tblGrid>
        <w:gridCol w:w="1322"/>
        <w:gridCol w:w="1160"/>
        <w:gridCol w:w="1163"/>
        <w:gridCol w:w="319"/>
        <w:gridCol w:w="685"/>
        <w:gridCol w:w="177"/>
        <w:gridCol w:w="177"/>
        <w:gridCol w:w="177"/>
        <w:gridCol w:w="177"/>
        <w:gridCol w:w="319"/>
        <w:gridCol w:w="685"/>
        <w:gridCol w:w="177"/>
        <w:gridCol w:w="109"/>
        <w:gridCol w:w="109"/>
        <w:gridCol w:w="109"/>
        <w:gridCol w:w="266"/>
        <w:gridCol w:w="756"/>
        <w:gridCol w:w="148"/>
        <w:gridCol w:w="148"/>
        <w:gridCol w:w="148"/>
        <w:gridCol w:w="148"/>
        <w:gridCol w:w="266"/>
        <w:gridCol w:w="756"/>
        <w:gridCol w:w="209"/>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Caesars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Other income </w:t>
            </w:r>
            <w:r>
              <w:rPr>
                <w:rFonts w:ascii="Times New Roman;serif" w:hAnsi="Times New Roman;serif"/>
                <w:b w:val="false"/>
                <w:i/>
                <w:color w:val="000000"/>
                <w:sz w:val="12"/>
              </w:rPr>
              <w:t>(a)</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Impairment charges </w:t>
            </w:r>
            <w:r>
              <w:rPr>
                <w:rFonts w:ascii="Times New Roman;serif" w:hAnsi="Times New Roman;serif"/>
                <w:b w:val="false"/>
                <w:i/>
                <w:color w:val="000000"/>
                <w:sz w:val="12"/>
              </w:rPr>
              <w:t>(b)</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 costs and other, net </w:t>
            </w:r>
            <w:r>
              <w:rPr>
                <w:rFonts w:ascii="Times New Roman;serif" w:hAnsi="Times New Roman;serif"/>
                <w:b w:val="false"/>
                <w:i/>
                <w:color w:val="000000"/>
                <w:sz w:val="12"/>
              </w:rPr>
              <w:t>(c)</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Pre-disposition Adjusted EBITDA </w:t>
            </w:r>
            <w:r>
              <w:rPr>
                <w:rFonts w:ascii="Times New Roman;serif" w:hAnsi="Times New Roman;serif"/>
                <w:b w:val="false"/>
                <w:i/>
                <w:color w:val="000000"/>
                <w:sz w:val="12"/>
              </w:rPr>
              <w:t>(d)</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Adjusted EBITDA</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212529"/>
          <w:sz w:val="10"/>
        </w:rPr>
        <w:t>(a)</w:t>
      </w:r>
      <w:r>
        <w:rPr>
          <w:rFonts w:ascii="Times New Roman;serif" w:hAnsi="Times New Roman;serif"/>
          <w:b w:val="false"/>
          <w:i/>
          <w:color w:val="000000"/>
          <w:sz w:val="16"/>
        </w:rPr>
        <w:t xml:space="preserve">Other income for the nine months ended September 30, 2024 primarily represents a change in the estimate of our disputed claims liability. </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Impairment charges for the nine months ended September 30, 2024 includes impairment within our Regional segment as a result of a decrease in projected cash flows at certain properties primarily due to localized competition.</w:t>
      </w:r>
    </w:p>
    <w:p>
      <w:pPr>
        <w:pStyle w:val="TextBody"/>
        <w:bidi w:val="0"/>
        <w:spacing w:lineRule="auto" w:line="288" w:before="60" w:after="283"/>
        <w:ind w:left="0" w:right="0" w:hanging="360"/>
        <w:jc w:val="both"/>
        <w:rPr/>
      </w:pPr>
      <w:r>
        <w:rPr>
          <w:rFonts w:ascii="Times New Roman;serif" w:hAnsi="Times New Roman;serif"/>
          <w:b w:val="false"/>
          <w:i/>
          <w:color w:val="212529"/>
          <w:sz w:val="10"/>
        </w:rPr>
        <w:t>(c)</w:t>
      </w:r>
      <w:r>
        <w:rPr>
          <w:rFonts w:ascii="Times New Roman;serif" w:hAnsi="Times New Roman;serif"/>
          <w:b w:val="false"/>
          <w:i/>
          <w:color w:val="000000"/>
          <w:sz w:val="16"/>
        </w:rPr>
        <w:t>Transaction costs and other, net primarily includes costs related to non-cash losses on the write down and disposal of assets, certain non-recurring litigation reserves, non-recurring asset recoveries, professional services for transaction and integration costs, various contract exit or termination costs, pre-opening costs in connection with our new property openings, and non-cash changes in equity method investments.</w:t>
      </w:r>
    </w:p>
    <w:p>
      <w:pPr>
        <w:pStyle w:val="TextBody"/>
        <w:bidi w:val="0"/>
        <w:spacing w:lineRule="auto" w:line="288" w:before="60" w:after="283"/>
        <w:ind w:left="0" w:right="0" w:hanging="360"/>
        <w:jc w:val="both"/>
        <w:rPr/>
      </w:pPr>
      <w:r>
        <w:rPr>
          <w:rFonts w:ascii="Times New Roman;serif" w:hAnsi="Times New Roman;serif"/>
          <w:b w:val="false"/>
          <w:i/>
          <w:color w:val="000000"/>
          <w:sz w:val="10"/>
        </w:rPr>
        <w:t>(d)</w:t>
      </w:r>
      <w:r>
        <w:rPr>
          <w:rFonts w:ascii="Times New Roman;serif" w:hAnsi="Times New Roman;serif"/>
          <w:b w:val="false"/>
          <w:i/>
          <w:color w:val="000000"/>
          <w:sz w:val="16"/>
        </w:rPr>
        <w:t>Adjustment for pre-disposition results of operations reflecting the subtraction of results of operations for the LINQ Promenade prior to divestiture, for the relevant periods. Such figures are based on unaudited internal financial statements and have not been reviewed by the Company’s auditors for the periods presented. The additional financial information is included to enable the comparison of current results with results of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holding company, and our only significant assets are ownership interests in our subsidiaries. Our ability to fund our obligations depends on existing cash on hand, cash flows from our subsidiaries and our ability to raise capital. Our primary sources of liquidity and capital resources are existing cash on hand, cash flows from operations, availability of borrowings under our CEI Revolving Credit Facility and proceeds from the issuance of debt and equity securities. We may, from time to time, seek to repurchase our common stock or prepay our outstanding indebtedness. Any such purchases or prepayments may be funded by existing cash balances or the incurrence of debt. The amount and timing of any repurchase of debt or common stock will be based on business and market conditions, capital availability, compliance with debt covenants and other considerations. Our cash requirements may fluctuate significantly depending on our decisions with respect to business acquisitions or divestitures and strategic capital and marketing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4165"/>
                <wp:effectExtent l="0" t="0" r="0" b="0"/>
                <wp:wrapNone/>
                <wp:docPr id="40" name="Frame3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our cash on hand and borrowing capacity was as follows:</w:t>
      </w:r>
    </w:p>
    <w:tbl>
      <w:tblPr>
        <w:tblW w:w="5654" w:type="dxa"/>
        <w:jc w:val="left"/>
        <w:tblInd w:w="0" w:type="dxa"/>
        <w:tblLayout w:type="fixed"/>
        <w:tblCellMar>
          <w:top w:w="28" w:type="dxa"/>
          <w:left w:w="28" w:type="dxa"/>
          <w:bottom w:w="28" w:type="dxa"/>
          <w:right w:w="28" w:type="dxa"/>
        </w:tblCellMar>
      </w:tblPr>
      <w:tblGrid>
        <w:gridCol w:w="1452"/>
        <w:gridCol w:w="1275"/>
        <w:gridCol w:w="1278"/>
        <w:gridCol w:w="356"/>
        <w:gridCol w:w="1011"/>
        <w:gridCol w:w="282"/>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Revolver capacity </w:t>
            </w:r>
            <w:r>
              <w:rPr>
                <w:rFonts w:ascii="Times New Roman;serif" w:hAnsi="Times New Roman;serif"/>
                <w:b w:val="false"/>
                <w:i/>
                <w:color w:val="000000"/>
                <w:sz w:val="12"/>
              </w:rPr>
              <w:t>(a)</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capacity committed to letters of credit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 capacity committed as regulatory requirement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Revolver capacity includes $2.1 billion under the CEI Revolving Credit Facility, maturing in January 2028, and $25 million under the CVA Revolving Credit Facility, maturing on April 26, 2029, less $40 million reserved for specific purposes.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our operating activities generated operating cash inflows of $998 million, as compared to operating cash inflows of $766 million during the nine months ended September 30, 2024, primarily due to changes in working capital, coupled with the results of operations described above.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2, 2024, we announced that our Board of Directors (“Board”) authorized a $500 million common stock repurchase program (the “2024 Share Repurchase Program”). Under the 2024 Share Repurchase Program, we may, from time to time, repurchase shares of common stock on the open market (either with or without a 10b5-1 plan) or through privately negotiated transactions. During the three and nine months ended September 30, 2025, respectively, we acquired 3,134,500 and 7,322,966 shares of our common stock at an aggregate value of $79 million and $179 million. Under the 2024 Share Repurchase Program, as of September 30, 2025, we have authorization to repurchase up to $271 million more of our outstanding common stock. Subsequent to September 30, 2025, we acquired 770,556 shares of our common stock at an aggregate value of approximately $21 million. See “Share Repurchase Program” below for details.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July 8, 2025, we fully redeemed all of the $546 million outstanding principal amount of the CEI Senior Notes due 2027 and paid the related accrued interest and expenses with borrowings under the CEI Revolving Credit Facility and proceeds received from the partial repayment and sale of $225 million of notes receivable related to the previously disclosed WSOP trademark sale.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expect that our primary capital requirements going forward will relate to servicing our outstanding indebtedness, rent payments under our GLPI Leases and VICI Leases, and the expansion and maintenance of our properties. Beginning in 2025 we have had, and expect to continue having, additional cash uses for operating activities as a result of federal and certain state 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liquidity needs are for debt service and payments associated with our leases. Our estimated debt service (including principal and interest) is approximately $188 million for the remainder of 2025. We also lease certain real property assets from third parties, including VICI and GLPI. The VICI Leases are subject to annual escalations, that take effect in November of each year, based on the Consumer Price Index (“CPI”). In addition to the CPI escalator, our VICI Leases are also subject to a variable rent adjustment based on certain historical net revenues of our leased properties which began in November 2024. The next such lease year with a variable rent adjustment begins November 2027. We estimate our lease payments to VICI and GLPI to be approximately $338 million for the remainder of 2025.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make capital expenditures and perform continuing refurbishment and maintenance at our properties to maintain our quality standards. Our capital expenditure requirements for the remainder of 2025 include the completion of expansion and rebranding projects and hotel renovations. In addition, we anticipate continued investment in our Caesars Sportsbook and iGaming applications.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04165"/>
                <wp:effectExtent l="0" t="0" r="0" b="0"/>
                <wp:wrapNone/>
                <wp:docPr id="41" name="Frame4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pPr>
      <w:r>
        <w:rPr>
          <w:rFonts w:ascii="Times New Roman;serif" w:hAnsi="Times New Roman;serif"/>
          <w:b w:val="false"/>
          <w:color w:val="212529"/>
          <w:sz w:val="20"/>
        </w:rPr>
        <w:t xml:space="preserve">Cash used for capital expenditures totaled </w:t>
      </w:r>
      <w:r>
        <w:rPr>
          <w:rFonts w:ascii="Times New Roman;serif" w:hAnsi="Times New Roman;serif"/>
          <w:b w:val="false"/>
          <w:color w:val="000000"/>
          <w:sz w:val="20"/>
        </w:rPr>
        <w:t xml:space="preserve">$648 million and $1.0 billion </w:t>
      </w:r>
      <w:r>
        <w:rPr>
          <w:rFonts w:ascii="Times New Roman;serif" w:hAnsi="Times New Roman;serif"/>
          <w:b w:val="false"/>
          <w:color w:val="212529"/>
          <w:sz w:val="20"/>
        </w:rPr>
        <w:t xml:space="preserve">for the nine months ended </w:t>
      </w:r>
      <w:r>
        <w:rPr>
          <w:rFonts w:ascii="Times New Roman;serif" w:hAnsi="Times New Roman;serif"/>
          <w:b w:val="false"/>
          <w:color w:val="000000"/>
          <w:sz w:val="20"/>
        </w:rPr>
        <w:t>September 30, 2025 and 2024</w:t>
      </w:r>
      <w:r>
        <w:rPr>
          <w:rFonts w:ascii="Times New Roman;serif" w:hAnsi="Times New Roman;serif"/>
          <w:b w:val="false"/>
          <w:color w:val="212529"/>
          <w:sz w:val="20"/>
        </w:rPr>
        <w:t xml:space="preserve">, respectively, related to our growth, renovation, maintenance, and other capital projects. The following table summarizes our capital expenditures for the nine months ended September 30, 2025, and an estimated range of capital expenditures for the remainder of 2025. </w:t>
      </w:r>
    </w:p>
    <w:tbl>
      <w:tblPr>
        <w:tblW w:w="10205" w:type="dxa"/>
        <w:jc w:val="left"/>
        <w:tblInd w:w="0" w:type="dxa"/>
        <w:tblLayout w:type="fixed"/>
        <w:tblCellMar>
          <w:top w:w="28" w:type="dxa"/>
          <w:left w:w="28" w:type="dxa"/>
          <w:bottom w:w="28" w:type="dxa"/>
          <w:right w:w="28" w:type="dxa"/>
        </w:tblCellMar>
      </w:tblPr>
      <w:tblGrid>
        <w:gridCol w:w="1299"/>
        <w:gridCol w:w="1105"/>
        <w:gridCol w:w="1089"/>
        <w:gridCol w:w="722"/>
        <w:gridCol w:w="1552"/>
        <w:gridCol w:w="405"/>
        <w:gridCol w:w="109"/>
        <w:gridCol w:w="109"/>
        <w:gridCol w:w="109"/>
        <w:gridCol w:w="397"/>
        <w:gridCol w:w="854"/>
        <w:gridCol w:w="221"/>
        <w:gridCol w:w="221"/>
        <w:gridCol w:w="221"/>
        <w:gridCol w:w="221"/>
        <w:gridCol w:w="397"/>
        <w:gridCol w:w="854"/>
        <w:gridCol w:w="320"/>
      </w:tblGrid>
      <w:tr>
        <w:trPr/>
        <w:tc>
          <w:tcPr>
            <w:tcW w:w="129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Estimate of Remaining Capital Expenditures for </w:t>
            </w:r>
            <w:r>
              <w:rPr>
                <w:rFonts w:ascii="Times New Roman;serif" w:hAnsi="Times New Roman;serif"/>
                <w:b/>
                <w:color w:val="212529"/>
                <w:sz w:val="18"/>
              </w:rPr>
              <w:t>2025</w:t>
            </w:r>
          </w:p>
        </w:tc>
      </w:tr>
      <w:tr>
        <w:trPr/>
        <w:tc>
          <w:tcPr>
            <w:tcW w:w="3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2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w:t>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Growth and renovation projects</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Digital</w:t>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Maintenance projects</w:t>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estimated capital expenditures from unrestricted cash</w:t>
            </w:r>
          </w:p>
        </w:tc>
        <w:tc>
          <w:tcPr>
            <w:tcW w:w="2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Caesars Virginia</w:t>
            </w:r>
            <w:r>
              <w:rPr>
                <w:color w:val="000000"/>
              </w:rPr>
              <w:t xml:space="preserve"> </w:t>
            </w:r>
            <w:r>
              <w:rPr>
                <w:rFonts w:ascii="Times New Roman;serif" w:hAnsi="Times New Roman;serif"/>
                <w:b w:val="false"/>
                <w:i/>
                <w:color w:val="000000"/>
                <w:sz w:val="12"/>
              </w:rPr>
              <w:t>(a)</w:t>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60" w:after="283"/>
        <w:ind w:left="0" w:right="0" w:hanging="360"/>
        <w:jc w:val="both"/>
        <w:rPr/>
      </w:pPr>
      <w:r>
        <w:rPr>
          <w:rFonts w:ascii="Times New Roman;serif" w:hAnsi="Times New Roman;serif"/>
          <w:b w:val="false"/>
          <w:i/>
          <w:color w:val="000000"/>
          <w:sz w:val="10"/>
        </w:rPr>
        <w:t>(a)</w:t>
      </w:r>
      <w:r>
        <w:rPr>
          <w:rFonts w:ascii="Times New Roman;serif" w:hAnsi="Times New Roman;serif"/>
          <w:b w:val="false"/>
          <w:i/>
          <w:color w:val="000000"/>
          <w:sz w:val="16"/>
        </w:rPr>
        <w:t xml:space="preserve">Capital expenditures associated with Caesars Virginia are expected to be funded from cash on-hand generated from the operations of Caesars Virginia, or through the Caesars Virginia, LLC Credit Agreement. </w:t>
      </w:r>
    </w:p>
    <w:p>
      <w:pPr>
        <w:pStyle w:val="TextBody"/>
        <w:bidi w:val="0"/>
        <w:spacing w:lineRule="auto" w:line="288" w:before="180" w:after="283"/>
        <w:jc w:val="both"/>
        <w:rPr/>
      </w:pPr>
      <w:r>
        <w:rPr>
          <w:rFonts w:ascii="Times New Roman;serif" w:hAnsi="Times New Roman;serif"/>
          <w:b w:val="false"/>
          <w:color w:val="222222"/>
          <w:sz w:val="20"/>
        </w:rPr>
        <w:t xml:space="preserve">We have agreements with certain professional sports leagues and teams, sporting event facilities and media companies for tickets, suites, advertising, marketing, promotional and sponsorship opportunities including communication with partner customer databases. Some of the agreements provide us with exclusivity to access the aforementioned rights within the casino and/or sports betting category. As of </w:t>
      </w:r>
      <w:r>
        <w:rPr>
          <w:rFonts w:ascii="Times New Roman;serif" w:hAnsi="Times New Roman;serif"/>
          <w:b w:val="false"/>
          <w:color w:val="000000"/>
          <w:sz w:val="20"/>
        </w:rPr>
        <w:t>September 30, 2025 and December 31, 2024</w:t>
      </w:r>
      <w:r>
        <w:rPr>
          <w:rFonts w:ascii="Times New Roman;serif" w:hAnsi="Times New Roman;serif"/>
          <w:b w:val="false"/>
          <w:color w:val="222222"/>
          <w:sz w:val="20"/>
        </w:rPr>
        <w:t>, obligations related to these agreements were $342 million and $421 million, respectively, with contracts extending through 2040. These obligations are composed of various third-party agreements which have been entered into by us for certain of our Las Vegas and Regional properties, or our Caesars Digital segment. The agreements include leasing of event suites that are generally considered short-term leases for which we do not record a right of use asset or lease liability. We recognize expenses in the period services are received in accordance with the various agreements. In addition, assets or liabilities may be recorded related to the timing of payments as required by the respective agreement.</w:t>
      </w:r>
    </w:p>
    <w:p>
      <w:pPr>
        <w:pStyle w:val="TextBody"/>
        <w:bidi w:val="0"/>
        <w:spacing w:lineRule="auto" w:line="288" w:before="180" w:after="283"/>
        <w:jc w:val="both"/>
        <w:rPr/>
      </w:pPr>
      <w:r>
        <w:rPr>
          <w:rFonts w:ascii="Times New Roman;serif" w:hAnsi="Times New Roman;serif"/>
          <w:b w:val="false"/>
          <w:color w:val="000000"/>
          <w:sz w:val="20"/>
        </w:rPr>
        <w:t xml:space="preserve">We have periodically divested assets to raise capital or, in previous cases, to comply with conditions, terms, obligations or restrictions imposed by antitrust, gaming and other regulatory entities. </w:t>
      </w:r>
      <w:r>
        <w:rPr>
          <w:rFonts w:ascii="Times New Roman;serif" w:hAnsi="Times New Roman;serif"/>
          <w:b w:val="false"/>
          <w:color w:val="212529"/>
          <w:sz w:val="20"/>
        </w:rPr>
        <w:t>If an agreed upon selling price for future divestitures does not exceed the carrying value of the assets, we may be required to record additional impairment charges in future periods which may be material.</w:t>
      </w:r>
    </w:p>
    <w:p>
      <w:pPr>
        <w:pStyle w:val="TextBody"/>
        <w:bidi w:val="0"/>
        <w:spacing w:lineRule="auto" w:line="288" w:before="180" w:after="283"/>
        <w:jc w:val="both"/>
        <w:rPr/>
      </w:pPr>
      <w:r>
        <w:rPr>
          <w:rFonts w:ascii="Times New Roman;serif" w:hAnsi="Times New Roman;serif"/>
          <w:b w:val="false"/>
          <w:color w:val="000000"/>
          <w:sz w:val="20"/>
        </w:rPr>
        <w:t>We</w:t>
      </w:r>
      <w:r>
        <w:rPr>
          <w:color w:val="212529"/>
        </w:rPr>
        <w:t xml:space="preserve"> </w:t>
      </w:r>
      <w:r>
        <w:rPr>
          <w:rFonts w:ascii="Times New Roman;serif" w:hAnsi="Times New Roman;serif"/>
          <w:b w:val="false"/>
          <w:color w:val="212529"/>
          <w:sz w:val="20"/>
        </w:rPr>
        <w:t>expect that our current liquidity, including availability of borrowings under our committed credit facility and cash flows from operations will be sufficient to fund our operations, capital requirements and service our outstanding indebtedness for the next twelve months and beyond.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Debt and Master Lease Covenant Compliance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CEI Revolving Credit Facility, the CEI Term Loan A, the CEI Term Loan B, the CEI Term Loan B-1 and the indentures governing the CEI Senior Secured Notes due 2030, the CEI Senior Secured Notes due 2032, the CEI Senior Notes due 2029 and the CEI Senior Notes due 2032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CEI Revolving Credit Facility and the CEI Term Loan A include a maximum net total leverage ratio financial covenant of 6.50:1. In addition, the CEI Revolving Credit Facility and the CEI Term Loan A include a minimum fixed charge coverage ratio financial covenant of 2.0:1.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agreement.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GLPI Leases and VICI Leases contain certain covenants requiring minimum capital expenditures based on a percentage of net revenues along with maintaining certain financial ratios. The GLPI Leases require the Company to maintain a minimum adjusted revenue to rent ratio of 1.20:1, applicable to the operations of the underlying leased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4165"/>
                <wp:effectExtent l="0" t="0" r="0" b="0"/>
                <wp:wrapNone/>
                <wp:docPr id="42" name="Frame4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CVA Revolving Credit Facility and the CVA Delayed Draw Term Loan contain covenants which are standard and customary for this type of agreement, including a maximum net total leverage ratio financial covenant of 4:1 and a minimum fixed charge coverage ratio financial covenant of 1.05:1, applicable to the operations of Caesars Virginia.</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we were in compliance with all of the applicable financial covenants described above.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Share Repurchase Programs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2024, we reached the limit of authorized repurchases under our $150 million common stock repurchase plan announced on November 8, 2018, by acquiring 3,872,478 shares of common stock at an aggregate value of $141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2, 2024, we announced that our Board authorized a $500 million common stock repurchase program. Under the 2024 Share Repurchase Program, we may, from time to time, repurchase shares of common stock on the open market (either with or without a 10b5-1 plan) or through privately negotiated transactions. We repurchased 1,262,990 shares of our common stock at an aggregate value of $50 million during the fourth quarter of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respectively, we acquired 3,134,500 and 7,322,966 shares of our common stock at an aggregate value of $79 million and $179 million. Under the 2024 Share Repurchase Program, as of September 30, 2025, we have authorization to repurchase up to $271 million more of our outstanding common stock. The 2024 Share Repurchase Program has no time limit and may be suspended or discontinued at any time without notice. There is no minimum number of shares of common stock that we are required to repurchase under the 2024 Share Repurchase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Subsequent to September 30, 2025, we acquired 770,556 shares of our common stock at an aggregate value of approximately $21 million.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80" w:after="283"/>
        <w:jc w:val="both"/>
        <w:rPr/>
      </w:pPr>
      <w:r>
        <w:rPr>
          <w:rFonts w:ascii="Times New Roman;serif" w:hAnsi="Times New Roman;serif"/>
          <w:b w:val="false"/>
          <w:color w:val="000000"/>
          <w:sz w:val="20"/>
        </w:rPr>
        <w:t xml:space="preserve">There have been no other material changes during the nine months ended September 30, 2025 to our contractual obligations as disclosed in Part II, Item 7 of the 2024 Annual Report. See </w:t>
      </w:r>
      <w:hyperlink w:anchor="ie1c7ac6d19bb4b3fb593ccd40a5fd54a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 xml:space="preserve">to our unaudited Financial Statements, which is included elsewhere in this report, for additional information regarding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Liquidity Matters</w:t>
      </w:r>
    </w:p>
    <w:p>
      <w:pPr>
        <w:pStyle w:val="TextBody"/>
        <w:bidi w:val="0"/>
        <w:spacing w:lineRule="auto" w:line="288" w:before="180" w:after="283"/>
        <w:jc w:val="both"/>
        <w:rPr/>
      </w:pPr>
      <w:r>
        <w:rPr>
          <w:rFonts w:ascii="Times New Roman;serif" w:hAnsi="Times New Roman;serif"/>
          <w:b w:val="false"/>
          <w:color w:val="000000"/>
          <w:sz w:val="20"/>
        </w:rPr>
        <w:t>We are faced with certain contingencies, from time to time, involving litigation, claims, assessments, environmental remediation or compliance. These commitments and contingencies are discussed in greater detail, when applicable, in “</w:t>
      </w:r>
      <w:hyperlink w:anchor="ie1c7ac6d19bb4b3fb593ccd40a5fd54a_121">
        <w:r>
          <w:rPr>
            <w:rStyle w:val="InternetLink"/>
            <w:rFonts w:ascii="Times New Roman;serif" w:hAnsi="Times New Roman;serif"/>
            <w:b w:val="false"/>
            <w:color w:val="0000FF"/>
            <w:sz w:val="20"/>
            <w:u w:val="single"/>
          </w:rPr>
          <w:t>Part II, Item 1. Legal Proceedings</w:t>
        </w:r>
      </w:hyperlink>
      <w:r>
        <w:rPr>
          <w:color w:val="000000"/>
        </w:rPr>
        <w:t xml:space="preserve">” </w:t>
      </w:r>
      <w:r>
        <w:rPr>
          <w:rFonts w:ascii="Times New Roman;serif" w:hAnsi="Times New Roman;serif"/>
          <w:b w:val="false"/>
          <w:color w:val="000000"/>
          <w:sz w:val="20"/>
        </w:rPr>
        <w:t xml:space="preserve">and </w:t>
      </w:r>
      <w:hyperlink w:anchor="ie1c7ac6d19bb4b3fb593ccd40a5fd54a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to our unaudited Financial Statements, both of which are included elsewhere in this report. See also “Part I, Item 1A. Risk Factors—Risks Related to Our Business” which is included elsewhere in the 2024 Annual Report.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are included in the 2024 Annual Report. There have been no material changes since December 31, 2024. We have not substantively changed the application of our policies, and there have been no material changes in assumptions or estimation techniques used as compared to those described in the 2024 Annual Report.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do not currently have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3. Quantitative and Qualitative Disclosures About Market Risk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Market risk is the risk of loss arising from adverse changes in market rates and prices, such as interest rates, foreign currency exchange rates and commodity prices. We are exposed to changes in interest rates primarily from variable rate long-term debt arrangements. We manage our interest rate risk by monitoring interest rates, including future projected rates, and adjusting our mix of fixed and variable rate borrowings.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long-term variable-rate borrowings totaled $6.1 billion under the CEI Term Loans, the CVA Delayed Draw Term Loan and the CEI Revolving Credit Facility, and no amounts were outstanding under the CVA Revolving Credit Facility. As of September 30, 2025, long-term variable-rate borrowings under the CEI Term Loans, the CVA Delayed Draw Term Loan and the CEI Revolving Credit Facility represented approximately 51% of consolidated long-term debt and the weighted average interest rates on our variable and fixed rate debt were 6.53% and 6.18%,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4165"/>
                <wp:effectExtent l="0" t="0" r="0" b="0"/>
                <wp:wrapNone/>
                <wp:docPr id="43" name="Frame4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All of the variable rate debt instruments are subject to Term SOFR interest rates plus a margin.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evaluate our exposure to market risk by monitoring interest rates in the marketplace and have, on occasion, utilized derivative financial instruments to help manage this risk. We do not utilize derivative financial instruments for trading purposes. There have been no other material quantitative changes in our market risk exposure, or how such risks are managed from the information previously reported under Part II, Item 7A of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4. Controls and Procedures</w:t>
      </w:r>
    </w:p>
    <w:p>
      <w:pPr>
        <w:pStyle w:val="TextBody"/>
        <w:bidi w:val="0"/>
        <w:spacing w:lineRule="auto" w:line="288" w:before="180" w:after="283"/>
        <w:jc w:val="both"/>
        <w:rPr/>
      </w:pPr>
      <w:r>
        <w:rPr>
          <w:rFonts w:ascii="Times New Roman;serif" w:hAnsi="Times New Roman;serif"/>
          <w:b w:val="false"/>
          <w:color w:val="000000"/>
          <w:sz w:val="20"/>
        </w:rPr>
        <w:t>(a)</w:t>
      </w:r>
      <w:r>
        <w:rPr>
          <w:rFonts w:ascii="Times New Roman;serif" w:hAnsi="Times New Roman;serif"/>
          <w:b w:val="false"/>
          <w:color w:val="000000"/>
          <w:sz w:val="20"/>
        </w:rPr>
        <w:t>Evaluation of Disclosure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pStyle w:val="TextBody"/>
        <w:bidi w:val="0"/>
        <w:spacing w:lineRule="auto" w:line="288" w:before="180" w:after="283"/>
        <w:jc w:val="both"/>
        <w:rPr/>
      </w:pPr>
      <w:r>
        <w:rPr>
          <w:rFonts w:ascii="Times New Roman;serif" w:hAnsi="Times New Roman;serif"/>
          <w:b w:val="false"/>
          <w:color w:val="000000"/>
          <w:sz w:val="20"/>
        </w:rPr>
        <w:t>(b)</w:t>
      </w:r>
      <w:r>
        <w:rPr>
          <w:rFonts w:ascii="Times New Roman;serif" w:hAnsi="Times New Roman;serif"/>
          <w:b w:val="false"/>
          <w:color w:val="000000"/>
          <w:sz w:val="20"/>
        </w:rPr>
        <w:t>Changes in Internal Controls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were no significant changes in our internal control over financial reporting during the period covered by this Quarterly Report on Form 10</w:t>
        <w:noBreakHyphen/>
        <w:t>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4165"/>
                <wp:effectExtent l="0" t="0" r="0" b="0"/>
                <wp:wrapNone/>
                <wp:docPr id="44" name="Frame4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center"/>
        <w:rPr>
          <w:rFonts w:ascii="Times New Roman;serif" w:hAnsi="Times New Roman;serif"/>
          <w:b/>
          <w:color w:val="BF2115"/>
          <w:sz w:val="24"/>
        </w:rPr>
      </w:pPr>
      <w:r>
        <w:rPr>
          <w:rFonts w:ascii="Times New Roman;serif" w:hAnsi="Times New Roman;serif"/>
          <w:b/>
          <w:color w:val="BF2115"/>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 xml:space="preserve">Item 1. Legal Proceedings </w:t>
      </w:r>
    </w:p>
    <w:p>
      <w:pPr>
        <w:pStyle w:val="TextBody"/>
        <w:bidi w:val="0"/>
        <w:spacing w:lineRule="auto" w:line="288" w:before="180" w:after="283"/>
        <w:jc w:val="both"/>
        <w:rPr/>
      </w:pPr>
      <w:r>
        <w:rPr>
          <w:rFonts w:ascii="Times New Roman;serif" w:hAnsi="Times New Roman;serif"/>
          <w:b w:val="false"/>
          <w:color w:val="000000"/>
          <w:sz w:val="20"/>
        </w:rPr>
        <w:t xml:space="preserve">For a discussion of our “Legal Proceedings,” refer to </w:t>
      </w:r>
      <w:hyperlink w:anchor="ie1c7ac6d19bb4b3fb593ccd40a5fd54a_49">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to our Consolidated Condensed Financial Statements located elsewhere in this Quarterly Report on Form 10-Q and Note 8 to our Consolidated Financial Statements included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Cautionary Statements Regarding Forward-Looking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trends and other information that is not historical information. When used in this report, the terms or phrases such as “anticipates,” “believes,” “projects,” “plans,” “intends,” “expects,” “might,” “may,” “estimates,” “could,” “should,” “would,” “will likely continue,” and variations of such words or similar expressions and their negative forms are intended to identify forward-looking statements. These statements are made on the basis of management’s current views and assumptions regarding future events.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upon certain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and trends may differ materially from any future results, trends,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pStyle w:val="TextBody"/>
        <w:bidi w:val="0"/>
        <w:spacing w:lineRule="auto" w:line="288" w:before="180" w:after="283"/>
        <w:ind w:left="0" w:right="0" w:hanging="720"/>
        <w:jc w:val="both"/>
        <w:rPr/>
      </w:pPr>
      <w:r>
        <w:rPr>
          <w:color w:val="000000"/>
        </w:rPr>
        <w:t>•</w:t>
      </w:r>
      <w:r>
        <w:rPr>
          <w:rFonts w:ascii="Times New Roman;serif" w:hAnsi="Times New Roman;serif"/>
          <w:b w:val="false"/>
          <w:color w:val="000000"/>
          <w:sz w:val="20"/>
        </w:rPr>
        <w:t>our sensitivity to reductions in discretionary consumer spending as a result of downturns in the economy and other factors outside our control;</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projections of future results of operations or financial condition;</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expectations regarding our business and results of operations of our existing casino properties and prospects for future development;</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economic trends, inflation, trade tensions and related actions, such as the imposition of tariffs between the United States and other countries and the threat of any additional tariffs, and public health emergencies on our business and financial condition;</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expectations regarding trends that will affect our market and the gaming industry generally, including expansion of internet betting and gaming, and the impact of those trends on our business and results of operations;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comply with the covenants in the agreements governing our outstanding indebtedness and leases;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meet our projected debt service obligations, operating expenses, and maintenance capital expenditures;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expectations regarding availability of capital resources;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intention to pursue development opportunities and additional acquisitions and divestitures;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complete dispositions and divestitures and effectively reinvest the proceeds thereof;</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ability to identify suitable acquisition opportunities and realize growth and cost synergies from any future acquisitions;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regulation on our business and our ability to receive and maintain necessary approvals for our existing properties, future projects and the operation of our online sportsbook, online poker and iGaming applications;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effect of disruptions or corruption to our information technology and other systems and infrastructure;</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potential compromises of our information systems or unauthorized access to confidential information and customer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04165"/>
                <wp:effectExtent l="0" t="0" r="0" b="0"/>
                <wp:wrapNone/>
                <wp:docPr id="45" name="Frame4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 xml:space="preserve">the impact of the Data Incident (as defined in the 2024 Annual Report) and any other future cybersecurity breaches on our business, financial conditions and results of operations; </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factors impacting our ability to successfully operate our digital betting and iGaming platform and expand its user base;</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adapt to the very competitive environments in which we operate, including the online market;</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win or hold rates and liability management risks on our results of operations;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reliance on third parties for strategic relationships and essential services;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costs associated with investments in our online offerings and technological and strategic initiatives;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risk relating to fraud, theft and cheating;</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collect gaming receivables from our credit customers;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our substantial indebtedness and significant financial commitments, including our obligations under our lease arrangements;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restrictions and limitations in agreements governing our debt and leased properties could significantly affect our ability to operate our business and our liquidity;</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financial, operational, regulatory or other potential challenges that may arise as a result of leasing of a number of our properties;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impact of governmental regulation on our business and the cost of complying or the impact of failing to comply with such regulations;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changes in gaming taxes and fees in jurisdictions in which we operate;</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risks relating to pending claims or future claims that may be brought against us;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changes in interest rates and capital and credit markets;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effect of seasonal fluctuations;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 xml:space="preserve">our particular sensitivity to energy and water prices; </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deterioration in our reputation or the reputation of our brands;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reliance on information technology, particularly for our digital business;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protect our intellectual property rights;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reliance on licenses to use the intellectual property of third parties and our ability to renew or extend our existing licenses;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the effects of war, terrorist activity, acts of violence, natural disasters and other catastrophic events;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increased scrutiny and changing expectations regarding our environmental, social and governance practices and reporting;</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reliance on key personnel and the intense competition to attract and retain management and key employees in the gaming industry;</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work stoppages and other labor problems;</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our ability to secure and retain performers and other entertainment offerings on acceptable terms; and</w:t>
      </w:r>
    </w:p>
    <w:p>
      <w:pPr>
        <w:pStyle w:val="TextBody"/>
        <w:bidi w:val="0"/>
        <w:spacing w:lineRule="auto" w:line="288" w:before="60" w:after="283"/>
        <w:ind w:left="0" w:right="0" w:hanging="720"/>
        <w:jc w:val="both"/>
        <w:rPr/>
      </w:pPr>
      <w:r>
        <w:rPr>
          <w:color w:val="000000"/>
        </w:rPr>
        <w:t>•</w:t>
      </w:r>
      <w:r>
        <w:rPr>
          <w:rFonts w:ascii="Times New Roman;serif" w:hAnsi="Times New Roman;serif"/>
          <w:b w:val="false"/>
          <w:color w:val="000000"/>
          <w:sz w:val="20"/>
        </w:rPr>
        <w:t>other factors described in “Risk Factors” and “Management’s Discussion and Analysis of Financial Condition and Results of Operations” contained in this Quarterly Report on Form 10-Q, our most recent Annual Report on Form 10-K and any subsequent Quarterly Reports on Form 10-Q filed with the SEC.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the extent that reports issued by securities analysts contain projections, forecasts or opinions, those reports are not our responsibility and are not endorsed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4165"/>
                <wp:effectExtent l="0" t="0" r="0" b="0"/>
                <wp:wrapNone/>
                <wp:docPr id="46" name="Frame4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1A. Risk Factors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description of our risk factors can be found in “Part I, Item 1A. Risk Factors” included in the 2024 Annual Report. There have been no material changes to those risk factors during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2. Unregistered Sales of Equity Securities and Use of Proceeds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566"/>
        <w:gridCol w:w="371"/>
        <w:gridCol w:w="373"/>
        <w:gridCol w:w="109"/>
        <w:gridCol w:w="109"/>
        <w:gridCol w:w="109"/>
        <w:gridCol w:w="652"/>
        <w:gridCol w:w="442"/>
        <w:gridCol w:w="444"/>
        <w:gridCol w:w="109"/>
        <w:gridCol w:w="109"/>
        <w:gridCol w:w="109"/>
        <w:gridCol w:w="262"/>
        <w:gridCol w:w="744"/>
        <w:gridCol w:w="145"/>
        <w:gridCol w:w="109"/>
        <w:gridCol w:w="109"/>
        <w:gridCol w:w="109"/>
        <w:gridCol w:w="868"/>
        <w:gridCol w:w="707"/>
        <w:gridCol w:w="708"/>
        <w:gridCol w:w="109"/>
        <w:gridCol w:w="109"/>
        <w:gridCol w:w="109"/>
        <w:gridCol w:w="661"/>
        <w:gridCol w:w="1424"/>
        <w:gridCol w:w="530"/>
      </w:tblGrid>
      <w:tr>
        <w:trPr/>
        <w:tc>
          <w:tcPr>
            <w:tcW w:w="56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w:t>
            </w:r>
            <w:r>
              <w:rPr>
                <w:rFonts w:ascii="Times New Roman;serif" w:hAnsi="Times New Roman;serif"/>
                <w:b/>
                <w:i/>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Approximate Dollar Value of Shares that May Yet Be Purchased Under the Plans or Programs </w:t>
            </w:r>
            <w:r>
              <w:rPr>
                <w:rFonts w:ascii="Times New Roman;serif" w:hAnsi="Times New Roman;serif"/>
                <w:b/>
                <w:i/>
                <w:color w:val="000000"/>
                <w:sz w:val="16"/>
              </w:rPr>
              <w:t xml:space="preserve">(in millions) </w:t>
            </w:r>
            <w:r>
              <w:rPr>
                <w:rFonts w:ascii="Times New Roman;serif" w:hAnsi="Times New Roman;serif"/>
                <w:b/>
                <w:i/>
                <w:color w:val="000000"/>
                <w:sz w:val="10"/>
              </w:rPr>
              <w:t>(b)</w:t>
            </w:r>
          </w:p>
        </w:tc>
      </w:tr>
      <w:tr>
        <w:trPr/>
        <w:tc>
          <w:tcPr>
            <w:tcW w:w="1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2025 to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 2025 to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1,214,268 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1,214,268 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 2025 to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1,920,232 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1,920,232 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60" w:after="283"/>
        <w:ind w:left="0" w:right="0" w:hanging="360"/>
        <w:jc w:val="both"/>
        <w:rPr/>
      </w:pPr>
      <w:r>
        <w:rPr>
          <w:rFonts w:ascii="Times New Roman;serif" w:hAnsi="Times New Roman;serif"/>
          <w:b w:val="false"/>
          <w:i/>
          <w:color w:val="212529"/>
          <w:sz w:val="10"/>
        </w:rPr>
        <w:t>(a)</w:t>
      </w:r>
      <w:r>
        <w:rPr>
          <w:rFonts w:ascii="Times New Roman;serif" w:hAnsi="Times New Roman;serif"/>
          <w:b w:val="false"/>
          <w:i/>
          <w:color w:val="000000"/>
          <w:sz w:val="16"/>
        </w:rPr>
        <w:t>Shares repurchased reflect repurchases settled during the periods, excluding repurchases, if any, traded but not yet settled before the end of the applicable periods.</w:t>
      </w:r>
    </w:p>
    <w:p>
      <w:pPr>
        <w:pStyle w:val="TextBody"/>
        <w:bidi w:val="0"/>
        <w:spacing w:lineRule="auto" w:line="288" w:before="60" w:after="283"/>
        <w:ind w:left="0" w:right="0" w:hanging="360"/>
        <w:jc w:val="both"/>
        <w:rPr/>
      </w:pPr>
      <w:r>
        <w:rPr>
          <w:rFonts w:ascii="Times New Roman;serif" w:hAnsi="Times New Roman;serif"/>
          <w:b w:val="false"/>
          <w:i/>
          <w:color w:val="000000"/>
          <w:sz w:val="10"/>
        </w:rPr>
        <w:t>(b)</w:t>
      </w:r>
      <w:r>
        <w:rPr>
          <w:rFonts w:ascii="Times New Roman;serif" w:hAnsi="Times New Roman;serif"/>
          <w:b w:val="false"/>
          <w:i/>
          <w:color w:val="000000"/>
          <w:sz w:val="16"/>
        </w:rPr>
        <w:t xml:space="preserve">On October 2, 2024, we announced that our Board of Directors authorized a $500 million common stock repurchase program (the “2024 Share Repurchase Program”). Under the 2024 Share Repurchase Program, we may, from time to time, repurchase shares of common stock on the open market (either with or without a 10b5-1 plan) or through privately negotiated transactions. The 2024 Share Repurchase Program has no time limit and may be suspended or discontinued at any time without notice. There is no minimum number of shares of common stock that we are required to repurchase under the 2024 Share Repurchase Program. All share repurchases under the 2024 Share Repurchase Program are retired upon repurchase.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3. Defaults Upon Senior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4. Mine Safety Disclosures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BF2115"/>
          <w:sz w:val="24"/>
        </w:rPr>
      </w:pPr>
      <w:r>
        <w:rPr>
          <w:rFonts w:ascii="Times New Roman;serif" w:hAnsi="Times New Roman;serif"/>
          <w:b/>
          <w:color w:val="BF2115"/>
          <w:sz w:val="24"/>
        </w:rPr>
        <w:t>Item 5. Other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80" w:after="283"/>
        <w:jc w:val="both"/>
        <w:rPr/>
      </w:pPr>
      <w:r>
        <w:rPr>
          <w:rFonts w:ascii="Times New Roman;serif" w:hAnsi="Times New Roman;serif"/>
          <w:b w:val="false"/>
          <w:color w:val="000000"/>
          <w:sz w:val="20"/>
        </w:rPr>
        <w:t xml:space="preserve">(c) </w:t>
      </w:r>
      <w:r>
        <w:rPr>
          <w:rFonts w:ascii="Times New Roman;serif" w:hAnsi="Times New Roman;serif"/>
          <w:b/>
          <w:color w:val="000000"/>
          <w:sz w:val="20"/>
        </w:rPr>
        <w:t>Rule 10b5-1 Trading Plans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none of our directors or officers (as defined in Rule 16a-1(f) of the Exchange Act) adopted, modified or terminated a “Rule 10b5-1 trading arrangement” or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4165"/>
                <wp:effectExtent l="0" t="0" r="0" b="0"/>
                <wp:wrapNone/>
                <wp:docPr id="47" name="Frame4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0" w:after="0"/>
        <w:jc w:val="left"/>
        <w:rPr>
          <w:rFonts w:ascii="Times New Roman;serif" w:hAnsi="Times New Roman;serif"/>
          <w:b/>
          <w:color w:val="BF2115"/>
          <w:sz w:val="24"/>
        </w:rPr>
      </w:pPr>
      <w:r>
        <w:rPr>
          <w:rFonts w:ascii="Times New Roman;serif" w:hAnsi="Times New Roman;serif"/>
          <w:b/>
          <w:color w:val="BF2115"/>
          <w:sz w:val="24"/>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728"/>
        <w:gridCol w:w="1707"/>
        <w:gridCol w:w="1712"/>
        <w:gridCol w:w="109"/>
        <w:gridCol w:w="109"/>
        <w:gridCol w:w="109"/>
        <w:gridCol w:w="1159"/>
        <w:gridCol w:w="1134"/>
        <w:gridCol w:w="1139"/>
        <w:gridCol w:w="109"/>
        <w:gridCol w:w="15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Method of Filing</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18"/>
                  <w:u w:val="single"/>
                </w:rPr>
                <w:t>Amended and Restated Certificate of Incorporation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Previously filed on Form 8-K filed on June 16, 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18"/>
                  <w:u w:val="single"/>
                </w:rPr>
                <w:t>Amended and Restated Bylaws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Previously filed on Form 8-K filed on July 28,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5q3cei-ex311.htm">
              <w:r>
                <w:rPr>
                  <w:rStyle w:val="InternetLink"/>
                  <w:rFonts w:ascii="Times New Roman;serif" w:hAnsi="Times New Roman;serif"/>
                  <w:b w:val="false"/>
                  <w:color w:val="0000FF"/>
                  <w:sz w:val="18"/>
                  <w:u w:val="single"/>
                </w:rPr>
                <w:t>Certification of Thomas R. Reeg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5q3cei-ex312.htm">
              <w:r>
                <w:rPr>
                  <w:rStyle w:val="InternetLink"/>
                  <w:rFonts w:ascii="Times New Roman;serif" w:hAnsi="Times New Roman;serif"/>
                  <w:b w:val="false"/>
                  <w:color w:val="0000FF"/>
                  <w:sz w:val="18"/>
                  <w:u w:val="single"/>
                </w:rPr>
                <w:t>Certification of Bret Yunker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5q3cei-ex321.htm">
              <w:r>
                <w:rPr>
                  <w:rStyle w:val="InternetLink"/>
                  <w:rFonts w:ascii="Times New Roman;serif" w:hAnsi="Times New Roman;serif"/>
                  <w:b w:val="false"/>
                  <w:color w:val="0000FF"/>
                  <w:sz w:val="18"/>
                  <w:u w:val="single"/>
                </w:rPr>
                <w:t>Certification of Thomas R. Reeg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5q3cei-ex322.htm">
              <w:r>
                <w:rPr>
                  <w:rStyle w:val="InternetLink"/>
                  <w:rFonts w:ascii="Times New Roman;serif" w:hAnsi="Times New Roman;serif"/>
                  <w:b w:val="false"/>
                  <w:color w:val="0000FF"/>
                  <w:sz w:val="18"/>
                  <w:u w:val="single"/>
                </w:rPr>
                <w:t>Certification of Bret Yunker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04165"/>
                <wp:effectExtent l="0" t="0" r="0" b="0"/>
                <wp:wrapNone/>
                <wp:docPr id="48" name="Frame4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and Exchange Act of 1934, the registrant has duly caused this report to be signed on its behalf by the undersigned thereunto duly authorized.</w:t>
      </w:r>
    </w:p>
    <w:tbl>
      <w:tblPr>
        <w:tblW w:w="6494" w:type="dxa"/>
        <w:jc w:val="left"/>
        <w:tblInd w:w="0" w:type="dxa"/>
        <w:tblLayout w:type="fixed"/>
        <w:tblCellMar>
          <w:top w:w="28" w:type="dxa"/>
          <w:left w:w="28" w:type="dxa"/>
          <w:bottom w:w="28" w:type="dxa"/>
          <w:right w:w="28" w:type="dxa"/>
        </w:tblCellMar>
      </w:tblPr>
      <w:tblGrid>
        <w:gridCol w:w="726"/>
        <w:gridCol w:w="640"/>
        <w:gridCol w:w="643"/>
        <w:gridCol w:w="1313"/>
        <w:gridCol w:w="1313"/>
        <w:gridCol w:w="1859"/>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CAESARS ENTERTAINMENT,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28, 2025</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Thomas R. Reeg</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Thomas R. Reeg</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28, 2025</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Bret Yunker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Bret Yunker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04165"/>
                <wp:effectExtent l="0" t="0" r="0" b="0"/>
                <wp:wrapNone/>
                <wp:docPr id="49" name="Frame4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e1c7ac6d19bb4b3fb593ccd40a5fd54a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Thomas R. Reeg,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Caesars Entertainment, Inc.;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 October 28, 2025</w:t>
      </w:r>
    </w:p>
    <w:tbl>
      <w:tblPr>
        <w:tblW w:w="2846" w:type="dxa"/>
        <w:jc w:val="left"/>
        <w:tblInd w:w="0" w:type="dxa"/>
        <w:tblLayout w:type="fixed"/>
        <w:tblCellMar>
          <w:top w:w="28" w:type="dxa"/>
          <w:left w:w="28" w:type="dxa"/>
          <w:bottom w:w="28" w:type="dxa"/>
          <w:right w:w="28" w:type="dxa"/>
        </w:tblCellMar>
      </w:tblPr>
      <w:tblGrid>
        <w:gridCol w:w="124"/>
        <w:gridCol w:w="109"/>
        <w:gridCol w:w="109"/>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R. Reeg</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 Bret Yunker, certify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Caesars Entertainment, Inc.;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October 28, 2025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Bret Yunker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Thomas R. Reeg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Thomas R. Reeg, Chief Executive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September 30, 2025 (the “Periodic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represents, in all material respects, the financial condition and results of operations of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 October 28, 2025</w:t>
      </w:r>
    </w:p>
    <w:tbl>
      <w:tblPr>
        <w:tblW w:w="2397" w:type="dxa"/>
        <w:jc w:val="left"/>
        <w:tblInd w:w="0" w:type="dxa"/>
        <w:tblLayout w:type="fixed"/>
        <w:tblCellMar>
          <w:top w:w="28" w:type="dxa"/>
          <w:left w:w="28" w:type="dxa"/>
          <w:bottom w:w="28" w:type="dxa"/>
          <w:right w:w="28" w:type="dxa"/>
        </w:tblCellMar>
      </w:tblPr>
      <w:tblGrid>
        <w:gridCol w:w="124"/>
        <w:gridCol w:w="109"/>
        <w:gridCol w:w="109"/>
        <w:gridCol w:w="600"/>
        <w:gridCol w:w="600"/>
        <w:gridCol w:w="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Bret Yunker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Bret Yunker, Chief Financial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September 30, 2025 (the “Periodic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represents, in all material respects, the financial condition and results of operations of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 October 28, 2025</w:t>
      </w:r>
    </w:p>
    <w:tbl>
      <w:tblPr>
        <w:tblW w:w="2412" w:type="dxa"/>
        <w:jc w:val="left"/>
        <w:tblInd w:w="0" w:type="dxa"/>
        <w:tblLayout w:type="fixed"/>
        <w:tblCellMar>
          <w:top w:w="28" w:type="dxa"/>
          <w:left w:w="28" w:type="dxa"/>
          <w:bottom w:w="28" w:type="dxa"/>
          <w:right w:w="28" w:type="dxa"/>
        </w:tblCellMar>
      </w:tblPr>
      <w:tblGrid>
        <w:gridCol w:w="124"/>
        <w:gridCol w:w="109"/>
        <w:gridCol w:w="109"/>
        <w:gridCol w:w="606"/>
        <w:gridCol w:w="606"/>
        <w:gridCol w:w="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90895/000119312523169019/d522744dex31.htm" TargetMode="External"/><Relationship Id="rId4" Type="http://schemas.openxmlformats.org/officeDocument/2006/relationships/hyperlink" Target="https://www.sec.gov/Archives/edgar/data/1590895/000159089525000122/exhibit31arbylawsadoptedju.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24638</Words>
  <Characters>133192</Characters>
  <CharactersWithSpaces>155458</CharactersWithSpaces>
  <Paragraphs>4358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