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5" w:lineRule="exact"/>
        <w:rPr>
          <w:sz w:val="24"/>
          <w:szCs w:val="24"/>
          <w:color w:val="auto"/>
        </w:rPr>
      </w:pPr>
    </w:p>
    <w:p>
      <w:pPr>
        <w:ind w:left="4260"/>
        <w:spacing w:after="0"/>
        <w:tabs>
          <w:tab w:leader="none" w:pos="6400" w:val="left"/>
        </w:tabs>
        <w:rPr>
          <w:sz w:val="20"/>
          <w:szCs w:val="20"/>
          <w:color w:val="auto"/>
        </w:rPr>
      </w:pPr>
      <w:r>
        <w:rPr>
          <w:rFonts w:ascii="Arial" w:cs="Arial" w:eastAsia="Arial" w:hAnsi="Arial"/>
          <w:sz w:val="16"/>
          <w:szCs w:val="16"/>
          <w:b w:val="1"/>
          <w:bCs w:val="1"/>
          <w:color w:val="auto"/>
        </w:rPr>
        <w:t>For the transition period</w:t>
      </w:r>
      <w:r>
        <w:rPr>
          <w:sz w:val="20"/>
          <w:szCs w:val="20"/>
          <w:color w:val="auto"/>
        </w:rPr>
        <w:tab/>
      </w:r>
      <w:r>
        <w:rPr>
          <w:rFonts w:ascii="Arial" w:cs="Arial" w:eastAsia="Arial" w:hAnsi="Arial"/>
          <w:sz w:val="12"/>
          <w:szCs w:val="12"/>
          <w:b w:val="1"/>
          <w:bCs w:val="1"/>
          <w:color w:val="auto"/>
        </w:rPr>
        <w:t>to</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001-36629</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jc w:val="center"/>
              <w:ind w:left="1584"/>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2"/>
          </w:tcPr>
          <w:p>
            <w:pPr>
              <w:jc w:val="center"/>
              <w:ind w:right="1882"/>
              <w:spacing w:after="0"/>
              <w:rPr>
                <w:sz w:val="20"/>
                <w:szCs w:val="20"/>
                <w:color w:val="auto"/>
              </w:rPr>
            </w:pPr>
            <w:r>
              <w:rPr>
                <w:rFonts w:ascii="Arial" w:cs="Arial" w:eastAsia="Arial" w:hAnsi="Arial"/>
                <w:sz w:val="16"/>
                <w:szCs w:val="16"/>
                <w:b w:val="1"/>
                <w:bCs w:val="1"/>
                <w:color w:val="auto"/>
                <w:w w:val="91"/>
              </w:rPr>
              <w:t>46-3656781</w:t>
            </w:r>
          </w:p>
        </w:tc>
      </w:tr>
      <w:tr>
        <w:trPr>
          <w:trHeight w:val="148"/>
        </w:trPr>
        <w:tc>
          <w:tcPr>
            <w:tcW w:w="3580" w:type="dxa"/>
            <w:vAlign w:val="bottom"/>
          </w:tcPr>
          <w:p>
            <w:pPr>
              <w:jc w:val="center"/>
              <w:ind w:left="15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gridSpan w:val="2"/>
          </w:tcPr>
          <w:p>
            <w:pPr>
              <w:jc w:val="center"/>
              <w:ind w:righ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ind w:left="1584"/>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2"/>
          </w:tcPr>
          <w:p>
            <w:pPr>
              <w:jc w:val="center"/>
              <w:ind w:right="1862"/>
              <w:spacing w:after="0"/>
              <w:rPr>
                <w:sz w:val="20"/>
                <w:szCs w:val="20"/>
                <w:color w:val="auto"/>
              </w:rPr>
            </w:pPr>
            <w:r>
              <w:rPr>
                <w:rFonts w:ascii="Arial" w:cs="Arial" w:eastAsia="Arial" w:hAnsi="Arial"/>
                <w:sz w:val="14"/>
                <w:szCs w:val="14"/>
                <w:b w:val="1"/>
                <w:bCs w:val="1"/>
                <w:color w:val="auto"/>
                <w:w w:val="94"/>
              </w:rPr>
              <w:t>Identification No.)</w:t>
            </w:r>
          </w:p>
        </w:tc>
      </w:tr>
      <w:tr>
        <w:trPr>
          <w:trHeight w:val="268"/>
        </w:trPr>
        <w:tc>
          <w:tcPr>
            <w:tcW w:w="3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100 West Liberty Street, 12th Floor</w:t>
            </w:r>
          </w:p>
        </w:tc>
        <w:tc>
          <w:tcPr>
            <w:tcW w:w="62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3"/>
          </w:tcPr>
          <w:p>
            <w:pPr>
              <w:jc w:val="center"/>
              <w:ind w:right="340"/>
              <w:spacing w:after="0" w:line="180" w:lineRule="exact"/>
              <w:rPr>
                <w:sz w:val="20"/>
                <w:szCs w:val="20"/>
                <w:color w:val="auto"/>
              </w:rPr>
            </w:pPr>
            <w:r>
              <w:rPr>
                <w:rFonts w:ascii="Arial" w:cs="Arial" w:eastAsia="Arial" w:hAnsi="Arial"/>
                <w:sz w:val="16"/>
                <w:szCs w:val="16"/>
                <w:b w:val="1"/>
                <w:bCs w:val="1"/>
                <w:color w:val="auto"/>
                <w:w w:val="90"/>
              </w:rPr>
              <w:t>Reno, Nevada 89501</w:t>
            </w:r>
          </w:p>
        </w:tc>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80"/>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3"/>
          </w:tcPr>
          <w:p>
            <w:pPr>
              <w:jc w:val="center"/>
              <w:ind w:right="320"/>
              <w:spacing w:after="0" w:line="180" w:lineRule="exact"/>
              <w:rPr>
                <w:sz w:val="20"/>
                <w:szCs w:val="20"/>
                <w:color w:val="auto"/>
              </w:rPr>
            </w:pPr>
            <w:r>
              <w:rPr>
                <w:rFonts w:ascii="Arial" w:cs="Arial" w:eastAsia="Arial" w:hAnsi="Arial"/>
                <w:sz w:val="16"/>
                <w:szCs w:val="16"/>
                <w:b w:val="1"/>
                <w:bCs w:val="1"/>
                <w:color w:val="auto"/>
                <w:w w:val="91"/>
              </w:rPr>
              <w:t>Telephone: (775) 328-0100</w:t>
            </w:r>
          </w:p>
        </w:tc>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10"/>
        </w:trPr>
        <w:tc>
          <w:tcPr>
            <w:tcW w:w="3580" w:type="dxa"/>
            <w:vAlign w:val="bottom"/>
          </w:tcPr>
          <w:p>
            <w:pPr>
              <w:spacing w:after="0"/>
              <w:rPr>
                <w:sz w:val="18"/>
                <w:szCs w:val="18"/>
                <w:color w:val="auto"/>
              </w:rPr>
            </w:pPr>
          </w:p>
        </w:tc>
        <w:tc>
          <w:tcPr>
            <w:tcW w:w="4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97"/>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3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Trading symbol</w:t>
            </w:r>
          </w:p>
        </w:tc>
        <w:tc>
          <w:tcPr>
            <w:tcW w:w="346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6"/>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$.00001, par value</w:t>
            </w:r>
          </w:p>
        </w:tc>
        <w:tc>
          <w:tcPr>
            <w:tcW w:w="2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CZR</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682"/>
              <w:spacing w:after="0"/>
              <w:rPr>
                <w:sz w:val="20"/>
                <w:szCs w:val="20"/>
                <w:color w:val="auto"/>
              </w:rPr>
            </w:pPr>
            <w:r>
              <w:rPr>
                <w:rFonts w:ascii="Arial" w:cs="Arial" w:eastAsia="Arial" w:hAnsi="Arial"/>
                <w:sz w:val="14"/>
                <w:szCs w:val="14"/>
                <w:b w:val="1"/>
                <w:bCs w:val="1"/>
                <w:color w:val="auto"/>
                <w:w w:val="97"/>
              </w:rPr>
              <w:t>NASDAQ Stock Market</w:t>
            </w:r>
          </w:p>
        </w:tc>
      </w:tr>
      <w:tr>
        <w:trPr>
          <w:trHeight w:val="267"/>
        </w:trPr>
        <w:tc>
          <w:tcPr>
            <w:tcW w:w="8380" w:type="dxa"/>
            <w:vAlign w:val="bottom"/>
            <w:gridSpan w:val="6"/>
          </w:tcPr>
          <w:p>
            <w:pPr>
              <w:jc w:val="center"/>
              <w:ind w:left="2784"/>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2840" w:type="dxa"/>
            <w:vAlign w:val="bottom"/>
          </w:tcPr>
          <w:p>
            <w:pPr>
              <w:spacing w:after="0"/>
              <w:rPr>
                <w:sz w:val="23"/>
                <w:szCs w:val="23"/>
                <w:color w:val="auto"/>
              </w:rPr>
            </w:pPr>
          </w:p>
        </w:tc>
      </w:tr>
      <w:tr>
        <w:trPr>
          <w:trHeight w:val="288"/>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8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6"/>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8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reports required to be filed by Section 13 or 15(d) of the Securities Exchange Act of 1934 during the preceding</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2"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56" w:right="339" w:bottom="1440" w:gutter="0" w:footer="0" w:header="0"/>
        </w:sectPr>
      </w:pPr>
    </w:p>
    <w:p>
      <w:pPr>
        <w:spacing w:after="0" w:line="75" w:lineRule="exact"/>
        <w:rPr>
          <w:sz w:val="24"/>
          <w:szCs w:val="24"/>
          <w:color w:val="auto"/>
        </w:rPr>
      </w:pPr>
    </w:p>
    <w:p>
      <w:pPr>
        <w:jc w:val="center"/>
        <w:ind w:left="540"/>
        <w:spacing w:after="0"/>
        <w:rPr>
          <w:sz w:val="20"/>
          <w:szCs w:val="20"/>
          <w:color w:val="auto"/>
        </w:rPr>
      </w:pPr>
      <w:r>
        <w:rPr>
          <w:rFonts w:ascii="Arial" w:cs="Arial" w:eastAsia="Arial" w:hAnsi="Arial"/>
          <w:sz w:val="16"/>
          <w:szCs w:val="16"/>
          <w:color w:val="auto"/>
        </w:rPr>
        <w:t>Large accelerated filer</w:t>
      </w:r>
    </w:p>
    <w:p>
      <w:pPr>
        <w:spacing w:after="0" w:line="32" w:lineRule="exact"/>
        <w:rPr>
          <w:sz w:val="24"/>
          <w:szCs w:val="24"/>
          <w:color w:val="auto"/>
        </w:rPr>
      </w:pPr>
    </w:p>
    <w:p>
      <w:pPr>
        <w:jc w:val="center"/>
        <w:ind w:left="5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ind w:right="4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75" w:lineRule="exact"/>
        <w:rPr>
          <w:sz w:val="24"/>
          <w:szCs w:val="24"/>
          <w:color w:val="auto"/>
        </w:rPr>
      </w:pPr>
    </w:p>
    <w:p>
      <w:pPr>
        <w:sectPr>
          <w:pgSz w:w="11900" w:h="16838" w:orient="portrait"/>
          <w:cols w:equalWidth="0" w:num="6">
            <w:col w:w="2720" w:space="720"/>
            <w:col w:w="340" w:space="720"/>
            <w:col w:w="1980" w:space="720"/>
            <w:col w:w="520" w:space="720"/>
            <w:col w:w="1780" w:space="720"/>
            <w:col w:w="300"/>
          </w:cols>
          <w:pgMar w:left="320" w:top="1156" w:right="339" w:bottom="1440" w:gutter="0" w:footer="0" w:header="0"/>
          <w:type w:val="continuous"/>
        </w:sect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common stock held by non-affiliates of the Registrant was $3.6 billion at June 30, 2020 based upon the closing price for the shares of CZR’s common stock as reported by The Nasdaq Stock Market.</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22, 2021, there were 208,277,434 outstanding shares of the Registrant’s Common Stock, net of treasury shares.</w:t>
      </w:r>
    </w:p>
    <w:p>
      <w:pPr>
        <w:spacing w:after="0" w:line="69"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FOR THE YEAR ENDED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Borders>
              <w:bottom w:val="single" w:sz="8" w:color="CCEEFF"/>
            </w:tcBorders>
          </w:tcPr>
          <w:p>
            <w:pPr>
              <w:spacing w:after="0"/>
              <w:rPr>
                <w:sz w:val="20"/>
                <w:szCs w:val="20"/>
                <w:color w:val="auto"/>
              </w:rPr>
            </w:pPr>
          </w:p>
        </w:tc>
        <w:tc>
          <w:tcPr>
            <w:tcW w:w="96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0"/>
        </w:trPr>
        <w:tc>
          <w:tcPr>
            <w:tcW w:w="880" w:type="dxa"/>
            <w:vAlign w:val="bottom"/>
            <w:shd w:val="clear" w:color="auto" w:fill="CCEEFF"/>
          </w:tcPr>
          <w:p>
            <w:pPr>
              <w:ind w:left="2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88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68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66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13">
              <w:r>
                <w:rPr>
                  <w:rFonts w:ascii="Arial" w:cs="Arial" w:eastAsia="Arial" w:hAnsi="Arial"/>
                  <w:sz w:val="18"/>
                  <w:szCs w:val="18"/>
                  <w:color w:val="auto"/>
                </w:rPr>
                <w:t>Item 1A.</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14</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Item 1B.</w:t>
              </w:r>
            </w:hyperlink>
          </w:p>
        </w:tc>
        <w:tc>
          <w:tcPr>
            <w:tcW w:w="9680" w:type="dxa"/>
            <w:vAlign w:val="bottom"/>
          </w:tcPr>
          <w:p>
            <w:pPr>
              <w:ind w:left="60"/>
              <w:spacing w:after="0"/>
              <w:rPr>
                <w:rFonts w:ascii="Arial" w:cs="Arial" w:eastAsia="Arial" w:hAnsi="Arial"/>
                <w:sz w:val="18"/>
                <w:szCs w:val="18"/>
                <w:color w:val="auto"/>
              </w:rPr>
            </w:pPr>
            <w:hyperlink w:anchor="page26">
              <w:r>
                <w:rPr>
                  <w:rFonts w:ascii="Arial" w:cs="Arial" w:eastAsia="Arial" w:hAnsi="Arial"/>
                  <w:sz w:val="18"/>
                  <w:szCs w:val="18"/>
                  <w:color w:val="auto"/>
                </w:rPr>
                <w:t>Unresolved Staff Comments</w:t>
              </w:r>
            </w:hyperlink>
          </w:p>
        </w:tc>
        <w:tc>
          <w:tcPr>
            <w:tcW w:w="660" w:type="dxa"/>
            <w:vAlign w:val="bottom"/>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26</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Item 2.</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26">
              <w:r>
                <w:rPr>
                  <w:rFonts w:ascii="Arial" w:cs="Arial" w:eastAsia="Arial" w:hAnsi="Arial"/>
                  <w:sz w:val="18"/>
                  <w:szCs w:val="18"/>
                  <w:color w:val="auto"/>
                </w:rPr>
                <w:t>Properties</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26</w:t>
              </w:r>
            </w:hyperlink>
          </w:p>
        </w:tc>
      </w:tr>
      <w:tr>
        <w:trPr>
          <w:trHeight w:val="229"/>
        </w:trPr>
        <w:tc>
          <w:tcPr>
            <w:tcW w:w="88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Item 3.</w:t>
              </w:r>
            </w:hyperlink>
          </w:p>
        </w:tc>
        <w:tc>
          <w:tcPr>
            <w:tcW w:w="9680" w:type="dxa"/>
            <w:vAlign w:val="bottom"/>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Legal Proceedings</w:t>
              </w:r>
            </w:hyperlink>
          </w:p>
        </w:tc>
        <w:tc>
          <w:tcPr>
            <w:tcW w:w="66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28</w:t>
              </w:r>
            </w:hyperlink>
          </w:p>
        </w:tc>
      </w:tr>
      <w:tr>
        <w:trPr>
          <w:trHeight w:val="230"/>
        </w:trPr>
        <w:tc>
          <w:tcPr>
            <w:tcW w:w="880" w:type="dxa"/>
            <w:vAlign w:val="bottom"/>
            <w:shd w:val="clear" w:color="auto" w:fill="CCEEFF"/>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Mine Safety Disclosures</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28</w:t>
              </w:r>
            </w:hyperlink>
          </w:p>
        </w:tc>
      </w:tr>
      <w:tr>
        <w:trPr>
          <w:trHeight w:val="229"/>
        </w:trPr>
        <w:tc>
          <w:tcPr>
            <w:tcW w:w="880" w:type="dxa"/>
            <w:vAlign w:val="bottom"/>
          </w:tcPr>
          <w:p>
            <w:pPr>
              <w:ind w:left="20"/>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Part II</w:t>
              </w:r>
            </w:hyperlink>
          </w:p>
        </w:tc>
        <w:tc>
          <w:tcPr>
            <w:tcW w:w="96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880" w:type="dxa"/>
            <w:vAlign w:val="bottom"/>
            <w:shd w:val="clear" w:color="auto" w:fill="CCEEFF"/>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Item 5.</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29">
              <w:r>
                <w:rPr>
                  <w:rFonts w:ascii="Arial" w:cs="Arial" w:eastAsia="Arial" w:hAnsi="Arial"/>
                  <w:sz w:val="18"/>
                  <w:szCs w:val="18"/>
                  <w:color w:val="auto"/>
                </w:rPr>
                <w:t>Market for Registrants’ Common Equity, Related Stockholder Matters and Issuer Purchases of Equity Securities</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29</w:t>
              </w:r>
            </w:hyperlink>
          </w:p>
        </w:tc>
      </w:tr>
      <w:tr>
        <w:trPr>
          <w:trHeight w:val="229"/>
        </w:trPr>
        <w:tc>
          <w:tcPr>
            <w:tcW w:w="8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Item 6.</w:t>
              </w:r>
            </w:hyperlink>
          </w:p>
        </w:tc>
        <w:tc>
          <w:tcPr>
            <w:tcW w:w="9680" w:type="dxa"/>
            <w:vAlign w:val="bottom"/>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Selected Financial Data</w:t>
              </w:r>
            </w:hyperlink>
          </w:p>
        </w:tc>
        <w:tc>
          <w:tcPr>
            <w:tcW w:w="66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30</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Item 7.</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Management’s Discussion and Analysis of Financial Condition and Results of Operations</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31</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57">
              <w:r>
                <w:rPr>
                  <w:rFonts w:ascii="Arial" w:cs="Arial" w:eastAsia="Arial" w:hAnsi="Arial"/>
                  <w:sz w:val="18"/>
                  <w:szCs w:val="18"/>
                  <w:color w:val="auto"/>
                </w:rPr>
                <w:t>Item 7A.</w:t>
              </w:r>
            </w:hyperlink>
          </w:p>
        </w:tc>
        <w:tc>
          <w:tcPr>
            <w:tcW w:w="9680" w:type="dxa"/>
            <w:vAlign w:val="bottom"/>
          </w:tcPr>
          <w:p>
            <w:pPr>
              <w:ind w:left="60"/>
              <w:spacing w:after="0"/>
              <w:rPr>
                <w:rFonts w:ascii="Arial" w:cs="Arial" w:eastAsia="Arial" w:hAnsi="Arial"/>
                <w:sz w:val="18"/>
                <w:szCs w:val="18"/>
                <w:color w:val="auto"/>
              </w:rPr>
            </w:pPr>
            <w:hyperlink w:anchor="page57">
              <w:r>
                <w:rPr>
                  <w:rFonts w:ascii="Arial" w:cs="Arial" w:eastAsia="Arial" w:hAnsi="Arial"/>
                  <w:sz w:val="18"/>
                  <w:szCs w:val="18"/>
                  <w:color w:val="auto"/>
                </w:rPr>
                <w:t>Quantitative and Qualitative Disclosures About Market Risk</w:t>
              </w:r>
            </w:hyperlink>
          </w:p>
        </w:tc>
        <w:tc>
          <w:tcPr>
            <w:tcW w:w="660" w:type="dxa"/>
            <w:vAlign w:val="bottom"/>
          </w:tcPr>
          <w:p>
            <w:pPr>
              <w:jc w:val="center"/>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57</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Item 8.</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58">
              <w:r>
                <w:rPr>
                  <w:rFonts w:ascii="Arial" w:cs="Arial" w:eastAsia="Arial" w:hAnsi="Arial"/>
                  <w:sz w:val="18"/>
                  <w:szCs w:val="18"/>
                  <w:color w:val="auto"/>
                </w:rPr>
                <w:t>Financial Statements and Supplementary Data</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58</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Item 9.</w:t>
              </w:r>
            </w:hyperlink>
          </w:p>
        </w:tc>
        <w:tc>
          <w:tcPr>
            <w:tcW w:w="9680" w:type="dxa"/>
            <w:vAlign w:val="bottom"/>
          </w:tcPr>
          <w:p>
            <w:pPr>
              <w:ind w:left="60"/>
              <w:spacing w:after="0"/>
              <w:rPr>
                <w:rFonts w:ascii="Arial" w:cs="Arial" w:eastAsia="Arial" w:hAnsi="Arial"/>
                <w:sz w:val="18"/>
                <w:szCs w:val="18"/>
                <w:color w:val="auto"/>
              </w:rPr>
            </w:pPr>
            <w:hyperlink w:anchor="page58">
              <w:r>
                <w:rPr>
                  <w:rFonts w:ascii="Arial" w:cs="Arial" w:eastAsia="Arial" w:hAnsi="Arial"/>
                  <w:sz w:val="18"/>
                  <w:szCs w:val="18"/>
                  <w:color w:val="auto"/>
                </w:rPr>
                <w:t>Changes in and Disagreements with Accountants on Accounting and Financial Disclosure</w:t>
              </w:r>
            </w:hyperlink>
          </w:p>
        </w:tc>
        <w:tc>
          <w:tcPr>
            <w:tcW w:w="660" w:type="dxa"/>
            <w:vAlign w:val="bottom"/>
          </w:tcPr>
          <w:p>
            <w:pPr>
              <w:jc w:val="cente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58</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Item 9A.</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58">
              <w:r>
                <w:rPr>
                  <w:rFonts w:ascii="Arial" w:cs="Arial" w:eastAsia="Arial" w:hAnsi="Arial"/>
                  <w:sz w:val="18"/>
                  <w:szCs w:val="18"/>
                  <w:color w:val="auto"/>
                </w:rPr>
                <w:t>Controls and Procedures</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58</w:t>
              </w:r>
            </w:hyperlink>
          </w:p>
        </w:tc>
      </w:tr>
      <w:tr>
        <w:trPr>
          <w:trHeight w:val="229"/>
        </w:trPr>
        <w:tc>
          <w:tcPr>
            <w:tcW w:w="880" w:type="dxa"/>
            <w:vAlign w:val="bottom"/>
          </w:tcPr>
          <w:p>
            <w:pPr>
              <w:ind w:left="20"/>
              <w:spacing w:after="0"/>
              <w:rPr>
                <w:rFonts w:ascii="Arial" w:cs="Arial" w:eastAsia="Arial" w:hAnsi="Arial"/>
                <w:sz w:val="18"/>
                <w:szCs w:val="18"/>
                <w:color w:val="auto"/>
              </w:rPr>
            </w:pPr>
            <w:hyperlink w:anchor="page60">
              <w:r>
                <w:rPr>
                  <w:rFonts w:ascii="Arial" w:cs="Arial" w:eastAsia="Arial" w:hAnsi="Arial"/>
                  <w:sz w:val="18"/>
                  <w:szCs w:val="18"/>
                  <w:color w:val="auto"/>
                </w:rPr>
                <w:t>Item 9B.</w:t>
              </w:r>
            </w:hyperlink>
          </w:p>
        </w:tc>
        <w:tc>
          <w:tcPr>
            <w:tcW w:w="9680" w:type="dxa"/>
            <w:vAlign w:val="bottom"/>
          </w:tcPr>
          <w:p>
            <w:pPr>
              <w:ind w:left="60"/>
              <w:spacing w:after="0"/>
              <w:rPr>
                <w:rFonts w:ascii="Arial" w:cs="Arial" w:eastAsia="Arial" w:hAnsi="Arial"/>
                <w:sz w:val="18"/>
                <w:szCs w:val="18"/>
                <w:color w:val="auto"/>
              </w:rPr>
            </w:pPr>
            <w:hyperlink w:anchor="page60">
              <w:r>
                <w:rPr>
                  <w:rFonts w:ascii="Arial" w:cs="Arial" w:eastAsia="Arial" w:hAnsi="Arial"/>
                  <w:sz w:val="18"/>
                  <w:szCs w:val="18"/>
                  <w:color w:val="auto"/>
                </w:rPr>
                <w:t>Other Information</w:t>
              </w:r>
            </w:hyperlink>
          </w:p>
        </w:tc>
        <w:tc>
          <w:tcPr>
            <w:tcW w:w="660" w:type="dxa"/>
            <w:vAlign w:val="bottom"/>
          </w:tcPr>
          <w:p>
            <w:pPr>
              <w:jc w:val="cente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61</w:t>
              </w:r>
            </w:hyperlink>
          </w:p>
        </w:tc>
      </w:tr>
      <w:tr>
        <w:trPr>
          <w:trHeight w:val="230"/>
        </w:trPr>
        <w:tc>
          <w:tcPr>
            <w:tcW w:w="880" w:type="dxa"/>
            <w:vAlign w:val="bottom"/>
            <w:shd w:val="clear" w:color="auto" w:fill="CCEEFF"/>
          </w:tcPr>
          <w:p>
            <w:pPr>
              <w:ind w:left="20"/>
              <w:spacing w:after="0"/>
              <w:rPr>
                <w:rFonts w:ascii="Arial" w:cs="Arial" w:eastAsia="Arial" w:hAnsi="Arial"/>
                <w:sz w:val="18"/>
                <w:szCs w:val="18"/>
                <w:b w:val="1"/>
                <w:bCs w:val="1"/>
                <w:color w:val="auto"/>
              </w:rPr>
            </w:pPr>
            <w:hyperlink w:anchor="page61">
              <w:r>
                <w:rPr>
                  <w:rFonts w:ascii="Arial" w:cs="Arial" w:eastAsia="Arial" w:hAnsi="Arial"/>
                  <w:sz w:val="18"/>
                  <w:szCs w:val="18"/>
                  <w:b w:val="1"/>
                  <w:bCs w:val="1"/>
                  <w:color w:val="auto"/>
                </w:rPr>
                <w:t>Part III</w:t>
              </w:r>
            </w:hyperlink>
          </w:p>
        </w:tc>
        <w:tc>
          <w:tcPr>
            <w:tcW w:w="9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10.</w:t>
              </w:r>
            </w:hyperlink>
          </w:p>
        </w:tc>
        <w:tc>
          <w:tcPr>
            <w:tcW w:w="9680" w:type="dxa"/>
            <w:vAlign w:val="bottom"/>
          </w:tcPr>
          <w:p>
            <w:pPr>
              <w:ind w:left="60"/>
              <w:spacing w:after="0"/>
              <w:rPr>
                <w:rFonts w:ascii="Arial" w:cs="Arial" w:eastAsia="Arial" w:hAnsi="Arial"/>
                <w:sz w:val="18"/>
                <w:szCs w:val="18"/>
                <w:color w:val="auto"/>
              </w:rPr>
            </w:pPr>
            <w:hyperlink w:anchor="page62">
              <w:r>
                <w:rPr>
                  <w:rFonts w:ascii="Arial" w:cs="Arial" w:eastAsia="Arial" w:hAnsi="Arial"/>
                  <w:sz w:val="18"/>
                  <w:szCs w:val="18"/>
                  <w:color w:val="auto"/>
                </w:rPr>
                <w:t>Directors, Executive Officers and Corporate Governance</w:t>
              </w:r>
            </w:hyperlink>
          </w:p>
        </w:tc>
        <w:tc>
          <w:tcPr>
            <w:tcW w:w="66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11.</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62">
              <w:r>
                <w:rPr>
                  <w:rFonts w:ascii="Arial" w:cs="Arial" w:eastAsia="Arial" w:hAnsi="Arial"/>
                  <w:sz w:val="18"/>
                  <w:szCs w:val="18"/>
                  <w:color w:val="auto"/>
                </w:rPr>
                <w:t>Executive Compensation</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12.</w:t>
              </w:r>
            </w:hyperlink>
          </w:p>
        </w:tc>
        <w:tc>
          <w:tcPr>
            <w:tcW w:w="9680" w:type="dxa"/>
            <w:vAlign w:val="bottom"/>
          </w:tcPr>
          <w:p>
            <w:pPr>
              <w:ind w:left="60"/>
              <w:spacing w:after="0"/>
              <w:rPr>
                <w:rFonts w:ascii="Arial" w:cs="Arial" w:eastAsia="Arial" w:hAnsi="Arial"/>
                <w:sz w:val="18"/>
                <w:szCs w:val="18"/>
                <w:color w:val="auto"/>
              </w:rPr>
            </w:pPr>
            <w:hyperlink w:anchor="page62">
              <w:r>
                <w:rPr>
                  <w:rFonts w:ascii="Arial" w:cs="Arial" w:eastAsia="Arial" w:hAnsi="Arial"/>
                  <w:sz w:val="18"/>
                  <w:szCs w:val="18"/>
                  <w:color w:val="auto"/>
                </w:rPr>
                <w:t>Security Ownership of Certain Beneficial Owners and Management and Related Stockholder Matters</w:t>
              </w:r>
            </w:hyperlink>
          </w:p>
        </w:tc>
        <w:tc>
          <w:tcPr>
            <w:tcW w:w="66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13.</w:t>
              </w:r>
            </w:hyperlink>
          </w:p>
        </w:tc>
        <w:tc>
          <w:tcPr>
            <w:tcW w:w="9680" w:type="dxa"/>
            <w:vAlign w:val="bottom"/>
            <w:shd w:val="clear" w:color="auto" w:fill="CCEEFF"/>
          </w:tcPr>
          <w:p>
            <w:pPr>
              <w:ind w:left="60"/>
              <w:spacing w:after="0"/>
              <w:rPr>
                <w:rFonts w:ascii="Arial" w:cs="Arial" w:eastAsia="Arial" w:hAnsi="Arial"/>
                <w:sz w:val="18"/>
                <w:szCs w:val="18"/>
                <w:color w:val="auto"/>
              </w:rPr>
            </w:pPr>
            <w:hyperlink w:anchor="page62">
              <w:r>
                <w:rPr>
                  <w:rFonts w:ascii="Arial" w:cs="Arial" w:eastAsia="Arial" w:hAnsi="Arial"/>
                  <w:sz w:val="18"/>
                  <w:szCs w:val="18"/>
                  <w:color w:val="auto"/>
                </w:rPr>
                <w:t>Certain Relationships and Related Transactions, and Director Independence</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30"/>
        </w:trPr>
        <w:tc>
          <w:tcPr>
            <w:tcW w:w="88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14.</w:t>
              </w:r>
            </w:hyperlink>
          </w:p>
        </w:tc>
        <w:tc>
          <w:tcPr>
            <w:tcW w:w="9680" w:type="dxa"/>
            <w:vAlign w:val="bottom"/>
          </w:tcPr>
          <w:p>
            <w:pPr>
              <w:ind w:left="60"/>
              <w:spacing w:after="0"/>
              <w:rPr>
                <w:rFonts w:ascii="Arial" w:cs="Arial" w:eastAsia="Arial" w:hAnsi="Arial"/>
                <w:sz w:val="18"/>
                <w:szCs w:val="18"/>
                <w:color w:val="auto"/>
              </w:rPr>
            </w:pPr>
            <w:hyperlink w:anchor="page62">
              <w:r>
                <w:rPr>
                  <w:rFonts w:ascii="Arial" w:cs="Arial" w:eastAsia="Arial" w:hAnsi="Arial"/>
                  <w:sz w:val="18"/>
                  <w:szCs w:val="18"/>
                  <w:color w:val="auto"/>
                </w:rPr>
                <w:t>Principal Accounting Fees and Services</w:t>
              </w:r>
            </w:hyperlink>
          </w:p>
        </w:tc>
        <w:tc>
          <w:tcPr>
            <w:tcW w:w="66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30"/>
        </w:trPr>
        <w:tc>
          <w:tcPr>
            <w:tcW w:w="880" w:type="dxa"/>
            <w:vAlign w:val="bottom"/>
            <w:shd w:val="clear" w:color="auto" w:fill="CCEEFF"/>
          </w:tcPr>
          <w:p>
            <w:pPr>
              <w:ind w:left="20"/>
              <w:spacing w:after="0"/>
              <w:rPr>
                <w:rFonts w:ascii="Arial" w:cs="Arial" w:eastAsia="Arial" w:hAnsi="Arial"/>
                <w:sz w:val="18"/>
                <w:szCs w:val="18"/>
                <w:b w:val="1"/>
                <w:bCs w:val="1"/>
                <w:color w:val="auto"/>
              </w:rPr>
            </w:pPr>
            <w:hyperlink w:anchor="page62">
              <w:r>
                <w:rPr>
                  <w:rFonts w:ascii="Arial" w:cs="Arial" w:eastAsia="Arial" w:hAnsi="Arial"/>
                  <w:sz w:val="18"/>
                  <w:szCs w:val="18"/>
                  <w:b w:val="1"/>
                  <w:bCs w:val="1"/>
                  <w:color w:val="auto"/>
                </w:rPr>
                <w:t>Part IV</w:t>
              </w:r>
            </w:hyperlink>
          </w:p>
        </w:tc>
        <w:tc>
          <w:tcPr>
            <w:tcW w:w="9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880" w:type="dxa"/>
            <w:vAlign w:val="bottom"/>
          </w:tcPr>
          <w:p>
            <w:pPr>
              <w:ind w:left="20"/>
              <w:spacing w:after="0"/>
              <w:rPr>
                <w:rFonts w:ascii="Arial" w:cs="Arial" w:eastAsia="Arial" w:hAnsi="Arial"/>
                <w:sz w:val="18"/>
                <w:szCs w:val="18"/>
                <w:color w:val="auto"/>
              </w:rPr>
            </w:pPr>
            <w:hyperlink w:anchor="page63">
              <w:r>
                <w:rPr>
                  <w:rFonts w:ascii="Arial" w:cs="Arial" w:eastAsia="Arial" w:hAnsi="Arial"/>
                  <w:sz w:val="18"/>
                  <w:szCs w:val="18"/>
                  <w:color w:val="auto"/>
                </w:rPr>
                <w:t>Item 15.</w:t>
              </w:r>
            </w:hyperlink>
          </w:p>
        </w:tc>
        <w:tc>
          <w:tcPr>
            <w:tcW w:w="9680" w:type="dxa"/>
            <w:vAlign w:val="bottom"/>
          </w:tcPr>
          <w:p>
            <w:pPr>
              <w:ind w:left="60"/>
              <w:spacing w:after="0"/>
              <w:rPr>
                <w:rFonts w:ascii="Arial" w:cs="Arial" w:eastAsia="Arial" w:hAnsi="Arial"/>
                <w:sz w:val="18"/>
                <w:szCs w:val="18"/>
                <w:color w:val="auto"/>
              </w:rPr>
            </w:pPr>
            <w:hyperlink w:anchor="page63">
              <w:r>
                <w:rPr>
                  <w:rFonts w:ascii="Arial" w:cs="Arial" w:eastAsia="Arial" w:hAnsi="Arial"/>
                  <w:sz w:val="18"/>
                  <w:szCs w:val="18"/>
                  <w:color w:val="auto"/>
                </w:rPr>
                <w:t>Financial Statement Schedules</w:t>
              </w:r>
            </w:hyperlink>
          </w:p>
        </w:tc>
        <w:tc>
          <w:tcPr>
            <w:tcW w:w="660" w:type="dxa"/>
            <w:vAlign w:val="bottom"/>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63</w:t>
              </w:r>
            </w:hyperlink>
          </w:p>
        </w:tc>
      </w:tr>
      <w:tr>
        <w:trPr>
          <w:trHeight w:val="229"/>
        </w:trPr>
        <w:tc>
          <w:tcPr>
            <w:tcW w:w="880" w:type="dxa"/>
            <w:vAlign w:val="bottom"/>
            <w:shd w:val="clear" w:color="auto" w:fill="CCEEFF"/>
          </w:tcPr>
          <w:p>
            <w:pPr>
              <w:ind w:left="20"/>
              <w:spacing w:after="0"/>
              <w:rPr>
                <w:rFonts w:ascii="Arial" w:cs="Arial" w:eastAsia="Arial" w:hAnsi="Arial"/>
                <w:sz w:val="18"/>
                <w:szCs w:val="18"/>
                <w:color w:val="auto"/>
              </w:rPr>
            </w:pPr>
            <w:hyperlink w:anchor="page63">
              <w:r>
                <w:rPr>
                  <w:rFonts w:ascii="Arial" w:cs="Arial" w:eastAsia="Arial" w:hAnsi="Arial"/>
                  <w:sz w:val="18"/>
                  <w:szCs w:val="18"/>
                  <w:color w:val="auto"/>
                </w:rPr>
                <w:t>EXHIBITS</w:t>
              </w:r>
            </w:hyperlink>
          </w:p>
        </w:tc>
        <w:tc>
          <w:tcPr>
            <w:tcW w:w="968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64</w:t>
              </w:r>
            </w:hyperlink>
          </w:p>
        </w:tc>
      </w:tr>
      <w:tr>
        <w:trPr>
          <w:trHeight w:val="230"/>
        </w:trPr>
        <w:tc>
          <w:tcPr>
            <w:tcW w:w="10560" w:type="dxa"/>
            <w:vAlign w:val="bottom"/>
            <w:gridSpan w:val="2"/>
          </w:tcPr>
          <w:p>
            <w:pPr>
              <w:ind w:left="20"/>
              <w:spacing w:after="0"/>
              <w:rPr>
                <w:rFonts w:ascii="Arial" w:cs="Arial" w:eastAsia="Arial" w:hAnsi="Arial"/>
                <w:sz w:val="18"/>
                <w:szCs w:val="18"/>
                <w:color w:val="auto"/>
              </w:rPr>
            </w:pPr>
            <w:hyperlink w:anchor="page68">
              <w:r>
                <w:rPr>
                  <w:rFonts w:ascii="Arial" w:cs="Arial" w:eastAsia="Arial" w:hAnsi="Arial"/>
                  <w:sz w:val="18"/>
                  <w:szCs w:val="18"/>
                  <w:color w:val="auto"/>
                </w:rPr>
                <w:t>SIGNATURES</w:t>
              </w:r>
            </w:hyperlink>
          </w:p>
        </w:tc>
        <w:tc>
          <w:tcPr>
            <w:tcW w:w="660" w:type="dxa"/>
            <w:vAlign w:val="bottom"/>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69</w:t>
              </w:r>
            </w:hyperlink>
          </w:p>
        </w:tc>
      </w:tr>
      <w:tr>
        <w:trPr>
          <w:trHeight w:val="230"/>
        </w:trPr>
        <w:tc>
          <w:tcPr>
            <w:tcW w:w="10560" w:type="dxa"/>
            <w:vAlign w:val="bottom"/>
            <w:gridSpan w:val="2"/>
            <w:shd w:val="clear" w:color="auto" w:fill="CCEEFF"/>
          </w:tcPr>
          <w:p>
            <w:pPr>
              <w:ind w:left="20"/>
              <w:spacing w:after="0"/>
              <w:rPr>
                <w:rFonts w:ascii="Arial" w:cs="Arial" w:eastAsia="Arial" w:hAnsi="Arial"/>
                <w:sz w:val="18"/>
                <w:szCs w:val="18"/>
                <w:color w:val="auto"/>
              </w:rPr>
            </w:pPr>
            <w:hyperlink w:anchor="page69">
              <w:r>
                <w:rPr>
                  <w:rFonts w:ascii="Arial" w:cs="Arial" w:eastAsia="Arial" w:hAnsi="Arial"/>
                  <w:sz w:val="18"/>
                  <w:szCs w:val="18"/>
                  <w:color w:val="auto"/>
                </w:rPr>
                <w:t>INDEX TO CONSOLIDATED FINANCIAL STATEMENTS OF CAESARS ENTERTAINMENT, INC.</w:t>
              </w:r>
            </w:hyperlink>
          </w:p>
        </w:tc>
        <w:tc>
          <w:tcPr>
            <w:tcW w:w="660" w:type="dxa"/>
            <w:vAlign w:val="bottom"/>
            <w:shd w:val="clear" w:color="auto" w:fill="CCEEFF"/>
          </w:tcPr>
          <w:p>
            <w:pPr>
              <w:jc w:val="cente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70</w:t>
              </w:r>
            </w:hyperlink>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Entertainment, Inc., a Delaware corporation formerly known as Eldorado Resorts, Inc. (“ERI” or “Eldorado”), is referred to as the “Company,” “CEI,” “Caesars,” or the “Registrant,” and together with its subsidiaries may also be referred to as “we,” “us” or “our.”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Our primary source of revenue is generated by gaming operations, and we utilize our hotels, restaurants, bars, entertainment, racing, sportsbook offerings, retail shops and other services to attract customers to our properties.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lease certain real property assets from third parties, including GLP Capital, L.P., the operating partnership of Gaming and Leisure Properties,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(“GLPI”) and VICI Properties L.P., a Delaware limited partnership (“VICI”).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 in 2020</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20, 2020, we completed the merger with Caesars Entertainment Corporation (“Former Caesars”) pursuant to which Former Caesars became our wholly-owned subsidiary (the “Merger”). As a result of the Merger, we currently own, lease or manage an aggregate of 54 domestic properties in 16 states with approximately 54,600 slot machines, video lottery terminals (“VLTs”) and e-tables, approximately 3,200 table games and approximately 47,700 hotel rooms as of December 31, 2020.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or manage 48 properties. See Item 2, “Properties,” for more information about our properties.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our ticker symbol on the NASDAQ Stock Market changed from “ERI” to “CZR”. In connection with the Merger, we also entered into a Master Transaction Agreement (the “MTA”) with VICI, pursuant to which, among other things, we agreed to consummate certain sale and leaseback transactions and amend certain lease agreements with VICI and/or its affiliates with respect to certain property described in the MTA. See Item 7 for further discussion of the Merger and Acquisitions Related Activities.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On July 1, 2020, the Company completed the sales of Isle of Capri Casino Kansas City (“Kansas City”) and Lady Luck Casino Vicksburg (“Vicksburg”).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2020, the Company completed the sale of Harrah’s Reno.</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24, 2020, the Company entered into a definitive purchase agreement with Twin River Worldwide Holdings, Inc. (“Twin River” or subsequently, “Bally’s Corporation”) and certain of its affiliates for the sale of the equity interests of Eldorado Resort Casino Shreveport Joint Venture and Columbia Properties Tahoe, LLC, the entities that hold Eldorado Resort Casino Shreveport (“Eldorado Shreveport”) and MontBleu Casino Resort &amp; Spa (“MontBleu”), for aggregate consideration of $155 million, subject to a customary working capital adjustment. The definitive agreement provides that the consummation of the sale is subject to satisfaction of customary conditions, including receipt of required regulatory approvals. The sale of Eldorado Shreveport closed on December 23, 2020 for $140 million, subject to a customary working capital adjustment, and the sale of MontBleu is expected to close in the first half of 2021.</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entered into an agreement to sell Harrah’s Louisiana Downs Casino, Racing &amp; Entertainment (“Harrah’s Louisiana Downs”) to Rubico Acquisition Corp. for $22 million, subject to a customary working capital adjustment, which proceeds will be split between the Company and VICI. The sale is subject to satisfaction of customary conditions, including receipt of required regulatory approvals and is expected to close in the first half of 2021.</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its review of the Merger, the Indiana Gaming Commission determined on July 16, 2020 that, as a condition to their approval of the Merger, the Company is required to enter into agreements to divest of three properties within the state of Indiana in order to avoid undue economic concentration. As discussed below, the Company has entered into agreements to sell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both"/>
        <w:ind w:right="20"/>
        <w:spacing w:after="0" w:line="277" w:lineRule="auto"/>
        <w:rPr>
          <w:sz w:val="20"/>
          <w:szCs w:val="20"/>
          <w:color w:val="auto"/>
        </w:rPr>
      </w:pPr>
      <w:r>
        <w:rPr>
          <w:rFonts w:ascii="Arial" w:cs="Arial" w:eastAsia="Arial" w:hAnsi="Arial"/>
          <w:sz w:val="18"/>
          <w:szCs w:val="18"/>
          <w:color w:val="auto"/>
        </w:rPr>
        <w:t>Tropicana Evansville (“Evansville”) and Caesars Southern Indiana. The Company plans to enter into an agreement to divest Horseshoe Hammond prior to December 31, 2021, as the deadline was extended by the Indiana Gaming Commission.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2020, the Company entered into an agreement to sell Evansville to GLPI and Twin River for $480 million in cash, subject to a customary working capital adjustment. The sale is subject to satisfaction of customary conditions, including receipt of required regulatory approvals and is expected to close in mid-2021.</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on October 27, 2020, in conjunction with the execution of the agreement to sell Evansville, the Company’s subsidiaries, Isle Casino Bettendorf and Isle Casino Hotel Waterloo (collectively, the “Exchanging Subsidiaries”), entered into an Exchange Agreement with GLPI pursuant to which the Exchanging Subsidiaries agreed to transfer the real estate relating to the Isle Casino Bettendorf and Isle Casino Hotel Waterloo to GLPI in exchange for the real estate relating to Evansville. The exchange transaction closed on December 18, 2020 and as a result of the lease being classified as a finance obligation the exchange was accounted for as a debt modification. As a result of the exchange, the real estate relating to Evansville was removed from the master lease with GLPI that we entered into in connection with the acquisition of Tropicana (the “GLPI Master Lease”) and the real estate relating to Isle Casino Bettendorf and Isle Casino Hotel Waterloo is now subject to the GLPI Master Lease.</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18, 2020, the sale of Bally's Atlantic City to Bally’s Corporation was completed for $25 million. The proceeds from the sale were split between the Company and VICI, and the Company received $5 million of net proceeds. In addition, on October 9, 2020, we reached an agreement to sell the Bally’s brand to Bally’s Corporation for $20 million, while retaining the right to use the brand within Bally’s Las Vegas into perpetuity. We agreed to reimburse Bally’s Corporation $30 million for capital expenditures required at Bally’s Atlantic City and recorded a liability within Accrued other liabilities and recorded a charge to Discontinued operations, net of income taxes. We expect that such commitment will be satisfied by adjusting obligations under certain sportsbook operating agreements between Bally’s Corporation and the Company following our expected acquisition of William Hill.</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2020, the Company entered into an agreement to sell the Belle of Baton Rouge (“Baton Rouge”) to CQ Holding Company, Inc. Pursuant to the terms of the GLPI Master Lease, Baton Rouge will be removed from the GLPI Master Lease, and the rent payments to GLPI will remain unchanged. GLPI will retain ownership of the real estate of Baton Rouge. The transaction is expected to close in mid-2021 and is subject to regulatory approvals and other customary closing conditions.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24, 2020, the Company entered into an agreement to sell Caesars Southern Indiana to the Eastern Band of Cherokee Indians (“EBCI”) for $250 million, subject to a customary working capital adjustment. Our annual payments to VICI under the Regional Lease (as defined below) will decline by $33 million upon closing of the transaction. Additionally, effective as of the closing of the transaction, the Company and EBCI will enter into a long-term agreement for the continued use of the Caesars brand and Caesars Rewards loyalty program at Caesars Southern Indiana. The sale is subject to satisfaction of customary conditions, including receipt of required regulatory approvals and is expected to close in the third quarter of 2021.</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Former Caesars’ properties, including Harrah’s Louisiana Downs, Caesars Southern Indiana, Horseshoe Hammond, Harrah’s Reno, Caesars UK group, including Emerald Resort &amp; Casino, and Bally’s Atlantic City, have met held for sale criteria as of the date of the closing of the Merger. The sales of these properties have or are expected to close within one year from the date of the closing of the Merger and the properties are classified as discontinued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Proposed Acquisition of William Hill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January 29, 2019, the Company has held 13 million ordinary shares of William Hill plc and a 20% ownership interest in William Hill US Holdco, Inc. (“William Hill US”), its United States subsidiary (together, “William Hill”). Additionally, the Company receives a profit share from the operations of sports betting and other gaming activities associated with the Company’s properties. See below for further detail.</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of approximately £2.9 billion, or $3.7 billion. The transaction is conditioned on, among other things, the approval of William Hill plc shareholders, which was received on November 19, 2020, and receipt of required regulatory approvals. The Company announced the early termination of the waiting period under the Hart-Scott-Rodino Antitrust Improvements Act of 1976 (“HSR Act”) relating to the proposed combination with William Hill plc. A final UK court hearing is scheduled for the last week of March 2021 and we expect to close the acquisition shortly thereafter. See Note 1 for further details.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COVID-19 Public Health Emergency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January 2020, an outbreak of a new strain of coronavirus (“COVID-19”) was identified and has since spread throughout much of the world, including the United States. All of our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On May 15, 2020, we began reopening our properties and have resumed certain operations at all of our properties as of December 31, 2020, with the exception of additional temporary closures of Caesars Windsor, Harrah’s Philadelphia, and our properties in Illinois. Subsequently, Harrah’s Philadelphia and our properties in Illinois have reopened. The COVID-19 public health emergency has had a material adverse effect on our business, financial condition and results of operations for the year ended December 31, 2020. We continued to pay our full-time employees through April 10, 2020, including tips and tokens. Effective April 11, 2020, we furloughed approximately 90% of our employees, implemented salary reductions and committed to continue to provide benefits to our employees during the duration of their respective furlough period. A portion of our workforce has returned to service as the properties have resumed with limited capacities and in compliance with operating restrictions imposed by governmental or tribal orders, directives, and guidelines. Due to the impact of the ongoing COVID-19 public health emergency on our results of operations, we obtained waivers on the financial covenants in Former Caesars credit facility agreement and the GLPI Master Lease. Furthermore, we obtained waivers in relation to annual capital expenditure requirements under the leases with VICI.</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consolidated business is composed of five complementary businesses that reinforce, cross-promote, and build upon each other: casino, food and beverage, hotel, casino management services, retail and entertainment and other business operations, including online sports betting and iGaming.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Casino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casino operations generate revenues from approximately 54,600 slot machines and 3,200 table games, including poker, as well as other games such as keno, and race and online sportsbooks, all of which comprised approximately 67% of our total net revenues in 2020. Slot revenues generate the majority of our casino revenues, particularly in our properties located outside of Las Vegas and Atlantic 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Food and Beverage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food and beverage operations generate revenues from our dining venues, bars, nightclubs, and lounges located throughout our casinos, as well as room service in our hotels, and represented approximately 10% of our total net revenues in 2020. Many of our properties include several dining options, ranging from upscale dining experiences to moderately-priced restaurants.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Hotel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Hotel operations generate revenues from hotel stays at our properties in our approximately 47,700 guest rooms and suites worldwide and represented approximately 13% of our total net revenues in 2020. Our properties operate at various price and service points, allowing us to host a variety of casino guests, who are visiting our properties for gaming and other casino entertainment options, and non-casino guests who are visiting our properties for other purposes, such as vacation travel or conventions.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earn revenue from fees paid for the management of five domestic casinos. Managed properties represent Caesars-branded properties where we provide staffing and management services under management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and Other Non-Gaming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provide a variety of retail and entertainment offerings at our properties. We operate various entertainment venues across the United States, including the Colosseum at Caesars Palace and Zappos Theater at Planet Hollywood. These award-winning entertainment venues are scheduled to host prominent headliners, such as Sting, Usher, Donny Osmond, Morrissey and the Scorpions.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LINQ Promenade is an open-air dining, entertainment, and retail development located between The LINQ Hotel &amp; Casino and Flamingo Las Vegas, which features The High Roller, a 550-foot observation wheel, and Fly LINQ, the first and only zipline on the Las Vegas Strip. The retail stores offer guests a wide range of options from high-end brands and accessories to souvenirs and decorative items.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CAESARS FORUM is a 550,000 square-foot conference center located at the center of the Las Vegas Strip. CAESARS FORUM features 300,000 square feet of flexible meeting space, the two largest pillarless ballrooms in the world, LEED silver-rating, and FORUM Plaza, the first 100,000 square-foot outdoor meeting and event space in Las Vegas. Though currently available for use, COVID-19 related restrictions have limited our ability to utilize the convention center and meeting space.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Online Sports Betting and iGaming</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2018, we entered into a 25-year agreement, which became effective in January 2019, with William Hill pursuant to which we (i) granted to William Hill the right to conduct betting activities, including operating sportsbooks,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territories. We received a 20% ownership interest in William Hill US as well as 13 million ordinary shares of William Hill plc in exchange for the right to the use of certain skins (described above). The fair value of the William Hill US and William Hill plc shares received has been deferred and is recognized as revenue on a straight-line basis over the 25-year term of the agreement. The amortization of deferred revenues associated with our equity interests is included in other revenue within our Corporate and Other segment. Additionally, we receive a profit share from the operations of betting and other online gaming activities operated under our licenses. See Note 5.</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mentioned above, we have entered into an agreement with William Hill plc on the terms of a recommended cash acquisition and the consummation of the acquisition is conditioned on receipt of required regulatory approvals. Currently William Hill operates 37 sportsbooks at our properties in eight states and, following the acquisition, Caesars and William Hill will be live with sports wagering across 15 U.S. states plus the district of Columbia.</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post-merger entity will operate regulated online real money gaming businesses in four states, Nevada, Pennsylvania, New Jersey, and Michigan, and continue to leverage the World Series of Poker (“WSOP”) brand, and license the WSOP trademarks for a variety of products and services. Players in New Jersey can play over 700 casino games including slots, table games, and video poker and we expect to similarly ramp the product offering in Pennsylvania and Michigan.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Extensive usage of digital platforms and growing bettor demand are driving the market for online sports betting platforms in the United States. We believe that the proposed acquisition of William Hill positions us to address this growing market.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2021, we also made a strategic investment into a daily fantasy sports platform, as discussed below, which complements our strong mobile sports and gaming network.</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Sports Brand Partnerships — </w:t>
      </w:r>
      <w:r>
        <w:rPr>
          <w:rFonts w:ascii="Arial" w:cs="Arial" w:eastAsia="Arial" w:hAnsi="Arial"/>
          <w:sz w:val="17"/>
          <w:szCs w:val="17"/>
          <w:color w:val="auto"/>
        </w:rPr>
        <w:t>We continue to solidify local and national partnerships that align our casinos, resorts and brands with sports fans. In 2019, we</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announced high-profile exclusive sports entertainment partnerships with the NFL, making Caesars the first-ever “Official Casino Sponsor” in the history of the league. This historic partnership combines the NFL’s legendary events with our properties to bring unique experiences to Caesars patrons. This includes exclusive rights to use NFL trademarks in the U.S. and U.K. to promote our properties, also enabling Caesars to host exclusive special events and experiences. For example, in April 2019, Caesars and the NFL hosted the NFL Alumni Las Vegas Draft Party with exclusive fan access to an autograph session with legendary NFL players, giveaways and an open bar at the LINQ Hotel &amp; Casino. Caesars will continue to host brand activations at prominent, high-profile NFL events, including the NFL Draft, NFL playoffs, and the Super Bowl during this multi-year partnership.</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on August 24, 2020, the Company and ESPN opened a new ESPN-branded studio at the LINQ Hotel &amp; Casino in Las Vegas where ESPN broadcasts sports betting-themed content and other programming. Under the agreement, Caesars has been designated as ESPN’s “Official Odds Provider,” ESPN produces and distributes certain content across ESPN’s media platforms that features Caesars branding, and Caesars purchases advertising across ESPN and its affiliated advertising platforms, among other terms. On September 10, 2020, the Company entered into a multi-year agreement with ESPN including link integrations from ESPN’s website and app to sportsbooks with our sports betting partner, William Hill.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Developments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proposed acquisition of William Hill represents a compelling opportunity to improve the offering and experience for the customer by providing access to Caesars’ brand and highly regarded loyalty program (which had approximately 60 million members at the end of 2020). The combined company will also be afforded the ability to access our extensive and pre-existing relationships with various sports teams and events including being the Official Casino Sponsor of the NFL. Further, the combined company’s market access across the U.S. would be increased and would benefit from a broad network of sportsbook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locations.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proposed acquisition, in January 2021, we made a strategic investment in the daily fantasy sports platform with operations across seven professional sports in more than 35 states. The investment complements our strong mobile sports and gaming network by adding an innovative fantasy sports platform, allowing more options to play both online and in-person, and is expected to be tied to Caesars Rewards to permit players to earn credits redeemable for rewards and experiences, either online or at one of our casino resorts nationwide.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COVID-19 — </w:t>
      </w:r>
      <w:r>
        <w:rPr>
          <w:rFonts w:ascii="Arial" w:cs="Arial" w:eastAsia="Arial" w:hAnsi="Arial"/>
          <w:sz w:val="16"/>
          <w:szCs w:val="16"/>
          <w:color w:val="auto"/>
        </w:rPr>
        <w:t>The extent of the ongoing and future effects of the COVID-19 public health emergency on our business and the casino resort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is uncertain, but we expect that it will continue to have a significant impact on our business, results of operations and financial condition. The extent and duration of the impact of COVID-19 will ultimately depend on future developments, including but not limited to, the duration and severity of the outbreak, business recovery trends, restrictions on operations imposed by governmental authorities, the potential for authorities reimposing stay at home orders or additional restrictions in response to continued developments with the COVID-19 public health emergency, the efficacy and availability of vaccines, our ability to adapt to evolving operating procedures, the impact on consumer demand and discretionary spending, the length of time it takes for demand to return and our ability to adjust our cost structures for the duration of the outbreak’s effect on our operations.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Online Betting and Gaming — </w:t>
      </w:r>
      <w:r>
        <w:rPr>
          <w:rFonts w:ascii="Arial" w:cs="Arial" w:eastAsia="Arial" w:hAnsi="Arial"/>
          <w:sz w:val="16"/>
          <w:szCs w:val="16"/>
          <w:color w:val="auto"/>
        </w:rPr>
        <w:t>Online betting and gaming is a rapidly developing sector of the e-commerce industry and we believe the digital segment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global betting and gaming industry will continue to grow in popularity and consumer confidence. The market for online betting platforms is being driven by increased use of digital processes and global, growing bettor demand. We anticipate that the United States market will begin to have a strong and steady uptake in active wagers as state-by-state legislation in the United States continues to evolve in response to recent legislation resulting in new opportunities in the United States sports betting market. The extent and future effects of online betting and gaming on our casino properties is uncertain but we expect that our online betting and gaming offering will be complementary to our brick-and-mortar casino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casino entertainment business is highly competitive. The industry is comprised of a diverse group of competitors that vary considerably in size and geographic diversity, quality of facilities and amenities available, marketing and growth strategies, and financial condition. In most regions, we compete directly with other casino facilities operating in the immediate and surrounding areas. In Las Vegas, our largest jurisdiction, competition is expected to increase in the coming years. For example, the Genting Group is developing a casino and hotel called Resorts World Las Vegas, which is expected to open in summer 2021. It is located on the northern end of the Las Vegas Strip. In response to changing trends, Las Vegas operators have been focused on expanding their non-gaming offerings, including upgrades to hotel rooms, new food and beverage offerings, and new entertainment offerings. There have also been proposals for other large scale non-gaming development projects in Las Vegas by various other developers. Our Las Vegas Strip hotels and casinos also compete, in part, with each other.</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recent years, many casino operators, including us, have been reinvesting in existing facilities, developing or rebranding new casinos or complementary facilities, and acquiring established facilities. These reinvestment and expansion efforts combined with aggressive marketing strategies by us and many of our competitors have resulted in increased competition in many regions. As companies have completed new expansion projects, supply has grown at a faster pace than demand in some areas. The expansion of properties and entertainment venues into new jurisdictions also presents competitive issues. Atlantic City, in particular, has experienced significant competitive pressure primarily due to the addition of gaming and room capacity associated with the expansion of gaming in Maryland, New York, and Pennsylvania, as well as the opening of new properties. This has resulted in several casino closings in recent years. Other examples of expected increases in competition in the markets include the recent legalization of casinos at licensed horse race tracks in Nebraska in November 2020 and the opening of Live! Casino and Hotel Philadelphia in February 2021.</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properties also compete with legalized gaming from casinos located on Native American tribal lands. While the competitive impact on operations in Las Vegas from the continued growth of Native American gaming establishments in California remains uncertain, the proliferation of gaming in California and other areas located in the same regions as our properties could have an adverse effect on our results of operations. In some instances, particularly in the case of Native American casinos, our competitors pay lower taxes or no taxes. In addition, certain states have legalized, and others may legalize, casino gaming in specific areas, including metropolitan areas from which we traditionally attract customers. These factors create additional challenges for us in competing for customers and accessing cash flow or financing to fund improvements for our casino and entertainment products that enable us to remain competitive.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We also compete with other non-gaming resorts and vacation areas, various other entertainment businesses, and other forms of gaming, such as state lotteries, on-track and off-track wagering, video lottery terminals, and card parlors. Our non-gaming offerings also compete with other retail facilities, amusement attractions, food and beverage offerings, and entertainment venues. Internet gaming and sports betting also create additional competition for our brick-and-mortar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Material to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Rewards Programs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Caesars Rewards, which we acquired in 2020 as a result of the Merger, enables us to compete more effectively and capture a larger share of our customers’ entertainment spending when they travel among regions versus that of a standalone property, which is core to our cross-market strategy. Legacy ERI loyalty club members are able to link their account to Caesars Rewards.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Members who have joined Caesars Rewards can earn Reward Credits for qualifying gaming activity and qualifying hotel, dining and retail spending at all Caesars-affiliated properties in the United States, Canada, the United Kingdom, and Dubai. Members can also earn additional Reward Credits when they use their Caesars Rewards VISA credit card or make a purchase through a Caesars Rewards partner. Members can redeem their earned Reward Credits with Caesars for hotel amenities, casino free play and other items such as merchandise, gift cards, and travel.</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Caesars Rewards is structured in tiers (designated as Gold, Platinum, Diamond or Seven Stars), each with increasing member benefits and privileges. Members are provided promotional offers based on their Tier Level, their engagement with Caesars-affiliated properties, aspects of their casino gaming play, and their preferred spending choices outside of gaming. Member information is also used in connection with various marketing promotions, including campaigns involving direct mail, email, our websites, mobile devices, social media, and interactive slot machines.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Intellectual Property and Resources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a variety of trade names, service marks, trademarks, patents and copyrights in our operations and believe that we have all the licenses necessary to conduct our continuing operations. The development of intellectual property is part of our overall business strategy. We regard our intellectual property to be an important element of our success. We have registered several service marks, trademarks, patents and copyrights with the United States Patent and Trademark Office or otherwise acquired the licenses to use those which are material to conduct our business. We also own patents relating to unique casino games. While our business as a whole is not substantially dependent on any one patent, trademark, copyright, we seek to establish and maintain our proprietary rights in our business operations and technology through the use of patents, trademarks, copyrights, and trade secret laws. We file applications for and obtain patents, trademarks, and copyrights in the United States and foreign countries where we believe filing for such protection is appropriate, including United States and foreign patent applications covering certain proprietary technology of Caesars Enterprise Services, LLC (“CES”). We also seek to maintain our trade secrets and confidential information by nondisclosure policies and through the use of appropriate confidentiality agreements. CES’ United States patents have varying expiration dates.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not applied for the registration of all of our trademarks, copyrights, proprietary technology, or other intellectual property rights, as the case may be, and may not be successful in obtaining all intellectual property rights for which we have applied. Despite our efforts to protect our proprietary rights, parties may infringe upon our intellectual property and use information that we regard as proprietary, and our rights may be invalidated or unenforceable. The laws of some foreign countries do not protect proprietary rights or intellectual property to as great of an extent as do the laws of the United States. In addition, others may independently develop substantially equivalent intellectual property.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have the right to use proprietary rights to a number of trademarks that we consider, along with the associated name recognition, to be valuable to our business, including Eldorado, Silver Legacy, Isle, Lady Luck, Tropicana, Circus Circus, Caesars, Flamingo, Harrah’s, Horseshoe, Paris, Caesars Rewards, WSOP, and licenses for the Planet Hollywood trademark used in connection with the Planet Hollywood in Las Vegas and for the Bally’s trademark used in connection with Bally’s Las Vegas in Las Vegas.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Industry 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See also Exhibit 99.1, “Gaming Overview,” to this Annual Report on Form 10-K,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business at our regional properties outside of Las Vegas is subject to seasonality, including seasonality based on the weather in the markets in which they operate and the travel habits of visitors. Business in our properties can also fluctuate due to specific holidays or other significant events, such as Easter (particularly when the holiday falls in a different quarter than the prior year), the WSOP tournament (with respect to our Las Vegas properties), city-wide conventions, a large sporting event or a concert, or visits by our premium players. We also believe that any seasonality, holiday, or other significant event may affect our various properties or regions differently.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Licenses and Governmental Regulations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gaming and racing industries are highly regulated, and we must maintain our licenses and pay gaming taxes to continue our operations. We are subject to extensive regulation under laws, rules and supervisory procedures primarily in the jurisdictions where our facilities are located or docked.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more detailed description of the regulations to which we are subject is contained in Exhibit 99.1 to this Annual Report on Form 10-K, which is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Revenue Service Regulations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Internal Revenue Service requires operators of casinos located in the United States to file information returns for U.S. citizens, including names and addresses of winners, for keno, bingo and slot machine winnings in excess of stipulated amounts. The Internal Revenue Service also requires operators to withhold taxes on some keno, bingo and slot machine winnings of nonresident aliens. We are unable to predict the extent to which these requirements, if extended, might impede or otherwise adversely affect operations of, and/or income from, other games.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Regulations adopted by the Financial Crimes Enforcement Network of the Treasury Department (“FINCEN”) and the Nevada Gaming Authorities require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Laws and Regulations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deal with significant amounts of cash in our operations and are subject to various reporting and anti-money laundering regulations.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 See Item 1A, “Risk Factors,” for additional discussion.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subject to various federal, state and local environmental, health and safety laws and regulations, including those relating to the use, storage, discharge, emission and disposal of hazardous materials and solid, animal and hazardous wastes and exposure to hazardous materials. Such laws and regulations can impose liability on potentially responsible parties, including the owners or operators of real property, to clean up, or contribute to the cost of cleaning up, sites at which hazardous wastes or materials were disposed of or released. In addition to investigation and remediation liabilities that could arise under such laws and regulations, we could also face personal injury, property damage, fines or other claims by third parties concerning environmental compliance or contamination or exposure to hazardous materials and could be subject to significant fines or penalties for any violations.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asbestos-containing materials or other hazardous conditions found in or on our properties. Although we have incurred, and expect that we will continue to incur, costs related to the investigation, identification and remediation of hazardous materials or conditions known or discovered to exist at our properties, those costs have not had, and are not expected to have, a material adverse effect on our financial condition, results of operations or cash flow.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Reporting and Record-Keeping Requirements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aim to provide a workplace that is engaging, empowering, inclusive and respectful for all employees (our “Team Members”), embracing a culture of openness, passion for service and recognition. Our ongoing investment in professional training and development, safety, health and wellbeing and Team Member recognition linked to guest satisfaction are all important drivers of our success in delivering outstanding financial results and creating value for our communities. We have approximately 54,000 employees at our domestic properties throughout our organization.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Labor Relations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21,000 of our employees are covered by collective bargaining agreements with certain of our subsidiaries. The majority of these employees in various job positions are covered by the following agreements: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Employee Group</w:t>
            </w:r>
          </w:p>
        </w:tc>
        <w:tc>
          <w:tcPr>
            <w:tcW w:w="120" w:type="dxa"/>
            <w:vAlign w:val="bottom"/>
            <w:vMerge w:val="restart"/>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Approximate Number of Active</w:t>
            </w:r>
          </w:p>
        </w:tc>
        <w:tc>
          <w:tcPr>
            <w:tcW w:w="2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Union</w:t>
            </w:r>
          </w:p>
        </w:tc>
        <w:tc>
          <w:tcPr>
            <w:tcW w:w="120" w:type="dxa"/>
            <w:vAlign w:val="bottom"/>
            <w:vMerge w:val="restart"/>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1"/>
              </w:rPr>
              <w:t>Date on which Collective Bargaining</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Employees Represented</w:t>
            </w:r>
          </w:p>
        </w:tc>
        <w:tc>
          <w:tcPr>
            <w:tcW w:w="1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Agreement Becomes Amendable</w:t>
            </w: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 Culinary Employees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12,500</w:t>
            </w:r>
          </w:p>
        </w:tc>
        <w:tc>
          <w:tcPr>
            <w:tcW w:w="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Culinary Workers Union, Local 226</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31, 2023</w:t>
            </w:r>
          </w:p>
        </w:tc>
        <w:tc>
          <w:tcPr>
            <w:tcW w:w="0" w:type="dxa"/>
            <w:vAlign w:val="bottom"/>
          </w:tcPr>
          <w:p>
            <w:pPr>
              <w:spacing w:after="0"/>
              <w:rPr>
                <w:sz w:val="1"/>
                <w:szCs w:val="1"/>
                <w:color w:val="auto"/>
              </w:rPr>
            </w:pPr>
          </w:p>
        </w:tc>
      </w:tr>
      <w:tr>
        <w:trPr>
          <w:trHeight w:val="166"/>
        </w:trPr>
        <w:tc>
          <w:tcPr>
            <w:tcW w:w="30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Atlantic City Food &amp; Beverage and Hotel</w:t>
            </w:r>
          </w:p>
        </w:tc>
        <w:tc>
          <w:tcPr>
            <w:tcW w:w="2380" w:type="dxa"/>
            <w:vAlign w:val="bottom"/>
            <w:vMerge w:val="restart"/>
          </w:tcPr>
          <w:p>
            <w:pPr>
              <w:jc w:val="center"/>
              <w:spacing w:after="0"/>
              <w:rPr>
                <w:sz w:val="20"/>
                <w:szCs w:val="20"/>
                <w:color w:val="auto"/>
              </w:rPr>
            </w:pPr>
            <w:r>
              <w:rPr>
                <w:rFonts w:ascii="Arial" w:cs="Arial" w:eastAsia="Arial" w:hAnsi="Arial"/>
                <w:sz w:val="16"/>
                <w:szCs w:val="16"/>
                <w:color w:val="auto"/>
                <w:w w:val="89"/>
              </w:rPr>
              <w:t>3,000</w:t>
            </w:r>
          </w:p>
        </w:tc>
        <w:tc>
          <w:tcPr>
            <w:tcW w:w="100" w:type="dxa"/>
            <w:vAlign w:val="bottom"/>
          </w:tcPr>
          <w:p>
            <w:pPr>
              <w:spacing w:after="0"/>
              <w:rPr>
                <w:sz w:val="14"/>
                <w:szCs w:val="14"/>
                <w:color w:val="auto"/>
              </w:rPr>
            </w:pP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6"/>
              </w:rPr>
              <w:t>UNITE HERE, Local 54</w:t>
            </w:r>
          </w:p>
        </w:tc>
        <w:tc>
          <w:tcPr>
            <w:tcW w:w="2920" w:type="dxa"/>
            <w:vAlign w:val="bottom"/>
            <w:vMerge w:val="restart"/>
          </w:tcPr>
          <w:p>
            <w:pPr>
              <w:jc w:val="center"/>
              <w:spacing w:after="0"/>
              <w:rPr>
                <w:sz w:val="20"/>
                <w:szCs w:val="20"/>
                <w:color w:val="auto"/>
              </w:rPr>
            </w:pPr>
            <w:r>
              <w:rPr>
                <w:rFonts w:ascii="Arial" w:cs="Arial" w:eastAsia="Arial" w:hAnsi="Arial"/>
                <w:sz w:val="16"/>
                <w:szCs w:val="16"/>
                <w:color w:val="auto"/>
                <w:w w:val="92"/>
              </w:rPr>
              <w:t>May 31, 2022</w:t>
            </w:r>
          </w:p>
        </w:tc>
        <w:tc>
          <w:tcPr>
            <w:tcW w:w="0" w:type="dxa"/>
            <w:vAlign w:val="bottom"/>
          </w:tcPr>
          <w:p>
            <w:pPr>
              <w:spacing w:after="0"/>
              <w:rPr>
                <w:sz w:val="1"/>
                <w:szCs w:val="1"/>
                <w:color w:val="auto"/>
              </w:rPr>
            </w:pPr>
          </w:p>
        </w:tc>
      </w:tr>
      <w:tr>
        <w:trPr>
          <w:trHeight w:val="125"/>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color w:val="auto"/>
              </w:rPr>
              <w:t>Employees</w:t>
            </w:r>
          </w:p>
        </w:tc>
        <w:tc>
          <w:tcPr>
            <w:tcW w:w="2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 Bartenders</w:t>
            </w: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Bartenders Union, Local 165</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31, 2023</w:t>
            </w:r>
          </w:p>
        </w:tc>
        <w:tc>
          <w:tcPr>
            <w:tcW w:w="0" w:type="dxa"/>
            <w:vAlign w:val="bottom"/>
          </w:tcPr>
          <w:p>
            <w:pPr>
              <w:spacing w:after="0"/>
              <w:rPr>
                <w:sz w:val="1"/>
                <w:szCs w:val="1"/>
                <w:color w:val="auto"/>
              </w:rPr>
            </w:pP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Las Vegas Dealers</w:t>
            </w:r>
          </w:p>
        </w:tc>
        <w:tc>
          <w:tcPr>
            <w:tcW w:w="2380" w:type="dxa"/>
            <w:vAlign w:val="bottom"/>
          </w:tcPr>
          <w:p>
            <w:pPr>
              <w:jc w:val="center"/>
              <w:spacing w:after="0"/>
              <w:rPr>
                <w:sz w:val="20"/>
                <w:szCs w:val="20"/>
                <w:color w:val="auto"/>
              </w:rPr>
            </w:pPr>
            <w:r>
              <w:rPr>
                <w:rFonts w:ascii="Arial" w:cs="Arial" w:eastAsia="Arial" w:hAnsi="Arial"/>
                <w:sz w:val="16"/>
                <w:szCs w:val="16"/>
                <w:color w:val="auto"/>
                <w:w w:val="89"/>
              </w:rPr>
              <w:t>2,100</w:t>
            </w:r>
          </w:p>
        </w:tc>
        <w:tc>
          <w:tcPr>
            <w:tcW w:w="10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United Auto Workers</w:t>
            </w:r>
          </w:p>
        </w:tc>
        <w:tc>
          <w:tcPr>
            <w:tcW w:w="2920" w:type="dxa"/>
            <w:vAlign w:val="bottom"/>
          </w:tcPr>
          <w:p>
            <w:pPr>
              <w:jc w:val="center"/>
              <w:spacing w:after="0"/>
              <w:rPr>
                <w:sz w:val="20"/>
                <w:szCs w:val="20"/>
                <w:color w:val="auto"/>
              </w:rPr>
            </w:pPr>
            <w:r>
              <w:rPr>
                <w:rFonts w:ascii="Arial" w:cs="Arial" w:eastAsia="Arial" w:hAnsi="Arial"/>
                <w:sz w:val="16"/>
                <w:szCs w:val="16"/>
                <w:color w:val="auto"/>
                <w:w w:val="89"/>
              </w:rPr>
              <w:t>September 30, 2023</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Team Member Engagement, Compensation, Benefits, Development, Safety and Wellbeing</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strive to inspire our Team Members through our mission, vision and values, and our Code of Commitment (described below). To evaluate our Team Member experience and our retention efforts, we monitor a number of employee measures, such as turnover rates and Team Member satisfaction. We are revising our Team Member experience surveys to help us further understand the drivers of engagement and areas where we can improve.</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and company-paid life insurance.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place utmost importance on creating a safe workplace for our Team Members, embedding procedures so that all our Team Members have the awareness, knowledge and tools to make safe working a habit.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maintained a wellness program to help our Team Members improve their health and wellbeing. This program has demonstrated improved health metrics for participating employees and their covered family members helping reduce the cost of healthcare for Team Members and for the Company. We are implementing enhancements and a relaunch in conjunction with the consolidation of our group health plans.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sponsored Caesars Cares, a 501(c)(3) charity that provides financial assistance to Team Members in need. Approximately 1,200 grants totaling approximately $1 million were provided to Team Members in 2020, including those impacted by hurricanes in several of the communities in which we operate and the COVID-19 public health emergency.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embrace diversity and aim to create an inclusive working environment that celebrates all our Team Members as individuals. Our diversity, equity and inclusion (“DEI”) framework identifies five pillars of activity: advocacy, Team Members, suppliers, communities and guests for a holistic approach to embedding DEI in everything we do. We publish our DEI data in our annual CSR report (described below). In 2020, 44% of leadership roles in the Company were held by women and 40% were held by people of color. In 2021, we set our new goals around gender and racial diversity. By 2025, 50% of leadership roles will be held by women. Furthermore, by 2025, 50% of leadership roles will be held by people of color.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Public Health Emergency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2020, the COVID-19 public health emergency brought unparalleled threats to the health and safety of our Team Members, guests, partners and communities and created unprecedented challenges. Our foremost priority was to protect the health and safety of all those connected to our business while operating in compliance with all applicable guidance, directives and protocols. We have made every effort to alleviate hardship by providing continued pay for up to six weeks for furloughed Team Members, maintaining payment of health insurance premiums for furloughed Team Members, maintaining our employee assistance programs and sponsoring Caesars Cares (see above). In our communities, we donated perishable goods amounting to thousands of meals following the closure of dining facilities at our properties. We also donated funds, and our Team Members volunteered, to help organizations across the United States to support community needs.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Caesars’s Board of Directors (the “Board”) and senior executives view Corporate Social Responsibility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social impact, and environmental sustainability). In 2020, the Board and our leadership continued to engage with our CEO-level external CSR Advisory Board comprised of experts representing DEI, business strategy, academia and investors, and used their guidance to confirm our CSR priorities. These priorities are reflected in our eleventh annual CSR report, published in 2020 in accordance with Global Reporting Initiative Standards.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CSR Committee of the Board</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the Merger in July 2020, Caesars’ Board formed a CSR committee that defines the duties and responsibilities of the Board in supporting delivery of our corporate purpose and CSR strategy as well as CSR-related aspects of corporate governance such as Board diversity.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Code of Commitment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Caesars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PEOPLE: Supporting the wellbeing of our Team Members, guests and local communities.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PLANET: Taking care of the world we all call home.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PLAY: Creating memorable experiences for our guests and leading responsible gaming practices in the industry.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PEOPLE PLANET PLAY Strategy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formally approved by the Science Based Targets Initiative (“SBTi”), aligning with global best practices on climate change action. We are reviewing our PEOPLE PLANET PLAY targets and expect to publish our targets after our first year as a combined entity.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Responsible Gaming</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more than thirty years, Caesars has maintained its Responsible Gaming (“RG”) program. We train tens of thousands of Team Members each year and a cadre of RG Ambassadors throughout our properties to identify guests in need of assistance and provide support. In recent years, Caesars has contributed to the National Center for Responsible Gaming, the National Council on Problem Gaming and other state programs to help advance responsible practices in the gaming industry.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Stewardship</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take a proactive approach to environmental sustainability through our CodeGreen strategy established by Former Caesars in 2007, consistently improving our performance across energy and greenhouse gas emissions efficiencies, reduction of water consumption and increasing waste diversion from landfills. Caesars recognizes the impact climate change can play both on our business and the guests we serve. Identifying, assessing, and managing the risks and opportunities therefore plays a vital role in our long-term strategic thinking on climate and water, and how we approach our CSR goals. Between 2011 and 2019, Former Caesars reduced its absolute Scope 1 and 2 greenhouse gas (“GHG”) emissions by 19.7%. In 2019, Former Caesars further committed to mitigating its impact on climate change by updating our previously approved science based targets to be in line with well below 2 degrees Celsius per SBTi: (i) reducing absolute Scope 1 and 2 GHG emissions by 35% by 2025, and 100% by 2050 from a 2011 base-year and (ii) having 60% of suppliers by spend institute science-based GHG reduction targets for their operations by 2023. In 2021, we expect to establish a new baseline in order to reaffirm our targets and goals as a combined company. Caesars is pursuing renewable energy sources and low-carbon options, including on site solar developments. Our long-term goals include evaluating energy supply for each of our properties in pursuit of our SBTs.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voluntarily participate in the CDP (formerly the Carbon Disclosure Project), an international nonprofit that drives sustainable economies. In 2020, Caesars made the A List for climate and water security and earned a spot on the Supplier Engagement Leaderboard from CDP. Just 5% of companies assessed by CDP make A List and only 7% make the Supplier Engagement Leaderboard.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We are committed to creating and investing in policies and procedures towards CSR efforts. In order to engage guests in our CSR efforts, we have branded our hotel rooms with our PEOPLE PLANET PLAY messaging, inviting guests to play a role by using water, air-conditioning and towels with the environment in mind. We promote sustainable sourcing of key food ingredients for our menus from sustainably managed farms and fisheries.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Community Investment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Caesars contributes extensively to our local communities to help them develop and prosper, through funding community projects, employee volunteering and cash donations from the Caesars Foundation, a private foundation funded from our operating income. In 2020, the Caesars Foundation contributed $1.3 million to communities across the United States with an emphasis on COVID-19 crisis relief at the local level through food and shelter insecurity, wellness and workforce development programs. The Foundation also continued to support significant national relationships that support diversity equity and inclusion.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community partners are long-term collaborations. For example, our many years of partnership with Meals on Wheels America (“MOWA”) to combat the issues of senior hunger and isolation cumulated in a national virtual summit during Seniors Appreciation Month in 2020 which addressed exponential needs on the issues, particularly given the impact of the COVID-19 public health emergency.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2018 through 2020, we hosted a national Economic Equity Tour through live webinars and on-line resources for thousands of women of color owned small businesses, and diverse non-profits. Expert-led webinars provided resources in the areas of financial empowerment, nonprofit organization development, and entrepreneurship.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file annual, quarterly and other current reports and information with the Securities and Exchange Commission (“SEC”). Because we submit filings to the SEC electronically, access to this information is available at the SEC’s website (www.sec.gov). This site contains reports and other information regarding issuers that file electronically with the SEC.</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make our Annual Reports on Form 10-K, our Quarterly Reports on Form 10-Q, our Current Reports on Form 8-K, and all amendments to these reports, available free of charge on our corporate website (</w:t>
      </w:r>
      <w:r>
        <w:rPr>
          <w:rFonts w:ascii="Arial" w:cs="Arial" w:eastAsia="Arial" w:hAnsi="Arial"/>
          <w:sz w:val="16"/>
          <w:szCs w:val="16"/>
          <w:i w:val="1"/>
          <w:iCs w:val="1"/>
          <w:color w:val="auto"/>
        </w:rPr>
        <w:t>www.caesars.com/corporate</w:t>
      </w:r>
      <w:r>
        <w:rPr>
          <w:rFonts w:ascii="Arial" w:cs="Arial" w:eastAsia="Arial" w:hAnsi="Arial"/>
          <w:sz w:val="16"/>
          <w:szCs w:val="16"/>
          <w:color w:val="auto"/>
        </w:rPr>
        <w:t>) as soon as reasonably practicable after such reports are filed with, or furnished to, the SEC. In addition, our Code of Ethics and Business Conduct and charters of the Audit Committee, Compensation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in this document to our website address do not incorporate by reference the information contained on the website into this Annual Report on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Operating Our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outbreak of COVID-19 has impacted our operations and caused an economic downturn, widespread unemployment and an adverse impact on consumer sentiment, and we expect that our business and results of operations will continue to be adversely affected by the impact of COVID-19 for the foreseeable future.</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13, 2020, in response to the coronavirus public health emergency the U.S. government declared a national state of emergency. In an effort to help control the spread of COVID-19, public health officials imposed or recommended various measures. All of our casino properties were temporarily closed for the period from mid-March 2020 due to orders issued by various government agencies and tribal bodies as part of certain precautionary measures intended to help slow the spread of the COVID-19 public health emergency. See “Item 1 – Business - COVID-19 Public Health Emergency” for further description of the precautionary measures imposed on us and the temporary closure of our casinos. While we began to open our properties beginning in mid-May 2020 and almost all of our properties are currently open, our operations, financial results and cash flows have been, and we expect them to continue to be, affected by social distancing measures, including reduced gaming operations arising from the reconfiguration of our gaming floor, limitations on the number of customers present in our facilities, restrictions on hotel, food and beverage outlets and limits on events that would otherwise attract customers to our properties.</w:t>
      </w:r>
    </w:p>
    <w:p>
      <w:pPr>
        <w:spacing w:after="0" w:line="1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COVID-19 has materially adversely affected the economy and financial markets of the United States and the world and has resulted in widespread unemployment in the United States. Consumer demand for casino hotel and racetrack properties such as ours is particularly sensitive to downturns in the economy, unemployment and the associated impact on discretionary spending on leisure activities which bring demand for casino hotel properties such as ours. Reduced customer demand could result in lower occupancy rates, reduced visitation and additional disruptions in our casino business.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of COVID-19 on our business remains uncertain. In particular, a delay in wide distribution of a vaccine, or a lack of public acceptance of a vaccine, could lead people to continue to self-isolate and not participate in the economy at pre-pandemic levels for a prolonged period of time. To the extent the U.S. economy and other major global economies experience a recession as a result of COVID-19, our business and operations could be materially adversely affected.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of changes in customer demand resulting from the economic downturn, widespread unemployment, reduced consumer confidence and consumer fears on our properties cannot reasonably be determined, but it could be significant and protracted. As a result of the foregoing, we expect that COVID-19 will continue to have a material impact on our business, financial condition, liquidity, results of operations (including revenues and profitability) for an extended period of time.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hotel and casino industry, especially in Las Vegas, our largest jurisdiction, and expect that such competition will continue.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gaming industry is highly competitive and competition is intense in most of the markets in which we operate. We compete with a variety of gaming operations, including land-based casinos, dockside casinos, riverboat casinos, casinos located on racing tracks and casinos located on Native American reservations and other forms of legalized gaming such as video gaming terminals (VGTs) at bars, restaurants and truck stops and online gambling and sports betting. We also compete, to a lesser extent, with other forms of legalized gaming and entertainment such as bingo, pull tab games, card parlors, sportsbooks,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In some instances, particularly in the case of Native American casinos, our competitors pay lower taxes or no taxes.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many casino operators, including us, have reinvested in existing jurisdictions to attract new customers or to gain market share, thereby increasing competition in those jurisdictions. As an example, in response to changing trends, Las Vegas operators have been focused on expanding their non-gaming offerings, including upgrades to hotel rooms, new food and beverage offerings, and new entertainment offerings.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While the long term impact of COVID-19 on these market dynamics remains uncertain, these competitive pressures have and are expected to continue to adversely affect our financial performance.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brick-and-mortar operations face increasing competition as a result of the expansion of legalized online gaming and betting in a number of the jurisdictions in which we operate. While we believe that we are well positioned to compete with new entrants to the betting and gaming market through online betting and gaming, including through our online betting and gaming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offerings, the competitive dynamic is evolving and we cannot assure you that our results of operations will not be adversely impacted by the expansion of legalized online gaming and betting.</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States that already have legalized casino gaming may further expand gaming, and other states that have not yet legalized gaming may do so in the future. We also compete with Native American gaming operations in California and other jurisdictions where Native American tribes operate large-scale gaming facilities or otherwise conduct gaming activities on Native American lands, which we expect will continue to expand. Further expansion of legalized casino gaming in jurisdictions in or near our markets or changes to gaming laws in states in which we have operations and in states near our operations could increase competition and could adversely affect our operations.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Increased competition may require us to make substantial capital expenditures to maintain and enhance the competitive positions of our properties to increase the attractiveness and add to the appeal of our facilities. Because a significant portion of our cash flow is required to pay obligations under our outstanding indebtedness and our lease obligations, there can be no assurance that we will have sufficient funds to undertake, or that we will be able to obtain sufficient financing to fund, such expenditures. If we are unable to make such expenditures, our competitive position could be negatively affected.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sensitive to reductions in discretionary consumer spending as a result of downturns in the economy and other factors outside our control.</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Consumer demand for casino hotel and racetrack properties such as ours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the impact of high energy and food costs, the increased cost of travel, decreased disposable consumer income and wealth, fears of war and future acts of terrorism, or widespread illnesses or epidemics, including COVID-19, can have a material adverse effect on leisure and business travel, discretionary spending and other areas of economic behavior that directly impact the gaming and entertainment industries in general and could further reduce customer demand for the amenities that we offer. In addition, increases in gasoline prices, including increases prompted by global political and economic instabilities, can adversely affect our operations because most of our patrons travel to our properties by car or on airlines that may pass on increases in fuel costs to passengers in the form of higher ticket prices.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 rates (hold rates) for our casino operations depend on a variety of factors, some of which are beyond our control.</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gaming industry is characterized by an element of chance. Accordingly, we employ theoretical win rates to estimate what a certain type of game, on average, will win or lose in the long run. In addition to the element of chance, win rates (hold percentages) are also affected by the spread of table limits and factors that are beyond our control, such as a player’s skill, experience, and behavior, the mix of games played, the financial resources of players, the volume of bets placed, and the amount of time players spend gambling. As a result of the variability in these factors, the actual win rates at our casinos may differ from the theoretical win rates we have estimated and could result in the winnings of our gaming customers exceeding those anticipated. The variability of win rates (hold rates) also have the potential to negatively impact our financial condition, results of operations, and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fraud, theft, and cheating.</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could result in losses in our operations. Negative publicity related to such acts or schemes could have an adverse effect on our reputation, potentially causing a material adverse effect on our business,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extend credit to a portion of our customers, and we may not be able to collect gaming receivables from our credit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our gaming activities on a credit and cash basis at many of our properties. Any such credit we extend is unsecured. Table games players typically are extended more credit than slot players, and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the opinion of management, an extension of credit. These large receivables could have a significant impact on our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 reached to satisfy a judgment, judgments on gaming debts from U.S. courts are not binding on the courts of many foreign nations.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November 2017, the Chinese government adopted new rules to control the cross-border transportation of cash and bearer negotiable instruments, specifically to reduce the international transfer of cash in connection with activities that are illegal in China, including gambling. The Chinese government has recently taken steps to prohibit the transfer of cash for the payment of gaming debts. These developments may have the effect of reducing the collectability of gaming debts of players from China. It is unclear whether these and other measures will continue to be in effect or become more restrictive in the future. These and any future foreign currency control policy developments that may be implemented by foreign jurisdictions could significantly impact our business, financial condition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Compromises of our information systems or unauthorized access to confidential information or our customers’ personal information could materially harm our reputation and business.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assess and monitor the security of collection, storage, and transmission of customer information on an ongoing basis. We utilize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have taken steps designed to safeguard our customers’ confidential personal information and important internal company data, our network and other systems and those of third parties, such as service providers, could be compromised, damaged, or disrupted by a third-party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Our third-party information system service providers face risks relating to cybersecurity similar to ours, and we do not directly control any of such parties’ information security operations. Advances in computer and software capabilities, encryption technology, new tools, and other developments may increase the risk of a security breach. As a result of any security breach, customer information or other proprietary data may be accessed or transmitted by or to a third party. Despite the measures we have implemented to safeguard our information, there can be no assurance that we are adequately protecting our information.</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loss, disclosure of, misappropriation of, or access to customers’ or other proprietary information or other breach of our information security could result in legal claims or legal proceedings, including regulatory investigations and actions, or liability for failure to comply with privacy and information security laws, including for failure to protect personal information or for misusing personal information, which could disrupt our operations, damage our reputation, and expose us to claims from customers, financial institutions, regulators, payment card associations, employees, and other persons, any of which could have an adverse effect on our financial condition, results of operations, and cash flow.</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cybersecurity insurance to respond to a breach which is designed to cover expenses around notification, credit monitoring, investigation, crisis management, public relations and legal advice. We also carry other insurance which may cover ancillary aspects of the event; however, damage and claims arising from a breach may not be completely covered or may exceed the amount of any insurance available.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our computer systems and software could expose us to great financial harm if any of our computer systems or software were subject to any material disruption or corruption.</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rely significantly on our computer systems and software to receive and properly process internal and external data, including data related to Caesars Rewards. A disruption or corruption of the proper functioning of our computer systems or software could cause us to lose data or record erroneous data, which could result in material losses. We cannot guarantee that our efforts to maintain competitive computer systems and software will be successful. Our computer systems and software may fail or be subject to bugs or other errors, resulting in service interruptions or other unintended consequences. If any of these risks materialize, they could have a material adverse effect on our business, financial condition, and results of operations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Acts of terrorism, war, natural disasters, severe weather, and political, economic and military conditions may impede our ability to operate or may negatively impact our financial results.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Terrorist attacks and other acts of war or hostility have created many economic and political uncertainties. For example, a substantial number of the customers of our properties in Las Vegas use air travel. As a result of terrorist acts that occurred on September 11, 2001, domestic and international travel was severely disrupted, which resulted in a decrease in customer visits to our properties in Las Vegas. Visitation to Las Vegas also declined for a period of time following the mass shooting tragedy on October 1, 2017. We cannot predict the extent to which disruptions in air or other forms of travel as a result of any further terrorist act, security alerts or war, uprisings, or hostilities in places such as Iraq, Afghanistan, and/or Syria or other countries throughout the world, and governmental responses to those acts or hostilities, will directly or indirectly impact our business and operating results. For example, our operations in Cairo, Egypt, were negatively affected from the uprising there in January 2011. As a consequence of the threat of terrorist attacks and other acts of war or hostility in the future, premiums for a variety of insurance products have increased, and some types of insurance are no longer available. If any such event were to affect our properties, we would likely be adversely affected.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natural and man-made disasters such as major fires, floods, severe snowstorms, hurricanes, earthquakes, and oil spills could also adversely impact our business and operating results. Such events could lead to the loss of use of one or more of our properties for an extended period of time and disrupt our ability to attract customers to certain of our gaming facilities. For example, our property in Lake Charles, Louisiana has been closed since August 27, 2020 due to damage resulting from Hurricane Laura. Inadequate insurance or lack of available insurance for these and other certain types or levels of risk could expose us to significant losses in the event that a catastrophe occurred for which we are underinsured. In most cases, we have insurance that covers portions of any losses from a natural disaster, but it is subject to deductibles and maximum payouts in many cases. Although we may be covered by insurance from a natural disaster, the timing of our receipt of insurance proceeds, if any, may be out of our control. In some cases, however, we may receive no proceeds from insurance. Further, if properties subject to our leases with VICI and GLPI are impacted by a casualty event, such leases require us to repair or restore the affected properties even if the cost of such repair or restoration exceeds the insurance proceeds that we receive. Under such circumstances, the rent under such leases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and the timing and receipt of insurance proceeds, if any, may be out of our control.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subject to seasonal fluctuations that could result in volatility and have an adverse effect on our operating results.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may be subject to some degree of seasonality. Weather conditions may deter or prevent customers from reaching the facilities or undertaking trips. Such conditions would particularly affect customers who are traveling longer distances to visit our properties. Seasonality may cause our properties working capital cash flow requirements to vary from quarter to quarter depending on the variability in the volume and timing of sales. Business in our properties can also fluctuate due to specific holidays or other significant events, such as Easter (particularly when the holiday falls in a different quarter than the prior year), the World Series of Poker tournament (with respect to our Las Vegas properties), city-wide conventions, a large sporting event or a concert, or visits by our premium players. We also believe that any seasonality, holiday, or other significant event may affect our various properties or regions differently. These factors, among other things, make forecasting more difficult and may adversely affect our properties’ ability to manage working capital and to predict financial results accurately, which could adversely affect our business, financial condition,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energy prices and a rise in energy prices could harm our operating results.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 large consumer of electricity and other energy and, therefore, higher energy prices may have an adverse effect on our results of operations. Accordingly, increases in energy costs may have a negative impact on our operating results. Additionally,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higher electricity and gasoline prices that affect our customers may result in reduced visitation to our resorts and a reduction in our revenues. We may be indirectly impacted by regulatory requirements aimed at reducing the impacts of climate change directed at up-stream utility providers, as we could experience potentially higher utility, fuel, and transportation costs.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deterioration in our reputation or the reputation of our brands could adversely impact our business, financial condition, or results of operations.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dependent on the quality and reputation of our Company and brands. Events beyond our control could affect the reputation of one or more of our properties or more generally impact our corporate or brand image. Other factors that could influence our reputation include the quality of the services we offer and our actions with regard to social issues such as diversity, human rights and support for local communities. Broad access to social media makes it easy for anyone to provide public feedback that can influence perceptions of us, our brands or our properties. It may be difficult to control or effectively manage negative publicity, regardless of whether it is accurate. Negative events and publicity could quickly and materially damage perceptions of us, our brands or our properties,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Human Capital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key personnel and we may face difficulties in attracting and retaining qualified employees for our casinos and race tracks.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success will depend upon, among other things, our ability to keep our senior executives and highly qualified employees. The operation of our business requires, qualified executives, managers and skilled employees with gaming and horse racing industry experience and qualifications who are able to obtain the requisite licenses and approval from the applicable gaming authorities.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operations. Moreover, there has from time to time been a shortage of skilled labor in our markets and the continued expansion of gaming near our facilities, including the expansion of Native American gaming and internet betting and gaming, may make it more difficult for us to attract qualified candidates.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and other labor problems could negatively impact our future profits.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we had collective bargaining agreements covering approximately 21,000 employees. A lengthy strike or other work stoppages at any of our casino properties could have an adverse effect on our business and results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have also experienced attempts by labor organizations to organize certain of our non-union employees. These efforts have achieved some success to date. We cannot provide any assurance that we will not experience additional and successful union activity in the future. The impact of this union activity is undetermined and could negatively impact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be able to retain our performers and other entertainment offerings on acceptable terms or at all.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our ability to offer live performances has been limited due to COVID-19, historically our performers have drawn customers to our properties and have been a significant source of our revenue. We cannot assure you that we will be able to retain our performers or other shows on acceptable terms or at all. In addition, the third parties that we depend on for our properties’ entertainment offerings may become incapable or unwilling to provide their services at the level agreed upon or at 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Capital Structure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substantial indebtedness and the fact that a significant portion of our cash flow is used to make interest payments and rent payments under our lease agreements could adversely affect our ability to raise additional capital to fund our operations, limit our ability to react to changes in the economy or our industry and prevent us from making debt service payments and rent payments.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As of December 31, 2020 we had $15.0 billion of outstanding face value indebtedness, in addition to leases with VICI and GLPI that require an annual rent payment of $1.1 billion in 2021 and that are subject to annual escalation. See Note 10 for a description of our obligations under our leases with VICI and GLPI and Note 12 for details regarding our debt outstanding and related restrictive covenants. As a result, a significant portion of our cash flow is applied to make interest payments with respect to our outstanding debt and payments under our leases. These financial obligations may have important negative consequences for us, including:</w:t>
      </w:r>
    </w:p>
    <w:p>
      <w:pPr>
        <w:spacing w:after="0" w:line="134"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use operating cash flow in other areas of our business because we must dedicate a significant portion of these funds to make payments on our debt and lease obligations;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the COVID-19 pandemic and general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competitors with debt and rent obligations that are less than ours;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increasing our vulnerability to, and limiting our ability to react to, changing market conditions, changes in our industry and economic downturns;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requirements, capital expenditures, debt service, acquisitions, general corporate or other obligations;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a number of restrictive covenants that, among other things, require us to make capital expenditures and limit our ability to pay dividends and distributions, make acquisitions and dispositions, borrow additional funds and make other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exposing us to interest rate risk due to the variable interest rate on borrowings under our credit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affecting our ability to renew gaming and other licenses necessary to conduct our business.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our subsidiaries may be able to incur substantial additional indebtedness, including additional secured indebtedness, and may enter into financing obligations similar to our leases with VICI and GLPI in the future. As of December 31, 2020, we had $2.2 billion of borrowing capacity under our revolving credit facilities, before consideration of $19 million in outstanding letters of credit under CEI Revolving Credit Facility and $65 million in outstanding letters of credit under CRC Revolving Credit Facility. Further,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LIBOR calculation method may change and LIBOR is expected to be phased out after 2021.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credit facilities calculate interest on the outstanding principal balance using LIBOR. On July 27, 2017, the United Kingdom Financial Conduct Authority (the “FCA”) announced it would phase out LIBOR as a benchmark by the end of 2021. In the meantime, actions by the FCA, other regulators or law enforcement agencies may result in changes to the method by which LIBOR is calculated. At this time, it is not possible to predict the effect on our financial condition, results of operations and cash flows of any such changes or any other reforms to LIBOR that may be enacted in the United Kingdom or elsewhere.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casinos are located on leased property. If we default on one or more leases, the applicable lessors could terminate the affected leases and we could lose possession of the affected casino.</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lease certain parcels of land on which a significant portion of our properties are located. As a ground lessee, we have the right to use the leased land; however, we do not hold fee ownership of the underlying land. Accordingly, we have no interest in the leased land or improvements thereon at the expiration of the ground leases. If our use of the land underlying our casino properties is disrupted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our leases with GLPI and VICI require annual rent payments of at least $1.1 billion in 2021, which is subject to escalation annually, and obligate us to make specified minimum capital expenditures with respect to the leased properties. If our business and properties fail to generate sufficient earnings, the payments required to service the rent obligations under our leases with GLPI and VICI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our leases with GLPI or VICI could result in a default under our debt agreements and could have a material adverse effect on our business, financial condition and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jc w:val="both"/>
        <w:spacing w:after="0" w:line="308" w:lineRule="auto"/>
        <w:rPr>
          <w:sz w:val="20"/>
          <w:szCs w:val="20"/>
          <w:color w:val="auto"/>
        </w:rPr>
      </w:pPr>
      <w:r>
        <w:rPr>
          <w:rFonts w:ascii="Arial" w:cs="Arial" w:eastAsia="Arial" w:hAnsi="Arial"/>
          <w:sz w:val="17"/>
          <w:szCs w:val="17"/>
          <w:color w:val="auto"/>
        </w:rPr>
        <w:t>of operations. Further, in the event that any lessor of our leased properties, including GLPI or VICI, encounters financial, operational, regulatory or other challenges, there can be no assurance that such lessor will be able to comply with its obligations under the applicable lease.</w:t>
      </w:r>
    </w:p>
    <w:p>
      <w:pPr>
        <w:spacing w:after="0" w:line="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our leases, including our leases with GLPI and VICI,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our leases with GLPI and VICI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governmental regulation, taxation policies and licensing, and gaming authorities have significant control over our operations, which could have an adverse effect on our business.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Licensing Requirements</w:t>
      </w:r>
      <w:r>
        <w:rPr>
          <w:rFonts w:ascii="Arial" w:cs="Arial" w:eastAsia="Arial" w:hAnsi="Arial"/>
          <w:sz w:val="18"/>
          <w:szCs w:val="18"/>
          <w:color w:val="auto"/>
        </w:rPr>
        <w:t>. The ownership and operation of casino gaming, online betting and gaming, riverboat and horse racing facilities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federal, state and local regulation, and regulatory authorities at local, state and national levels have broad powers with respect to the licensing of gaming businesses.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Furthermore, if additional laws or regulations are adopted or existing laws or regulations are amended or interpreted differently, these regulations could impose additional restrictions or costs that could have a significant adverse effect on us.</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Gaming authorities with jurisdiction over our operations may, in their discretion, require the holder of any securities issued by us to file applications, be investigated, and be found suitable to own our securities, and, if a holder is found unsuitable, we can be sanctioned, including the loss of approvals that are required for us to continue our gaming operations in the relevant jurisdictions, if such unsuitable person does not timely sell our securities. Our officers, directors and key employees are also subject to similar findings of unsuitability and the gaming authorities may require us to terminate the employment of any person who refuses to file appropriate applications. See “Item 1 - Gaming Licenses and Governmental Regulations” and Exhibit 99.1 for further description of the regulations to which we are subject. The results of findings of unsuitability could materially adversely affect our gaming operations. Applicable gaming laws and regulations restrict our ability to issue securities, incur debt and undertake other financing activities. Such transactions would generally require approval of applicable gaming authorities, and our financing counterparties, including lenders, might be subject to various licensing and related approval procedures in the various jurisdictions in which we operate gaming facilities.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Compliance with Other Laws</w:t>
      </w:r>
      <w:r>
        <w:rPr>
          <w:rFonts w:ascii="Arial" w:cs="Arial" w:eastAsia="Arial" w:hAnsi="Arial"/>
          <w:sz w:val="16"/>
          <w:szCs w:val="16"/>
          <w:color w:val="auto"/>
        </w:rPr>
        <w:t>. We are also subject to a variety of other federal, state and local laws, rules, regulations and ordinances that apply to non-gaming businesses, including restrictions enacted in response to COVD-19, zoning, environmental, construction and land-use laws and regulations governing smoking and the serving of alcoholic beverages. Our operations have been adversely impacted by regulations enacted to limit the spread of COVID-19. In addition, legislation in various forms to ban indoor tobacco smoking has been enacted or introduced in many states and local jurisdictions, including several of the jurisdictions in which we operate. If additional restrictions are enacted in our jurisdictions, we could experience a significant decrease in gaming revenue and operating results at our properties and, particularly if such restrictions are not applicable to all competitive facilities in that gaming market, our business could be materially adversely affected. The likelihood or outcome of similar legislation in other jurisdictions and referendums in the future cannot be predicted, though any additional limitations on our operations would be expected to negatively impact our financial performance.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Regulations adopted by FINCEN require us to report currency transactions in excess of $10,000 occurring within a gaming day.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Taxation and Fees</w:t>
      </w:r>
      <w:r>
        <w:rPr>
          <w:rFonts w:ascii="Arial" w:cs="Arial" w:eastAsia="Arial" w:hAnsi="Arial"/>
          <w:sz w:val="16"/>
          <w:szCs w:val="16"/>
          <w:color w:val="auto"/>
        </w:rPr>
        <w:t>. In addition, gaming companies are generally subject to significant revenue-based taxes and fees in addition to normal federal, state and</w:t>
      </w:r>
      <w:r>
        <w:rPr>
          <w:rFonts w:ascii="Arial" w:cs="Arial" w:eastAsia="Arial" w:hAnsi="Arial"/>
          <w:sz w:val="16"/>
          <w:szCs w:val="16"/>
          <w:i w:val="1"/>
          <w:iCs w:val="1"/>
          <w:color w:val="auto"/>
        </w:rPr>
        <w:t xml:space="preserve"> </w:t>
      </w:r>
      <w:r>
        <w:rPr>
          <w:rFonts w:ascii="Arial" w:cs="Arial" w:eastAsia="Arial" w:hAnsi="Arial"/>
          <w:sz w:val="16"/>
          <w:szCs w:val="16"/>
          <w:color w:val="auto"/>
        </w:rPr>
        <w:t>local income taxes, and such taxes and fees are subject to increase at any time. We pay substantial taxes and fees with respect to our operations. Tax laws are dynamic and subject to change as new laws are passed and new interpretations of the law are issued or applied, affecting the gaming industry.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expand our sportsbook business and engage in online sportsbook, casino gaming and poker. There can be no assurance that regulations authorizing such activities will be approved in the jurisdictions in which we operate or that the market for such gaming activities will develop as expected.</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2018, the U.S. Supreme Court overturned the federal ban on sports betting. As a result, several jurisdictions in which we operate legalized sports betting and additional jurisdictions may do so in the future. We have entered into an agreement with William Hill plc on the terms of a recommended cash acquisition pursuant to which we would acquire the entire issued and to be issued share capital (other than shares owned by us or held in treasury) of William Hill plc and we currently have relationships with (i) William Hill pursuant to which William Hill has agreed to operate as our sports betting operator, including with respect to mobile and online sports wagering, for a period of 25 years, (ii) the Stars Group Inc. (“TSG”) pursuant to which we agreed to provide TSG with options to obtain access to certain of our licenses for online sports wagering and real money online gaming and poker, for a period of 20 years, (iii) various sports brands including NFL and ESPN, for limited events, and (iv) other online betting and gaming operators. See “Item 7 – Management’s Discussion and Analysis of Financial Condition and Results of Operations – Partnerships and Acquisitions” for a further description of the arrangements with William Hill, TSG, and additional sports brands. Currently William Hill operates 37 sportsbooks at our properties in eight states and, following the acquisition, Caesars and William Hill will be live with sports wagering across 15 U.S. states plus the district of Columbia. However, our ability to further expand our sports betting and online operations is dependent on adoption of regulations permitting sports betting in the United. There can be no assurances when, or if, any such regulations will be adopted, or the terms of such regulations, in certain of the jurisdictions in which we operate.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sports betting and online gaming is rapidly evolving and highly competitive with an increasing number of competitors. The success of our sportsbook and online betting and gaming partners, our interest in William Hill and TSG and the results of operations from sports betting and online sportsbook and gaming conducted at our properties or under the authority of our licenses are dependent on a number of factors that are beyond our control, including:</w:t>
      </w:r>
    </w:p>
    <w:p>
      <w:pPr>
        <w:spacing w:after="0" w:line="1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adoption of regulations authorizing such betting and gaming activities and the restrictions contained in such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rates and license fees applicable to such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gain market share in a newly developing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that the market does not develop at all or does not develop as we anticipate;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with new entrants in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entertainment.</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can be no assurance as to the returns that we will receive from our current and anticipated sports betting and online gaming operations or our other relationships that we have granted rights to market access or future similar arrangements with other market service providers.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protect the intellectual property rights we own or may be prevented from using intellectual property necessary for our business.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development of intellectual property is part of our overall business strategy, and we regard our intellectual property to be an important element of our success. We rely primarily on trade secret, trademark, domain name, copyright, and contract law to protect the intellectual property and proprietary technology we own. We also actively pursue business opportunities in the United States and in international jurisdictions involving the licensing of our trademarks to third parties.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contractors, and business partners, such agreements may not provide adequate protection or may be breached, or our proprietary technology may otherwise become available to or be independently developed by our competitors. The laws of some foreign countries may not protect proprietary rights or intellectual property to as great an extent as do the laws of the United States. Despite our efforts to protect our proprietary rights, the unauthorized use or reproduction of our trademarks could diminish the value of our trademarks and our market acceptance, competitive advantages, or goodwill, which could adversely affect our business.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or may become involved in legal proceedings that, if adversely adjudicated or settled, could impact our business and financial condition.</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named in lawsuits or other legal proceedings relating to our respective businesses. Some of these matters involve commercial or contractual disputes, intellectual property claims, legal compliance, personal injury claims, and employment claims.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Risks Relating to the Completion of the Merger and the WH Acquisition and the Integration of the Company and Former Caesars and William Hill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consummate the WH Acquisition or may not consummate it on the terms described herein.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of approximately £2.9 billion, or $3.7 billion (the “WH Acquisition”). While we received the approval of William Hill plc shareholders and obtained the early termination of the waiting period under the Hart-Scott-Rodino Antitrust Improvements Act of 1976 (“HSR Act”), </w:t>
      </w:r>
      <w:r>
        <w:rPr>
          <w:rFonts w:ascii="Arial" w:cs="Arial" w:eastAsia="Arial" w:hAnsi="Arial"/>
          <w:sz w:val="17"/>
          <w:szCs w:val="17"/>
          <w:color w:val="212529"/>
        </w:rPr>
        <w:t>the</w:t>
      </w:r>
      <w:r>
        <w:rPr>
          <w:rFonts w:ascii="Arial" w:cs="Arial" w:eastAsia="Arial" w:hAnsi="Arial"/>
          <w:sz w:val="17"/>
          <w:szCs w:val="17"/>
          <w:color w:val="auto"/>
        </w:rPr>
        <w:t xml:space="preserve"> WH Acquisition remains subject to gaming regulatory approvals</w:t>
      </w:r>
      <w:r>
        <w:rPr>
          <w:rFonts w:ascii="Arial" w:cs="Arial" w:eastAsia="Arial" w:hAnsi="Arial"/>
          <w:sz w:val="17"/>
          <w:szCs w:val="17"/>
          <w:color w:val="212529"/>
        </w:rPr>
        <w:t>.</w:t>
      </w:r>
      <w:r>
        <w:rPr>
          <w:rFonts w:ascii="Arial" w:cs="Arial" w:eastAsia="Arial" w:hAnsi="Arial"/>
          <w:sz w:val="17"/>
          <w:szCs w:val="17"/>
          <w:color w:val="auto"/>
        </w:rPr>
        <w:t xml:space="preserve"> See “</w:t>
      </w:r>
      <w:r>
        <w:rPr>
          <w:rFonts w:ascii="Arial" w:cs="Arial" w:eastAsia="Arial" w:hAnsi="Arial"/>
          <w:sz w:val="17"/>
          <w:szCs w:val="17"/>
          <w:i w:val="1"/>
          <w:iCs w:val="1"/>
          <w:color w:val="auto"/>
        </w:rPr>
        <w:t>The WH Acquisition is subject to the receipt of governmental approvals that may impose</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that could have an adverse effect on us or, if not obtained, could prevent consummation of the WH Acquisition.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the possible timing</w:t>
      </w:r>
      <w:r>
        <w:rPr>
          <w:rFonts w:ascii="Arial" w:cs="Arial" w:eastAsia="Arial" w:hAnsi="Arial"/>
          <w:sz w:val="17"/>
          <w:szCs w:val="17"/>
          <w:i w:val="1"/>
          <w:iCs w:val="1"/>
          <w:color w:val="auto"/>
        </w:rPr>
        <w:t xml:space="preserve"> </w:t>
      </w:r>
      <w:r>
        <w:rPr>
          <w:rFonts w:ascii="Arial" w:cs="Arial" w:eastAsia="Arial" w:hAnsi="Arial"/>
          <w:sz w:val="17"/>
          <w:szCs w:val="17"/>
          <w:color w:val="auto"/>
        </w:rPr>
        <w:t>and likelihood of the completion of the WH Acquisition are uncertain, and, accordingly, there can be no assurance that such acquisition will be completed on the expected terms, anticipated schedule or at all.</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that we fail to consummate the WH Acquisition, we will have issued a significant number of additional shares of common stock and we will not have acquired the revenue generating assets that will be required to produce the earnings and cash flow we anticipated. As a result, failure to consummate the WH Acquisition would adversely affect our earnings per share and our ability to make distributions to stockholders. If the WH Acquisition is not consummated, we could be subject to a number of risks that may adversely affect our business and the market price of our common stock, including: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be required to pay costs relating to the WH Acquisition, such as legal, accounting, financial advisory and printing fees, whether or not the WH Acquisition is consummated;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WH Acquisition could otherwise have been devoted to pursuing other beneficial opportunities;</w:t>
      </w:r>
    </w:p>
    <w:p>
      <w:pPr>
        <w:ind w:left="660" w:right="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the WH Acquisition will be consummated;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not realize the benefits we expect to realize from consummating the WH Acquisition.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increased costs associated with the delay or abandonment of the WH Acquisition, in addition to the impact of COVID-19, may adversely impact our ability to remain in compliance with our covenants contained in the agreements governing our indebtedness and lease obligations, and our liquidity. Moreover, if the WH Acquisition is not consummated, our reputation in our industry and in the investment community could be damaged, and the market price of our common stock could decline.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WH Acquisition is subject to the receipt of governmental approvals that may impose conditions that could have an adverse effect on us or, if not obtained, could prevent consummation of the WH Acquisition.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Consummation of the WH Acquisition remains subject to gaming regulatory approvals</w:t>
      </w:r>
      <w:r>
        <w:rPr>
          <w:rFonts w:ascii="Arial" w:cs="Arial" w:eastAsia="Arial" w:hAnsi="Arial"/>
          <w:sz w:val="18"/>
          <w:szCs w:val="18"/>
          <w:color w:val="212529"/>
        </w:rPr>
        <w:t>,</w:t>
      </w:r>
      <w:r>
        <w:rPr>
          <w:rFonts w:ascii="Arial" w:cs="Arial" w:eastAsia="Arial" w:hAnsi="Arial"/>
          <w:sz w:val="18"/>
          <w:szCs w:val="18"/>
          <w:color w:val="auto"/>
        </w:rPr>
        <w:t xml:space="preserve"> including, without limitation, including, among others, the Gaming Board For the Bahamas, Indiana Gaming Commission, Nevada Gaming Control Board and Gaming Commission, and New Jersey Division of Gaming Enforcement. </w:t>
      </w:r>
      <w:r>
        <w:rPr>
          <w:rFonts w:ascii="Arial" w:cs="Arial" w:eastAsia="Arial" w:hAnsi="Arial"/>
          <w:sz w:val="18"/>
          <w:szCs w:val="18"/>
          <w:color w:val="212529"/>
        </w:rPr>
        <w:t>Additionally, the combination requires the English High Court's final approval and administrative and post-closing approvals from other US</w:t>
      </w:r>
      <w:r>
        <w:rPr>
          <w:rFonts w:ascii="Arial" w:cs="Arial" w:eastAsia="Arial" w:hAnsi="Arial"/>
          <w:sz w:val="18"/>
          <w:szCs w:val="18"/>
          <w:color w:val="auto"/>
        </w:rPr>
        <w:t xml:space="preserve"> </w:t>
      </w:r>
      <w:r>
        <w:rPr>
          <w:rFonts w:ascii="Arial" w:cs="Arial" w:eastAsia="Arial" w:hAnsi="Arial"/>
          <w:sz w:val="18"/>
          <w:szCs w:val="18"/>
          <w:color w:val="212529"/>
        </w:rPr>
        <w:t xml:space="preserve">and international agencies. </w:t>
      </w:r>
      <w:r>
        <w:rPr>
          <w:rFonts w:ascii="Arial" w:cs="Arial" w:eastAsia="Arial" w:hAnsi="Arial"/>
          <w:sz w:val="18"/>
          <w:szCs w:val="18"/>
          <w:color w:val="000000"/>
        </w:rPr>
        <w:t>There can be no assurance that these approvals will be obtained and that the other conditions to consummating the WH</w:t>
      </w:r>
      <w:r>
        <w:rPr>
          <w:rFonts w:ascii="Arial" w:cs="Arial" w:eastAsia="Arial" w:hAnsi="Arial"/>
          <w:sz w:val="18"/>
          <w:szCs w:val="18"/>
          <w:color w:val="212529"/>
        </w:rPr>
        <w:t xml:space="preserve"> </w:t>
      </w:r>
      <w:r>
        <w:rPr>
          <w:rFonts w:ascii="Arial" w:cs="Arial" w:eastAsia="Arial" w:hAnsi="Arial"/>
          <w:sz w:val="18"/>
          <w:szCs w:val="18"/>
          <w:color w:val="000000"/>
        </w:rPr>
        <w:t>Acquisition will be satisfied.</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governmental authorities from which the regulatory approvals are required may impose conditions on the consummation of the WH Acquisition or require changes to the terms of the WH Acquisition or agreements to be entered into in connection with the WH Acquisition. Such conditions or changes and the process of obtaining regulatory approvals could have the effect of delaying or impeding consummation of the WH Acquisition or of imposing additional costs or limitations on us following consummation of the WH Acquisition, any of which might have an adverse effect on our business, financial condition and results of operations.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integration of the Company and Former Caesars and William Hill may present significant challenges. We cannot be sure that we will be able to realize the anticipated benefits of the Merger and the WH Acquisition in the anticipated time frame or at all.</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realize the anticipated benefits of the Merger and the WH Acquisition will significantly depends on our ability to integrate the businesses of Former Caesars and William Hill into the Company in the anticipated time frame or at all. The combination of independent businesses is a complex, costly and time-consuming process. As a result, we are required to devote significant management attention and resources to integrating the business practices and operations of Former Caesars into those of the Company and we expect that our acquisition of William Hill will present similar challenges. The integration process may disrupt the businesses and, if implemented ineffectively or inefficiently, would preclude realization of the full benefits expected by us. The failure to successfully integrate Former Caesars and William Hill into the Company and to manage the challenges presented by the integration process successfully may result in an interruption of, or loss of momentum in, the business of the Company, which may have the effect of depressing the market price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consummate the acquisition of William Hill and the announced dispositions of certain of our properties, including required divestitures of certain properties located in Indiana and MontBleu;</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markets and the gaming industry generally, including expansion of internet betting and gaming, and the impact of those trends on our business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acquisition of Former Caesars, William Hill and future development, acquisition and partnership opportunities;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1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and duration of the impact of COVID-19 on the Company’s business, financial results and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and cost of, and our ability to adapt to, evolving operating procedures in response to continued developments with COVID-19;</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actions we have undertaken to reduce costs and improve efficiencies to mitigate losses as a result of the COVID-19 public health emergency, which could negatively impact guest loyalty and our ability to attract and retain our employees;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and resulting unemployment and changes in general economic conditions on discretionary consumer spending and customer demand;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our lease arrangements, could adversely affect our results of operations and our ability to service such obligations, react to changes in our markets and pursue development and acquisition opportunities;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and leased properties could significantly affect our ability to operate our business and our liquidity;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leases of our casino properties with VICI and GLPI;</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to the very competitive environments we operate in as we face increasing competition, including through legalization of online betting and gaming;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regarding the expansion of online betting and gaming, including the impact of such expansion on our brick-and-mortar business and our ability to compete in the online market;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governmental regulation on our business and the cost of complying or the impact of failing to comply with such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lease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collect gaming receivables from our credit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disruptions or corruption to our information technology and other systems and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seasonal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particular sensitivity to energy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in our reputation or the reputation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the intellectual property rights we own;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our sportsbook business and engage in online sportsbook, casino gaming and poker;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public health emergencies and other catastrophic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factors described in Part II, Item 1A. “Risk Factors” contained herein and our reports on Form 10-Q and Form 8-K filed with the SEC.</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acquisition of William Hill and the announced dispositions of certain of our properties, including required divestitures, create additional risks, uncertainties and other important factors, including but not limited to:</w:t>
      </w:r>
    </w:p>
    <w:p>
      <w:pPr>
        <w:spacing w:after="0" w:line="116"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the proposed transactions are not consummated when expected or at all because required regulatory or other approvals are not received or other conditions to the consummation thereof are not satisfied on a timely basis or at all;</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possibility that one or more of such transactions do not close on the terms described herein or that we are required to modify aspects of one or more of such transactions to obtain, or otherwise take action to satisfy conditions imposed in connection with, required regulatory approvals;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increased leverage as a result of the proposed acquisition of William Hill;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the anticipated benefits of the proposed transactions are not realized when expected or at all;</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incurrence of significant transaction and acquisition-related costs and the possibility that the transactions may be more expensive to complete than expected;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responses to the proposed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regulatory and economic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retain certain of our key employees and William Hills’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proposed transactions, or the failure to consummate the proposed transactions, on our stock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our ongoing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announcement or consummation of the proposed transactions on the Company’s relationships with third parties, which may make it more difficult to maintain business relationships;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following are our properties, including those that were sold during the year. All amounts are approximations.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Casino</w:t>
            </w:r>
          </w:p>
        </w:tc>
        <w:tc>
          <w:tcPr>
            <w:tcW w:w="14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Slot</w:t>
            </w:r>
          </w:p>
        </w:tc>
        <w:tc>
          <w:tcPr>
            <w:tcW w:w="14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Table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14"/>
                <w:szCs w:val="14"/>
                <w:color w:val="auto"/>
              </w:rPr>
            </w:pPr>
          </w:p>
        </w:tc>
        <w:tc>
          <w:tcPr>
            <w:tcW w:w="142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Rooms and</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Sq. Ft.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Machines</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Games</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Suites</w:t>
            </w:r>
          </w:p>
        </w:tc>
        <w:tc>
          <w:tcPr>
            <w:tcW w:w="0" w:type="dxa"/>
            <w:vAlign w:val="bottom"/>
          </w:tcPr>
          <w:p>
            <w:pPr>
              <w:spacing w:after="0"/>
              <w:rPr>
                <w:sz w:val="1"/>
                <w:szCs w:val="1"/>
                <w:color w:val="auto"/>
              </w:rPr>
            </w:pPr>
          </w:p>
        </w:tc>
      </w:tr>
      <w:tr>
        <w:trPr>
          <w:trHeight w:val="212"/>
        </w:trPr>
        <w:tc>
          <w:tcPr>
            <w:tcW w:w="37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Las Vegas Segment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40" w:type="dxa"/>
            <w:vAlign w:val="bottom"/>
            <w:gridSpan w:val="5"/>
          </w:tcPr>
          <w:p>
            <w:pPr>
              <w:ind w:left="140"/>
              <w:spacing w:after="0" w:line="175" w:lineRule="exact"/>
              <w:rPr>
                <w:sz w:val="20"/>
                <w:szCs w:val="20"/>
                <w:color w:val="auto"/>
              </w:rPr>
            </w:pPr>
            <w:r>
              <w:rPr>
                <w:rFonts w:ascii="Arial" w:cs="Arial" w:eastAsia="Arial" w:hAnsi="Arial"/>
                <w:sz w:val="16"/>
                <w:szCs w:val="16"/>
                <w:i w:val="1"/>
                <w:iCs w:val="1"/>
                <w:color w:val="auto"/>
              </w:rPr>
              <w:t>Owned-Domestic</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Bally’s Las Vegas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41,600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36,300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Planet Hollywood Resort &amp; Casino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64,500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360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i w:val="1"/>
                <w:iCs w:val="1"/>
                <w:color w:val="auto"/>
              </w:rPr>
              <w:t>Leased</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124,200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00" w:type="dxa"/>
            <w:vAlign w:val="bottom"/>
          </w:tcPr>
          <w:p>
            <w:pPr>
              <w:jc w:val="right"/>
              <w:spacing w:after="0"/>
              <w:rPr>
                <w:sz w:val="20"/>
                <w:szCs w:val="20"/>
                <w:color w:val="auto"/>
              </w:rPr>
            </w:pPr>
            <w:r>
              <w:rPr>
                <w:rFonts w:ascii="Arial" w:cs="Arial" w:eastAsia="Arial" w:hAnsi="Arial"/>
                <w:sz w:val="16"/>
                <w:szCs w:val="16"/>
                <w:color w:val="auto"/>
              </w:rPr>
              <w:t>117,300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gridSpan w:val="5"/>
          </w:tcPr>
          <w:p>
            <w:pPr>
              <w:ind w:left="20"/>
              <w:spacing w:after="0"/>
              <w:rPr>
                <w:sz w:val="20"/>
                <w:szCs w:val="20"/>
                <w:color w:val="auto"/>
              </w:rPr>
            </w:pPr>
            <w:r>
              <w:rPr>
                <w:rFonts w:ascii="Arial" w:cs="Arial" w:eastAsia="Arial" w:hAnsi="Arial"/>
                <w:sz w:val="16"/>
                <w:szCs w:val="16"/>
                <w:b w:val="1"/>
                <w:bCs w:val="1"/>
                <w:i w:val="1"/>
                <w:iCs w:val="1"/>
                <w:color w:val="auto"/>
              </w:rPr>
              <w:t>Regional Segment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i w:val="1"/>
                <w:iCs w:val="1"/>
                <w:color w:val="auto"/>
                <w:w w:val="91"/>
              </w:rPr>
              <w:t>Owned-Domestic</w:t>
            </w:r>
          </w:p>
        </w:tc>
        <w:tc>
          <w:tcPr>
            <w:tcW w:w="246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Circus Circus Reno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tcPr>
          <w:p>
            <w:pPr>
              <w:jc w:val="right"/>
              <w:spacing w:after="0"/>
              <w:rPr>
                <w:sz w:val="20"/>
                <w:szCs w:val="20"/>
                <w:color w:val="auto"/>
              </w:rPr>
            </w:pPr>
            <w:r>
              <w:rPr>
                <w:rFonts w:ascii="Arial" w:cs="Arial" w:eastAsia="Arial" w:hAnsi="Arial"/>
                <w:sz w:val="16"/>
                <w:szCs w:val="16"/>
                <w:color w:val="auto"/>
              </w:rPr>
              <w:t>63,100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Eldorado Gaming Scioto Downs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Columbus, OH</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Eldorado Resort Casino Reno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tcPr>
          <w:p>
            <w:pPr>
              <w:jc w:val="right"/>
              <w:spacing w:after="0"/>
              <w:rPr>
                <w:sz w:val="20"/>
                <w:szCs w:val="20"/>
                <w:color w:val="auto"/>
              </w:rPr>
            </w:pPr>
            <w:r>
              <w:rPr>
                <w:rFonts w:ascii="Arial" w:cs="Arial" w:eastAsia="Arial" w:hAnsi="Arial"/>
                <w:sz w:val="16"/>
                <w:szCs w:val="16"/>
                <w:color w:val="auto"/>
              </w:rPr>
              <w:t>71,500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Eldorado Resort Casino Shreveport </w:t>
            </w:r>
            <w:r>
              <w:rPr>
                <w:rFonts w:ascii="Arial" w:cs="Arial" w:eastAsia="Arial" w:hAnsi="Arial"/>
                <w:sz w:val="21"/>
                <w:szCs w:val="21"/>
                <w:i w:val="1"/>
                <w:iCs w:val="1"/>
                <w:color w:val="auto"/>
                <w:vertAlign w:val="superscript"/>
              </w:rPr>
              <w:t>(b)</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Shreveport, LA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Grand Victoria Casino</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rPr>
              <w:t>Elgin, IL</w:t>
            </w:r>
          </w:p>
        </w:tc>
        <w:tc>
          <w:tcPr>
            <w:tcW w:w="1300" w:type="dxa"/>
            <w:vAlign w:val="bottom"/>
          </w:tcPr>
          <w:p>
            <w:pPr>
              <w:jc w:val="right"/>
              <w:spacing w:after="0"/>
              <w:rPr>
                <w:sz w:val="20"/>
                <w:szCs w:val="20"/>
                <w:color w:val="auto"/>
              </w:rPr>
            </w:pPr>
            <w:r>
              <w:rPr>
                <w:rFonts w:ascii="Arial" w:cs="Arial" w:eastAsia="Arial" w:hAnsi="Arial"/>
                <w:sz w:val="16"/>
                <w:szCs w:val="16"/>
                <w:color w:val="auto"/>
              </w:rPr>
              <w:t>36,700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Anderson, IN</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Shelbyville, IN</w:t>
            </w:r>
          </w:p>
        </w:tc>
        <w:tc>
          <w:tcPr>
            <w:tcW w:w="1300" w:type="dxa"/>
            <w:vAlign w:val="bottom"/>
          </w:tcPr>
          <w:p>
            <w:pPr>
              <w:jc w:val="right"/>
              <w:spacing w:after="0"/>
              <w:rPr>
                <w:sz w:val="20"/>
                <w:szCs w:val="20"/>
                <w:color w:val="auto"/>
              </w:rPr>
            </w:pPr>
            <w:r>
              <w:rPr>
                <w:rFonts w:ascii="Arial" w:cs="Arial" w:eastAsia="Arial" w:hAnsi="Arial"/>
                <w:sz w:val="16"/>
                <w:szCs w:val="16"/>
                <w:color w:val="auto"/>
              </w:rPr>
              <w:t>80,100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Isle of Capri Casino Boonville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Boonville,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4"/>
          </w:tcPr>
          <w:p>
            <w:pPr>
              <w:ind w:left="80"/>
              <w:spacing w:after="0" w:line="216" w:lineRule="exact"/>
              <w:rPr>
                <w:sz w:val="20"/>
                <w:szCs w:val="20"/>
                <w:color w:val="auto"/>
              </w:rPr>
            </w:pPr>
            <w:r>
              <w:rPr>
                <w:rFonts w:ascii="Arial" w:cs="Arial" w:eastAsia="Arial" w:hAnsi="Arial"/>
                <w:sz w:val="16"/>
                <w:szCs w:val="16"/>
                <w:color w:val="auto"/>
              </w:rPr>
              <w:t xml:space="preserve">Isle of Capri Casino Hotel Lake Charles </w:t>
            </w:r>
            <w:r>
              <w:rPr>
                <w:rFonts w:ascii="Arial" w:cs="Arial" w:eastAsia="Arial" w:hAnsi="Arial"/>
                <w:sz w:val="21"/>
                <w:szCs w:val="21"/>
                <w:i w:val="1"/>
                <w:iCs w:val="1"/>
                <w:color w:val="auto"/>
                <w:vertAlign w:val="superscript"/>
              </w:rPr>
              <w:t>(c)</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Westlake, LA</w:t>
            </w:r>
          </w:p>
        </w:tc>
        <w:tc>
          <w:tcPr>
            <w:tcW w:w="1300" w:type="dxa"/>
            <w:vAlign w:val="bottom"/>
          </w:tcPr>
          <w:p>
            <w:pPr>
              <w:jc w:val="right"/>
              <w:spacing w:after="0"/>
              <w:rPr>
                <w:sz w:val="20"/>
                <w:szCs w:val="20"/>
                <w:color w:val="auto"/>
              </w:rPr>
            </w:pPr>
            <w:r>
              <w:rPr>
                <w:rFonts w:ascii="Arial" w:cs="Arial" w:eastAsia="Arial" w:hAnsi="Arial"/>
                <w:sz w:val="16"/>
                <w:szCs w:val="16"/>
                <w:color w:val="auto"/>
              </w:rPr>
              <w:t>26,200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Isle of Capri Casino Kansas City </w:t>
            </w:r>
            <w:r>
              <w:rPr>
                <w:rFonts w:ascii="Arial" w:cs="Arial" w:eastAsia="Arial" w:hAnsi="Arial"/>
                <w:sz w:val="21"/>
                <w:szCs w:val="21"/>
                <w:i w:val="1"/>
                <w:iCs w:val="1"/>
                <w:color w:val="auto"/>
                <w:vertAlign w:val="superscript"/>
              </w:rPr>
              <w:t>(d)</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Kansas City,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4"/>
          </w:tcPr>
          <w:p>
            <w:pPr>
              <w:ind w:left="80"/>
              <w:spacing w:after="0"/>
              <w:rPr>
                <w:sz w:val="20"/>
                <w:szCs w:val="20"/>
                <w:color w:val="auto"/>
              </w:rPr>
            </w:pPr>
            <w:r>
              <w:rPr>
                <w:rFonts w:ascii="Arial" w:cs="Arial" w:eastAsia="Arial" w:hAnsi="Arial"/>
                <w:sz w:val="16"/>
                <w:szCs w:val="16"/>
                <w:color w:val="auto"/>
              </w:rPr>
              <w:t>Isle of Capri Casino Lula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Lula, MS</w:t>
            </w:r>
          </w:p>
        </w:tc>
        <w:tc>
          <w:tcPr>
            <w:tcW w:w="1300" w:type="dxa"/>
            <w:vAlign w:val="bottom"/>
          </w:tcPr>
          <w:p>
            <w:pPr>
              <w:jc w:val="right"/>
              <w:spacing w:after="0"/>
              <w:rPr>
                <w:sz w:val="20"/>
                <w:szCs w:val="20"/>
                <w:color w:val="auto"/>
              </w:rPr>
            </w:pPr>
            <w:r>
              <w:rPr>
                <w:rFonts w:ascii="Arial" w:cs="Arial" w:eastAsia="Arial" w:hAnsi="Arial"/>
                <w:sz w:val="16"/>
                <w:szCs w:val="16"/>
                <w:color w:val="auto"/>
              </w:rPr>
              <w:t>57,000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Isle Casino Hotel - Black Hawk</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Black Hawk, CO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Casino</w:t>
            </w:r>
          </w:p>
        </w:tc>
        <w:tc>
          <w:tcPr>
            <w:tcW w:w="14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Slot</w:t>
            </w:r>
          </w:p>
        </w:tc>
        <w:tc>
          <w:tcPr>
            <w:tcW w:w="14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Table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2"/>
            <w:vMerge w:val="restart"/>
          </w:tcPr>
          <w:p>
            <w:pPr>
              <w:ind w:left="74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14"/>
                <w:szCs w:val="14"/>
                <w:color w:val="auto"/>
              </w:rPr>
            </w:pPr>
          </w:p>
        </w:tc>
        <w:tc>
          <w:tcPr>
            <w:tcW w:w="142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Rooms and</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Sq. Ft.</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Machines</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Games</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Suites</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600" w:type="dxa"/>
            <w:vAlign w:val="bottom"/>
            <w:gridSpan w:val="5"/>
          </w:tcPr>
          <w:p>
            <w:pPr>
              <w:ind w:left="80"/>
              <w:spacing w:after="0"/>
              <w:rPr>
                <w:sz w:val="20"/>
                <w:szCs w:val="20"/>
                <w:color w:val="auto"/>
              </w:rPr>
            </w:pPr>
            <w:r>
              <w:rPr>
                <w:rFonts w:ascii="Arial" w:cs="Arial" w:eastAsia="Arial" w:hAnsi="Arial"/>
                <w:sz w:val="16"/>
                <w:szCs w:val="16"/>
                <w:color w:val="auto"/>
              </w:rPr>
              <w:t>Isle Casino Racing Pompano Park</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Pompano Beach, FL</w:t>
            </w:r>
          </w:p>
        </w:tc>
        <w:tc>
          <w:tcPr>
            <w:tcW w:w="1300" w:type="dxa"/>
            <w:vAlign w:val="bottom"/>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Lady Luck Casino - Black Hawk</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Black Hawk, CO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Lady Luck Casino Vicksburg </w:t>
            </w:r>
            <w:r>
              <w:rPr>
                <w:rFonts w:ascii="Arial" w:cs="Arial" w:eastAsia="Arial" w:hAnsi="Arial"/>
                <w:sz w:val="21"/>
                <w:szCs w:val="21"/>
                <w:i w:val="1"/>
                <w:iCs w:val="1"/>
                <w:color w:val="auto"/>
                <w:vertAlign w:val="superscript"/>
              </w:rPr>
              <w:t>(d)</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Vicksburg, MS</w:t>
            </w:r>
          </w:p>
        </w:tc>
        <w:tc>
          <w:tcPr>
            <w:tcW w:w="130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Silver Legacy Resort Casino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(e)</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Evansville, IN</w:t>
            </w:r>
          </w:p>
        </w:tc>
        <w:tc>
          <w:tcPr>
            <w:tcW w:w="1300" w:type="dxa"/>
            <w:vAlign w:val="bottom"/>
          </w:tcPr>
          <w:p>
            <w:pPr>
              <w:jc w:val="right"/>
              <w:spacing w:after="0"/>
              <w:rPr>
                <w:sz w:val="20"/>
                <w:szCs w:val="20"/>
                <w:color w:val="auto"/>
              </w:rPr>
            </w:pPr>
            <w:r>
              <w:rPr>
                <w:rFonts w:ascii="Arial" w:cs="Arial" w:eastAsia="Arial" w:hAnsi="Arial"/>
                <w:sz w:val="16"/>
                <w:szCs w:val="16"/>
                <w:color w:val="auto"/>
              </w:rPr>
              <w:t>46,300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360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i w:val="1"/>
                <w:iCs w:val="1"/>
                <w:color w:val="auto"/>
              </w:rPr>
              <w:t>Leased</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Bally’s Atlantic City </w:t>
            </w:r>
            <w:r>
              <w:rPr>
                <w:rFonts w:ascii="Arial" w:cs="Arial" w:eastAsia="Arial" w:hAnsi="Arial"/>
                <w:sz w:val="21"/>
                <w:szCs w:val="21"/>
                <w:i w:val="1"/>
                <w:iCs w:val="1"/>
                <w:color w:val="auto"/>
                <w:vertAlign w:val="superscript"/>
              </w:rPr>
              <w:t>(a)(f)</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tcPr>
          <w:p>
            <w:pPr>
              <w:jc w:val="right"/>
              <w:spacing w:after="0"/>
              <w:rPr>
                <w:sz w:val="20"/>
                <w:szCs w:val="20"/>
                <w:color w:val="auto"/>
              </w:rPr>
            </w:pPr>
            <w:r>
              <w:rPr>
                <w:rFonts w:ascii="Arial" w:cs="Arial" w:eastAsia="Arial" w:hAnsi="Arial"/>
                <w:sz w:val="16"/>
                <w:szCs w:val="16"/>
                <w:color w:val="auto"/>
              </w:rPr>
              <w:t>127,200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(g)</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Baton Rouge, LA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tcPr>
          <w:p>
            <w:pPr>
              <w:jc w:val="right"/>
              <w:spacing w:after="0"/>
              <w:rPr>
                <w:sz w:val="20"/>
                <w:szCs w:val="20"/>
                <w:color w:val="auto"/>
              </w:rPr>
            </w:pPr>
            <w:r>
              <w:rPr>
                <w:rFonts w:ascii="Arial" w:cs="Arial" w:eastAsia="Arial" w:hAnsi="Arial"/>
                <w:sz w:val="16"/>
                <w:szCs w:val="16"/>
                <w:color w:val="auto"/>
              </w:rPr>
              <w:t>113,400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(a)(e)(h)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Elizabeth, IN</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Atlantic City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tcPr>
          <w:p>
            <w:pPr>
              <w:jc w:val="right"/>
              <w:spacing w:after="0"/>
              <w:rPr>
                <w:sz w:val="20"/>
                <w:szCs w:val="20"/>
                <w:color w:val="auto"/>
              </w:rPr>
            </w:pPr>
            <w:r>
              <w:rPr>
                <w:rFonts w:ascii="Arial" w:cs="Arial" w:eastAsia="Arial" w:hAnsi="Arial"/>
                <w:sz w:val="16"/>
                <w:szCs w:val="16"/>
                <w:color w:val="auto"/>
              </w:rPr>
              <w:t>156,300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Council Bluffs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Council Bluffs, IA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Gulf Coast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rPr>
              <w:t>Biloxi, MS</w:t>
            </w:r>
          </w:p>
        </w:tc>
        <w:tc>
          <w:tcPr>
            <w:tcW w:w="1300" w:type="dxa"/>
            <w:vAlign w:val="bottom"/>
          </w:tcPr>
          <w:p>
            <w:pPr>
              <w:jc w:val="right"/>
              <w:spacing w:after="0"/>
              <w:rPr>
                <w:sz w:val="20"/>
                <w:szCs w:val="20"/>
                <w:color w:val="auto"/>
              </w:rPr>
            </w:pPr>
            <w:r>
              <w:rPr>
                <w:rFonts w:ascii="Arial" w:cs="Arial" w:eastAsia="Arial" w:hAnsi="Arial"/>
                <w:sz w:val="16"/>
                <w:szCs w:val="16"/>
                <w:color w:val="auto"/>
              </w:rPr>
              <w:t>31,900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Joliet, IL</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Lake Tahoe, NV</w:t>
            </w:r>
          </w:p>
        </w:tc>
        <w:tc>
          <w:tcPr>
            <w:tcW w:w="1300" w:type="dxa"/>
            <w:vAlign w:val="bottom"/>
          </w:tcPr>
          <w:p>
            <w:pPr>
              <w:jc w:val="right"/>
              <w:spacing w:after="0"/>
              <w:rPr>
                <w:sz w:val="20"/>
                <w:szCs w:val="20"/>
                <w:color w:val="auto"/>
              </w:rPr>
            </w:pPr>
            <w:r>
              <w:rPr>
                <w:rFonts w:ascii="Arial" w:cs="Arial" w:eastAsia="Arial" w:hAnsi="Arial"/>
                <w:sz w:val="16"/>
                <w:szCs w:val="16"/>
                <w:color w:val="auto"/>
              </w:rPr>
              <w:t>53,600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(a)(h)(i)</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Bossier City, LA</w:t>
            </w:r>
          </w:p>
        </w:tc>
        <w:tc>
          <w:tcPr>
            <w:tcW w:w="1300" w:type="dxa"/>
            <w:vAlign w:val="bottom"/>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Metropolis, IL</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New Orleans, LA</w:t>
            </w:r>
          </w:p>
        </w:tc>
        <w:tc>
          <w:tcPr>
            <w:tcW w:w="1300" w:type="dxa"/>
            <w:vAlign w:val="bottom"/>
          </w:tcPr>
          <w:p>
            <w:pPr>
              <w:jc w:val="right"/>
              <w:spacing w:after="0"/>
              <w:rPr>
                <w:sz w:val="20"/>
                <w:szCs w:val="20"/>
                <w:color w:val="auto"/>
              </w:rPr>
            </w:pPr>
            <w:r>
              <w:rPr>
                <w:rFonts w:ascii="Arial" w:cs="Arial" w:eastAsia="Arial" w:hAnsi="Arial"/>
                <w:sz w:val="16"/>
                <w:szCs w:val="16"/>
                <w:color w:val="auto"/>
              </w:rPr>
              <w:t>101,100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N. Kansas City,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Chester, PA</w:t>
            </w:r>
          </w:p>
        </w:tc>
        <w:tc>
          <w:tcPr>
            <w:tcW w:w="1300" w:type="dxa"/>
            <w:vAlign w:val="bottom"/>
          </w:tcPr>
          <w:p>
            <w:pPr>
              <w:jc w:val="right"/>
              <w:spacing w:after="0"/>
              <w:rPr>
                <w:sz w:val="20"/>
                <w:szCs w:val="20"/>
                <w:color w:val="auto"/>
              </w:rPr>
            </w:pPr>
            <w:r>
              <w:rPr>
                <w:rFonts w:ascii="Arial" w:cs="Arial" w:eastAsia="Arial" w:hAnsi="Arial"/>
                <w:sz w:val="16"/>
                <w:szCs w:val="16"/>
                <w:color w:val="auto"/>
              </w:rPr>
              <w:t>110,500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Reno </w:t>
            </w:r>
            <w:r>
              <w:rPr>
                <w:rFonts w:ascii="Arial" w:cs="Arial" w:eastAsia="Arial" w:hAnsi="Arial"/>
                <w:sz w:val="21"/>
                <w:szCs w:val="21"/>
                <w:i w:val="1"/>
                <w:iCs w:val="1"/>
                <w:color w:val="auto"/>
                <w:vertAlign w:val="superscript"/>
              </w:rPr>
              <w:t>(a)(j)</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Reno,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Lake Tahoe, NV</w:t>
            </w:r>
          </w:p>
        </w:tc>
        <w:tc>
          <w:tcPr>
            <w:tcW w:w="1300" w:type="dxa"/>
            <w:vAlign w:val="bottom"/>
          </w:tcPr>
          <w:p>
            <w:pPr>
              <w:jc w:val="right"/>
              <w:spacing w:after="0"/>
              <w:rPr>
                <w:sz w:val="20"/>
                <w:szCs w:val="20"/>
                <w:color w:val="auto"/>
              </w:rPr>
            </w:pPr>
            <w:r>
              <w:rPr>
                <w:rFonts w:ascii="Arial" w:cs="Arial" w:eastAsia="Arial" w:hAnsi="Arial"/>
                <w:sz w:val="16"/>
                <w:szCs w:val="16"/>
                <w:color w:val="auto"/>
              </w:rPr>
              <w:t>46,700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Bossier City, LA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rPr>
              <w:t>Council Bluffs, IA</w:t>
            </w:r>
          </w:p>
        </w:tc>
        <w:tc>
          <w:tcPr>
            <w:tcW w:w="1300" w:type="dxa"/>
            <w:vAlign w:val="bottom"/>
          </w:tcPr>
          <w:p>
            <w:pPr>
              <w:jc w:val="right"/>
              <w:spacing w:after="0"/>
              <w:rPr>
                <w:sz w:val="20"/>
                <w:szCs w:val="20"/>
                <w:color w:val="auto"/>
              </w:rPr>
            </w:pPr>
            <w:r>
              <w:rPr>
                <w:rFonts w:ascii="Arial" w:cs="Arial" w:eastAsia="Arial" w:hAnsi="Arial"/>
                <w:sz w:val="16"/>
                <w:szCs w:val="16"/>
                <w:color w:val="auto"/>
              </w:rPr>
              <w:t>59,900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Horseshoe Hammond </w:t>
            </w:r>
            <w:r>
              <w:rPr>
                <w:rFonts w:ascii="Arial" w:cs="Arial" w:eastAsia="Arial" w:hAnsi="Arial"/>
                <w:sz w:val="21"/>
                <w:szCs w:val="21"/>
                <w:i w:val="1"/>
                <w:iCs w:val="1"/>
                <w:color w:val="auto"/>
                <w:vertAlign w:val="superscript"/>
              </w:rPr>
              <w:t>(a)(e)(h)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Hammond, IN</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Tunica, MS</w:t>
            </w:r>
          </w:p>
        </w:tc>
        <w:tc>
          <w:tcPr>
            <w:tcW w:w="1300" w:type="dxa"/>
            <w:vAlign w:val="bottom"/>
          </w:tcPr>
          <w:p>
            <w:pPr>
              <w:jc w:val="right"/>
              <w:spacing w:after="0"/>
              <w:rPr>
                <w:sz w:val="20"/>
                <w:szCs w:val="20"/>
                <w:color w:val="auto"/>
              </w:rPr>
            </w:pPr>
            <w:r>
              <w:rPr>
                <w:rFonts w:ascii="Arial" w:cs="Arial" w:eastAsia="Arial" w:hAnsi="Arial"/>
                <w:sz w:val="16"/>
                <w:szCs w:val="16"/>
                <w:color w:val="auto"/>
              </w:rPr>
              <w:t>63,000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Isle Casino Bettendorf </w:t>
            </w:r>
            <w:r>
              <w:rPr>
                <w:rFonts w:ascii="Arial" w:cs="Arial" w:eastAsia="Arial" w:hAnsi="Arial"/>
                <w:sz w:val="21"/>
                <w:szCs w:val="21"/>
                <w:i w:val="1"/>
                <w:iCs w:val="1"/>
                <w:color w:val="auto"/>
                <w:vertAlign w:val="superscript"/>
              </w:rPr>
              <w:t>(k)</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Bettendorf, IA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Isle Casino Waterloo </w:t>
            </w:r>
            <w:r>
              <w:rPr>
                <w:rFonts w:ascii="Arial" w:cs="Arial" w:eastAsia="Arial" w:hAnsi="Arial"/>
                <w:sz w:val="21"/>
                <w:szCs w:val="21"/>
                <w:i w:val="1"/>
                <w:iCs w:val="1"/>
                <w:color w:val="auto"/>
                <w:vertAlign w:val="superscript"/>
              </w:rPr>
              <w:t>(k)</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Waterloo, IA</w:t>
            </w:r>
          </w:p>
        </w:tc>
        <w:tc>
          <w:tcPr>
            <w:tcW w:w="1300" w:type="dxa"/>
            <w:vAlign w:val="bottom"/>
          </w:tcPr>
          <w:p>
            <w:pPr>
              <w:jc w:val="right"/>
              <w:spacing w:after="0"/>
              <w:rPr>
                <w:sz w:val="20"/>
                <w:szCs w:val="20"/>
                <w:color w:val="auto"/>
              </w:rPr>
            </w:pPr>
            <w:r>
              <w:rPr>
                <w:rFonts w:ascii="Arial" w:cs="Arial" w:eastAsia="Arial" w:hAnsi="Arial"/>
                <w:sz w:val="16"/>
                <w:szCs w:val="16"/>
                <w:color w:val="auto"/>
              </w:rPr>
              <w:t>37,400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Lumière Place Casino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St. Louis, MO</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(b)</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Stateline, NV</w:t>
            </w:r>
          </w:p>
        </w:tc>
        <w:tc>
          <w:tcPr>
            <w:tcW w:w="1300" w:type="dxa"/>
            <w:vAlign w:val="bottom"/>
          </w:tcPr>
          <w:p>
            <w:pPr>
              <w:jc w:val="right"/>
              <w:spacing w:after="0"/>
              <w:rPr>
                <w:sz w:val="20"/>
                <w:szCs w:val="20"/>
                <w:color w:val="auto"/>
              </w:rPr>
            </w:pPr>
            <w:r>
              <w:rPr>
                <w:rFonts w:ascii="Arial" w:cs="Arial" w:eastAsia="Arial" w:hAnsi="Arial"/>
                <w:sz w:val="16"/>
                <w:szCs w:val="16"/>
                <w:color w:val="auto"/>
              </w:rPr>
              <w:t>40,500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Trop Casino Greenville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Greenville, MS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600" w:type="dxa"/>
            <w:vAlign w:val="bottom"/>
            <w:gridSpan w:val="5"/>
          </w:tcPr>
          <w:p>
            <w:pPr>
              <w:ind w:left="80"/>
              <w:spacing w:after="0"/>
              <w:rPr>
                <w:sz w:val="20"/>
                <w:szCs w:val="20"/>
                <w:color w:val="auto"/>
              </w:rPr>
            </w:pPr>
            <w:r>
              <w:rPr>
                <w:rFonts w:ascii="Arial" w:cs="Arial" w:eastAsia="Arial" w:hAnsi="Arial"/>
                <w:sz w:val="16"/>
                <w:szCs w:val="16"/>
                <w:color w:val="auto"/>
              </w:rPr>
              <w:t>Tropicana Casino and Resort, Atlantic City</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Atlantic City, NJ</w:t>
            </w:r>
          </w:p>
        </w:tc>
        <w:tc>
          <w:tcPr>
            <w:tcW w:w="1300" w:type="dxa"/>
            <w:vAlign w:val="bottom"/>
          </w:tcPr>
          <w:p>
            <w:pPr>
              <w:jc w:val="right"/>
              <w:spacing w:after="0"/>
              <w:rPr>
                <w:sz w:val="20"/>
                <w:szCs w:val="20"/>
                <w:color w:val="auto"/>
              </w:rPr>
            </w:pPr>
            <w:r>
              <w:rPr>
                <w:rFonts w:ascii="Arial" w:cs="Arial" w:eastAsia="Arial" w:hAnsi="Arial"/>
                <w:sz w:val="16"/>
                <w:szCs w:val="16"/>
                <w:color w:val="auto"/>
              </w:rPr>
              <w:t>121,900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6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Tropicana Laughlin Hotel &amp; Casino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Managed, International, CIE Segment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40" w:type="dxa"/>
            <w:vAlign w:val="bottom"/>
            <w:gridSpan w:val="6"/>
          </w:tcPr>
          <w:p>
            <w:pPr>
              <w:ind w:left="140"/>
              <w:spacing w:after="0" w:line="175" w:lineRule="exact"/>
              <w:rPr>
                <w:sz w:val="20"/>
                <w:szCs w:val="20"/>
                <w:color w:val="auto"/>
              </w:rPr>
            </w:pPr>
            <w:r>
              <w:rPr>
                <w:rFonts w:ascii="Arial" w:cs="Arial" w:eastAsia="Arial" w:hAnsi="Arial"/>
                <w:sz w:val="16"/>
                <w:szCs w:val="16"/>
                <w:i w:val="1"/>
                <w:iCs w:val="1"/>
                <w:color w:val="auto"/>
              </w:rPr>
              <w:t>Owned-International</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Caesars Cairo </w:t>
            </w:r>
            <w:r>
              <w:rPr>
                <w:rFonts w:ascii="Arial" w:cs="Arial" w:eastAsia="Arial" w:hAnsi="Arial"/>
                <w:sz w:val="21"/>
                <w:szCs w:val="21"/>
                <w:i w:val="1"/>
                <w:iCs w:val="1"/>
                <w:color w:val="auto"/>
                <w:vertAlign w:val="superscript"/>
              </w:rPr>
              <w:t>(a)(h)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Egypt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Ramses Casino </w:t>
            </w:r>
            <w:r>
              <w:rPr>
                <w:rFonts w:ascii="Arial" w:cs="Arial" w:eastAsia="Arial" w:hAnsi="Arial"/>
                <w:sz w:val="21"/>
                <w:szCs w:val="21"/>
                <w:i w:val="1"/>
                <w:iCs w:val="1"/>
                <w:color w:val="auto"/>
                <w:vertAlign w:val="superscript"/>
              </w:rPr>
              <w:t>(a)(h)</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Egypt</w:t>
            </w:r>
          </w:p>
        </w:tc>
        <w:tc>
          <w:tcPr>
            <w:tcW w:w="1300" w:type="dxa"/>
            <w:vAlign w:val="bottom"/>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Emerald Casino Resort </w:t>
            </w:r>
            <w:r>
              <w:rPr>
                <w:rFonts w:ascii="Arial" w:cs="Arial" w:eastAsia="Arial" w:hAnsi="Arial"/>
                <w:sz w:val="21"/>
                <w:szCs w:val="21"/>
                <w:i w:val="1"/>
                <w:iCs w:val="1"/>
                <w:color w:val="auto"/>
                <w:vertAlign w:val="superscript"/>
              </w:rPr>
              <w:t>(a)(h)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South Africa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Alea Glasgow </w:t>
            </w:r>
            <w:r>
              <w:rPr>
                <w:rFonts w:ascii="Arial" w:cs="Arial" w:eastAsia="Arial" w:hAnsi="Arial"/>
                <w:sz w:val="21"/>
                <w:szCs w:val="21"/>
                <w:i w:val="1"/>
                <w:iCs w:val="1"/>
                <w:color w:val="auto"/>
                <w:vertAlign w:val="superscript"/>
              </w:rPr>
              <w:t>(a)(h)</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Alea Nottingham </w:t>
            </w:r>
            <w:r>
              <w:rPr>
                <w:rFonts w:ascii="Arial" w:cs="Arial" w:eastAsia="Arial" w:hAnsi="Arial"/>
                <w:sz w:val="21"/>
                <w:szCs w:val="21"/>
                <w:i w:val="1"/>
                <w:iCs w:val="1"/>
                <w:color w:val="auto"/>
                <w:vertAlign w:val="superscript"/>
              </w:rPr>
              <w:t>(a)(h)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The Empire Casino </w:t>
            </w:r>
            <w:r>
              <w:rPr>
                <w:rFonts w:ascii="Arial" w:cs="Arial" w:eastAsia="Arial" w:hAnsi="Arial"/>
                <w:sz w:val="21"/>
                <w:szCs w:val="21"/>
                <w:i w:val="1"/>
                <w:iCs w:val="1"/>
                <w:color w:val="auto"/>
                <w:vertAlign w:val="superscript"/>
              </w:rPr>
              <w:t>(a)(h)</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300" w:type="dxa"/>
            <w:vAlign w:val="bottom"/>
          </w:tcPr>
          <w:p>
            <w:pPr>
              <w:jc w:val="right"/>
              <w:spacing w:after="0"/>
              <w:rPr>
                <w:sz w:val="20"/>
                <w:szCs w:val="20"/>
                <w:color w:val="auto"/>
              </w:rPr>
            </w:pPr>
            <w:r>
              <w:rPr>
                <w:rFonts w:ascii="Arial" w:cs="Arial" w:eastAsia="Arial" w:hAnsi="Arial"/>
                <w:sz w:val="16"/>
                <w:szCs w:val="16"/>
                <w:color w:val="auto"/>
              </w:rPr>
              <w:t>20,400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Manchester235 </w:t>
            </w:r>
            <w:r>
              <w:rPr>
                <w:rFonts w:ascii="Arial" w:cs="Arial" w:eastAsia="Arial" w:hAnsi="Arial"/>
                <w:sz w:val="21"/>
                <w:szCs w:val="21"/>
                <w:i w:val="1"/>
                <w:iCs w:val="1"/>
                <w:color w:val="auto"/>
                <w:vertAlign w:val="superscript"/>
              </w:rPr>
              <w:t>(a)(h)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Playboy Club London </w:t>
            </w:r>
            <w:r>
              <w:rPr>
                <w:rFonts w:ascii="Arial" w:cs="Arial" w:eastAsia="Arial" w:hAnsi="Arial"/>
                <w:sz w:val="21"/>
                <w:szCs w:val="21"/>
                <w:i w:val="1"/>
                <w:iCs w:val="1"/>
                <w:color w:val="auto"/>
                <w:vertAlign w:val="superscript"/>
              </w:rPr>
              <w:t>(a)(h)</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3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Rendezvous Brighton </w:t>
            </w:r>
            <w:r>
              <w:rPr>
                <w:rFonts w:ascii="Arial" w:cs="Arial" w:eastAsia="Arial" w:hAnsi="Arial"/>
                <w:sz w:val="21"/>
                <w:szCs w:val="21"/>
                <w:i w:val="1"/>
                <w:iCs w:val="1"/>
                <w:color w:val="auto"/>
                <w:vertAlign w:val="superscript"/>
              </w:rPr>
              <w:t>(a)(h)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The Sportsman </w:t>
            </w:r>
            <w:r>
              <w:rPr>
                <w:rFonts w:ascii="Arial" w:cs="Arial" w:eastAsia="Arial" w:hAnsi="Arial"/>
                <w:sz w:val="21"/>
                <w:szCs w:val="21"/>
                <w:i w:val="1"/>
                <w:iCs w:val="1"/>
                <w:color w:val="auto"/>
                <w:vertAlign w:val="superscript"/>
              </w:rPr>
              <w:t>(a)(h)</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30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89"/>
              </w:rPr>
              <w:t>Managed</w:t>
            </w:r>
          </w:p>
        </w:tc>
        <w:tc>
          <w:tcPr>
            <w:tcW w:w="2980" w:type="dxa"/>
            <w:vAlign w:val="bottom"/>
            <w:tcBorders>
              <w:bottom w:val="single" w:sz="8" w:color="CCEEFF"/>
            </w:tcBorders>
            <w:gridSpan w:val="3"/>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Phoenix, AZ</w:t>
            </w:r>
          </w:p>
        </w:tc>
        <w:tc>
          <w:tcPr>
            <w:tcW w:w="1300" w:type="dxa"/>
            <w:vAlign w:val="bottom"/>
          </w:tcPr>
          <w:p>
            <w:pPr>
              <w:jc w:val="right"/>
              <w:spacing w:after="0"/>
              <w:rPr>
                <w:sz w:val="20"/>
                <w:szCs w:val="20"/>
                <w:color w:val="auto"/>
              </w:rPr>
            </w:pPr>
            <w:r>
              <w:rPr>
                <w:rFonts w:ascii="Arial" w:cs="Arial" w:eastAsia="Arial" w:hAnsi="Arial"/>
                <w:sz w:val="16"/>
                <w:szCs w:val="16"/>
                <w:color w:val="auto"/>
              </w:rPr>
              <w:t>65,200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Cherokee, NC</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600" w:type="dxa"/>
            <w:vAlign w:val="bottom"/>
            <w:gridSpan w:val="5"/>
          </w:tcPr>
          <w:p>
            <w:pPr>
              <w:ind w:left="80"/>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Murphy, NC</w:t>
            </w:r>
          </w:p>
        </w:tc>
        <w:tc>
          <w:tcPr>
            <w:tcW w:w="1300" w:type="dxa"/>
            <w:vAlign w:val="bottom"/>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Harrah’s Resort Southern California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Funner, CA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022" w:right="3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Casino</w:t>
            </w:r>
          </w:p>
        </w:tc>
        <w:tc>
          <w:tcPr>
            <w:tcW w:w="14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Slot</w:t>
            </w:r>
          </w:p>
        </w:tc>
        <w:tc>
          <w:tcPr>
            <w:tcW w:w="14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Table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0" w:type="dxa"/>
            <w:vAlign w:val="bottom"/>
          </w:tcPr>
          <w:p>
            <w:pPr>
              <w:spacing w:after="0"/>
              <w:rPr>
                <w:sz w:val="1"/>
                <w:szCs w:val="1"/>
                <w:color w:val="auto"/>
              </w:rPr>
            </w:pPr>
          </w:p>
        </w:tc>
      </w:tr>
      <w:tr>
        <w:trPr>
          <w:trHeight w:val="162"/>
        </w:trPr>
        <w:tc>
          <w:tcPr>
            <w:tcW w:w="3620" w:type="dxa"/>
            <w:vAlign w:val="bottom"/>
            <w:vMerge w:val="restart"/>
          </w:tcPr>
          <w:p>
            <w:pPr>
              <w:ind w:left="150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vMerge w:val="restart"/>
          </w:tcPr>
          <w:p>
            <w:pPr>
              <w:spacing w:after="0"/>
              <w:rPr>
                <w:sz w:val="14"/>
                <w:szCs w:val="14"/>
                <w:color w:val="auto"/>
              </w:rPr>
            </w:pPr>
          </w:p>
        </w:tc>
        <w:tc>
          <w:tcPr>
            <w:tcW w:w="142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rPr>
              <w:t>Space–</w:t>
            </w:r>
          </w:p>
        </w:tc>
        <w:tc>
          <w:tcPr>
            <w:tcW w:w="142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Rooms and</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Sq. Ft.</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Machines</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Games</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Suites</w:t>
            </w:r>
          </w:p>
        </w:tc>
        <w:tc>
          <w:tcPr>
            <w:tcW w:w="0" w:type="dxa"/>
            <w:vAlign w:val="bottom"/>
          </w:tcPr>
          <w:p>
            <w:pPr>
              <w:spacing w:after="0"/>
              <w:rPr>
                <w:sz w:val="1"/>
                <w:szCs w:val="1"/>
                <w:color w:val="auto"/>
              </w:rPr>
            </w:pPr>
          </w:p>
        </w:tc>
      </w:tr>
      <w:tr>
        <w:trPr>
          <w:trHeight w:val="212"/>
        </w:trPr>
        <w:tc>
          <w:tcPr>
            <w:tcW w:w="3740" w:type="dxa"/>
            <w:vAlign w:val="bottom"/>
            <w:gridSpan w:val="2"/>
          </w:tcPr>
          <w:p>
            <w:pPr>
              <w:ind w:left="220"/>
              <w:spacing w:after="0" w:line="213"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(a)(l)</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Baltimore, MD</w:t>
            </w:r>
          </w:p>
        </w:tc>
        <w:tc>
          <w:tcPr>
            <w:tcW w:w="1300" w:type="dxa"/>
            <w:vAlign w:val="bottom"/>
          </w:tcPr>
          <w:p>
            <w:pPr>
              <w:jc w:val="right"/>
              <w:spacing w:after="0"/>
              <w:rPr>
                <w:sz w:val="20"/>
                <w:szCs w:val="20"/>
                <w:color w:val="auto"/>
              </w:rPr>
            </w:pPr>
            <w:r>
              <w:rPr>
                <w:rFonts w:ascii="Arial" w:cs="Arial" w:eastAsia="Arial" w:hAnsi="Arial"/>
                <w:sz w:val="16"/>
                <w:szCs w:val="16"/>
                <w:color w:val="auto"/>
              </w:rPr>
              <w:t>133,300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Canada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Kings &amp; Queens Casino </w:t>
            </w:r>
            <w:r>
              <w:rPr>
                <w:rFonts w:ascii="Arial" w:cs="Arial" w:eastAsia="Arial" w:hAnsi="Arial"/>
                <w:sz w:val="21"/>
                <w:szCs w:val="21"/>
                <w:i w:val="1"/>
                <w:iCs w:val="1"/>
                <w:color w:val="auto"/>
                <w:vertAlign w:val="superscript"/>
              </w:rPr>
              <w:t>(a)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Egypt</w:t>
            </w:r>
          </w:p>
        </w:tc>
        <w:tc>
          <w:tcPr>
            <w:tcW w:w="1300" w:type="dxa"/>
            <w:vAlign w:val="bottom"/>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United Arab Emirates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29" w:lineRule="auto"/>
        <w:tabs>
          <w:tab w:leader="none" w:pos="320"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were acquired from the Merger with Former Caesars on July 20, 2020.</w:t>
      </w:r>
    </w:p>
    <w:p>
      <w:pPr>
        <w:ind w:left="340" w:right="20" w:hanging="332"/>
        <w:spacing w:after="0" w:line="204" w:lineRule="auto"/>
        <w:tabs>
          <w:tab w:leader="none" w:pos="327"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April 2020, the Company entered into an agreement to sell Eldorado Shreveport and MontBleu. The sale of Eldorado Shreveport closed on December 23, 2020, and the sale of MontBleu is expected to close in the first half of 2021. As of December 31, 2020, MontBleu's assets and liabilities were classified as held for sale.</w:t>
      </w:r>
    </w:p>
    <w:p>
      <w:pPr>
        <w:spacing w:after="0" w:line="1" w:lineRule="exact"/>
        <w:rPr>
          <w:rFonts w:ascii="Arial" w:cs="Arial" w:eastAsia="Arial" w:hAnsi="Arial"/>
          <w:sz w:val="19"/>
          <w:szCs w:val="19"/>
          <w:i w:val="1"/>
          <w:iCs w:val="1"/>
          <w:color w:val="auto"/>
          <w:vertAlign w:val="superscript"/>
        </w:rPr>
      </w:pPr>
    </w:p>
    <w:p>
      <w:pPr>
        <w:ind w:left="340" w:right="20" w:hanging="332"/>
        <w:spacing w:after="0" w:line="204" w:lineRule="auto"/>
        <w:tabs>
          <w:tab w:leader="none" w:pos="336"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Hurricane Laura caused severe damage to Isle of Capri Casino Hotel Lake Charles (“Lake Charles”). Lake Charles has been temporarily closed since the end of August 2020 due to damages. The property remains closed until construction of a new land-based casino is complete.</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Kansas City and Vicksburg were sold on July 1, 2020.</w:t>
      </w:r>
    </w:p>
    <w:p>
      <w:pPr>
        <w:jc w:val="both"/>
        <w:ind w:left="340" w:hanging="332"/>
        <w:spacing w:after="0" w:line="221" w:lineRule="auto"/>
        <w:tabs>
          <w:tab w:leader="none" w:pos="336"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October 27, 2020, the Company entered into an agreement to sell Tropicana Evansville, which is expected to close mid-2021 and on December 24, 2020, the Company entered into an agreement to sell Caesars Southern Indiana, which is expected to close in the third quarter of 2021. In addition, the Company plans to enter into an agreement to divest of Horseshoe Hammond prior to December 31, 2021, as the deadline was extended by the Indiana Gaming Commission. As of December 31, 2020, Evansville’s assets and liabilities were classified as held for sale.</w:t>
      </w:r>
    </w:p>
    <w:p>
      <w:pPr>
        <w:spacing w:after="0" w:line="2"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Bally's Atlantic City was sold on November 18, 2020.</w:t>
      </w:r>
    </w:p>
    <w:p>
      <w:pPr>
        <w:ind w:left="340" w:hanging="332"/>
        <w:spacing w:after="0" w:line="204" w:lineRule="auto"/>
        <w:tabs>
          <w:tab w:leader="none" w:pos="327"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December 1, 2020, the Company entered into an agreement to sell Belle of Baton Rouge to Casino Queen Holdings, which is expected to close in mid-2021. As of December 31, 2020, Belle of Baton Rouge's assets and liabilities were classified as held for sale.</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As a result of the Merger, these properties met the requirements for presentation as discontinued operations and held for sale as of December 31, 2020.</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is expected to close in the first half of 2021.</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Harrah’s Reno was sold on September 30, 2020.</w:t>
      </w:r>
    </w:p>
    <w:p>
      <w:pPr>
        <w:ind w:left="340" w:hanging="332"/>
        <w:spacing w:after="0" w:line="204" w:lineRule="auto"/>
        <w:tabs>
          <w:tab w:leader="none" w:pos="336"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October 27, 2020, the Company entered into agreement with GLPI to exchange real estate relating to Isle Casino Bettendorf and Isle Casino Hotel Waterloo for the real estate relating to Evansville. The exchange closed on December 18, 2020.</w:t>
      </w:r>
    </w:p>
    <w:p>
      <w:pPr>
        <w:spacing w:after="0" w:line="1" w:lineRule="exact"/>
        <w:rPr>
          <w:rFonts w:ascii="Arial" w:cs="Arial" w:eastAsia="Arial" w:hAnsi="Arial"/>
          <w:sz w:val="19"/>
          <w:szCs w:val="19"/>
          <w:i w:val="1"/>
          <w:iCs w:val="1"/>
          <w:color w:val="auto"/>
          <w:vertAlign w:val="superscript"/>
        </w:rPr>
      </w:pPr>
    </w:p>
    <w:p>
      <w:pPr>
        <w:ind w:left="320" w:hanging="312"/>
        <w:spacing w:after="0" w:line="186" w:lineRule="auto"/>
        <w:tabs>
          <w:tab w:leader="none" w:pos="320"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of December 31, 2020, Horseshoe Baltimore was 44.3% owned and held as an equity-method investment.</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properties listed above, other domestic and international properties, including Harrah’s Northern California, are authorized to use the brands and marks of Caesars Entertainment, Inc.</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properties of ours include The LINQ Promenade, next to The LINQ Hotel &amp; Casino (the “LINQ”) and the CAESARS FORUM conference center in our Las Vegas segment. The LINQ Promenade is an open-air dining, entertainment, and retail promenade located on the east side of the Las Vegas Strip that features the High Roller, a 550-foot observation wheel, and the Fly LINQ Zipline attraction. The CAESARS FORUM is a 550,000 square feet conference center with 300,000 square feet of flexible meeting space, two of the largest pillarless ballrooms in the world and direct access to the LINQ.</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our “Legal Proceedings,” refer to Note 11 to our consolidated financial statements located elsewhere in this Annual Report on Form 10-K.</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Stock Market under the symbol “CZR”. As of February 22, 2021, there were approximately 341 holders of record of our common stock.</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and will depend upon, among other things, our future earnings, operations and capital requirements, our general financial condition, general business conditions and restrictions that may be in place under our borrowing arrangements or existing lease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maintain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or restricted stock units (“RSUs”), performance stock units, market-based stock units (“MSUs”), stock appreciation rights, and other stock-based awards or dividend equivalents. See Note 15 for a description of our stock-based compensation plans.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as of December 31, 2020, with respect to compensation plans under which equity securities that we have authorized for issuance.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Number of securities to be</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available for future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issuance under</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2"/>
              </w:rPr>
              <w:t>issued</w:t>
            </w: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equity compensation plans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upon exercise of</w:t>
            </w:r>
          </w:p>
        </w:tc>
        <w:tc>
          <w:tcPr>
            <w:tcW w:w="180" w:type="dxa"/>
            <w:vAlign w:val="bottom"/>
          </w:tcPr>
          <w:p>
            <w:pPr>
              <w:spacing w:after="0"/>
              <w:rPr>
                <w:sz w:val="14"/>
                <w:szCs w:val="14"/>
                <w:color w:val="auto"/>
              </w:rPr>
            </w:pPr>
          </w:p>
        </w:tc>
        <w:tc>
          <w:tcPr>
            <w:tcW w:w="16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exercise price</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(excluding</w:t>
            </w:r>
          </w:p>
        </w:tc>
        <w:tc>
          <w:tcPr>
            <w:tcW w:w="0" w:type="dxa"/>
            <w:vAlign w:val="bottom"/>
          </w:tcPr>
          <w:p>
            <w:pPr>
              <w:spacing w:after="0"/>
              <w:rPr>
                <w:sz w:val="1"/>
                <w:szCs w:val="1"/>
                <w:color w:val="auto"/>
              </w:rPr>
            </w:pPr>
          </w:p>
        </w:tc>
      </w:tr>
      <w:tr>
        <w:trPr>
          <w:trHeight w:val="162"/>
        </w:trPr>
        <w:tc>
          <w:tcPr>
            <w:tcW w:w="5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2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outstanding options,</w:t>
            </w:r>
          </w:p>
        </w:tc>
        <w:tc>
          <w:tcPr>
            <w:tcW w:w="18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of outstanding options,</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16"/>
        </w:trPr>
        <w:tc>
          <w:tcPr>
            <w:tcW w:w="5520" w:type="dxa"/>
            <w:vAlign w:val="bottom"/>
            <w:gridSpan w:val="2"/>
            <w:vMerge w:val="continue"/>
          </w:tcPr>
          <w:p>
            <w:pPr>
              <w:spacing w:after="0"/>
              <w:rPr>
                <w:sz w:val="18"/>
                <w:szCs w:val="18"/>
                <w:color w:val="auto"/>
              </w:rPr>
            </w:pPr>
          </w:p>
        </w:tc>
        <w:tc>
          <w:tcPr>
            <w:tcW w:w="200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0"/>
              </w:rPr>
              <w:t xml:space="preserve">warrants and rights </w:t>
            </w:r>
            <w:r>
              <w:rPr>
                <w:rFonts w:ascii="Arial" w:cs="Arial" w:eastAsia="Arial" w:hAnsi="Arial"/>
                <w:sz w:val="21"/>
                <w:szCs w:val="21"/>
                <w:b w:val="1"/>
                <w:bCs w:val="1"/>
                <w:i w:val="1"/>
                <w:iCs w:val="1"/>
                <w:color w:val="auto"/>
                <w:w w:val="90"/>
                <w:vertAlign w:val="superscript"/>
              </w:rPr>
              <w:t>(1)</w:t>
            </w:r>
          </w:p>
        </w:tc>
        <w:tc>
          <w:tcPr>
            <w:tcW w:w="1820" w:type="dxa"/>
            <w:vAlign w:val="bottom"/>
            <w:gridSpan w:val="3"/>
          </w:tcPr>
          <w:p>
            <w:pPr>
              <w:jc w:val="center"/>
              <w:ind w:right="80"/>
              <w:spacing w:after="0" w:line="216" w:lineRule="exact"/>
              <w:rPr>
                <w:sz w:val="20"/>
                <w:szCs w:val="20"/>
                <w:color w:val="auto"/>
              </w:rPr>
            </w:pPr>
            <w:r>
              <w:rPr>
                <w:rFonts w:ascii="Arial" w:cs="Arial" w:eastAsia="Arial" w:hAnsi="Arial"/>
                <w:sz w:val="16"/>
                <w:szCs w:val="16"/>
                <w:b w:val="1"/>
                <w:bCs w:val="1"/>
                <w:color w:val="auto"/>
                <w:w w:val="90"/>
              </w:rPr>
              <w:t xml:space="preserve">warrants and rights </w:t>
            </w:r>
            <w:r>
              <w:rPr>
                <w:rFonts w:ascii="Arial" w:cs="Arial" w:eastAsia="Arial" w:hAnsi="Arial"/>
                <w:sz w:val="21"/>
                <w:szCs w:val="21"/>
                <w:b w:val="1"/>
                <w:bCs w:val="1"/>
                <w:i w:val="1"/>
                <w:iCs w:val="1"/>
                <w:color w:val="auto"/>
                <w:w w:val="90"/>
                <w:vertAlign w:val="superscript"/>
              </w:rPr>
              <w:t>(2)</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c>
          <w:tcPr>
            <w:tcW w:w="0" w:type="dxa"/>
            <w:vAlign w:val="bottom"/>
          </w:tcPr>
          <w:p>
            <w:pPr>
              <w:spacing w:after="0"/>
              <w:rPr>
                <w:sz w:val="1"/>
                <w:szCs w:val="1"/>
                <w:color w:val="auto"/>
              </w:rPr>
            </w:pPr>
          </w:p>
        </w:tc>
      </w:tr>
      <w:tr>
        <w:trPr>
          <w:trHeight w:val="181"/>
        </w:trPr>
        <w:tc>
          <w:tcPr>
            <w:tcW w:w="5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3,537,404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5,614,787</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jc w:val="both"/>
        <w:ind w:left="340" w:hanging="332"/>
        <w:spacing w:after="0" w:line="221" w:lineRule="auto"/>
        <w:tabs>
          <w:tab w:leader="none" w:pos="327"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(a) 176,724 shares of common stock issuable upon exercise of outstanding options with a weighted-average exercise price of $22.57 (of which, 111,478 shares were assumed through the Merger with a weighted-average exercise price of $28.91), and (b) 3,360,680 unvested restricted stock units (“RSUs”), performance stock units (“PSUs”), and market-based units (“MSUs”), (of which 2,001,953 RSUs and MSUs were assumed through the Merger).</w:t>
      </w:r>
    </w:p>
    <w:p>
      <w:pPr>
        <w:ind w:left="320" w:hanging="312"/>
        <w:spacing w:after="0" w:line="186" w:lineRule="auto"/>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RSUs, PSUs, and MSUs do not have an exercise price and therefore are not included in the calculation of the weighted-average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Offerings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June 19, 2020, we completed the public offering of 20,700,000 shares (including the shares sold pursuant to the underwriters’ overallotment option) of Company Common Stock, at an offering price of $39.00 per share, which provided $772 million of proceeds, net of fees and estimated expenses of $35 million.</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October 1, 2020, we completed the public offering of 35,650,000 shares (including the shares sold pursuant to the underwriters’ overallotment option) of Company Common Stock, at an offering price of $56.00 per share, which provided $1.9 billion of proceeds, net of fees and estimated expenses of $50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authorized a common stock repurchase program of up to $150 million of stock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have acquired 223,823 shares of common stock under this program since 2018 at an aggregate value of $9 million and an average of $40.80 per share. No shares were repurchased during the years ended December 31, 2020 or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Transactions Related to Convertible Notes issued by Former Caesars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Former Caesars issued $1.1 billion aggregate principal amount of 5% convertible senior notes maturing in 2024 (the “5% Convertible Notes”). The 5% Convertible Notes are convertible into the weighted average of the number of shares of Company Common Stock and amount of cash actually received per share by holders of common stock of Former Caesars that made elections for consideration in the Merger. As of December 31, 2020, we have paid approximately $903 million and issued approximately 10.8 million shares related to conversions of the 5% Convertible Notes and the remaining outstanding balance could result in the additional issuance of an aggregate of 4.5 million shares of Company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graph demonstrates a comparison of cumulative total returns of the Company, the Standard &amp; Poor’s 500 Stock Index (“S&amp;P 500”) and the Dow Jones US Gambling Index for the period since our common stock began trading on September 22, 2014. The following graph assumes $100 invested in each of the above groups and the reinvestment of dividends,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125730</wp:posOffset>
            </wp:positionV>
            <wp:extent cx="5254625"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Past stock price performance is not necessarily indicative of future results. 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used.</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30" w:name="page31"/>
    <w:bookmarkEnd w:id="30"/>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and is qualified in its entirety by, the audited consolidated financial statements and the notes thereto and other financial information included elsewhere in this Annual Report on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Entertainment, Inc., a Delaware corporation formerly known as Eldorado Resorts, Inc. (“ERI” or “Eldorado”), is referred to as the “Company,” “CEI,” “Caesars,” or the “Registrant,” and together with its subsidiaries may also be referred to as “we,” “us” or “our.”</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Item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that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geographically diversified gaming and hospitality company that was founded in 1973 by the Carano family with the opening of the Eldorado Hotel Casino in Reno, Nevada. We partnered with MGM Resorts International to build Silver Legacy Resort Casino in Reno, Nevada in 1993 and, beginning in 2005, we grew through a series of acquisitions, including the acquisition of Eldorado Shreveport in 2005, MTR Gaming Group, Inc. in 2014, Circus Circus Reno (“Circus Reno”) and the 50% membership interest in the Silver Legacy that was owned by MGM Resorts International in 2015, Isle of Capri Casinos, Inc. (“Isle” or “Isle of Capri”) in 2017 and Grand Victoria Casino (“Elgin”) and Tropicana Entertainment, Inc. (“Tropicana”) in 2018. Prior to the Merger (as defined below), we operated 23 gaming facilities in 11 states, with no international operations, featuring approximately 23,900 slot machines, video lottery terminals (“VLTs”) and e-tables, approximately 660 table games and approximately 11,300 hotel rooms.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20, 2020, we completed the merger with Caesars Entertainment Corporation (“Former Caesars”) pursuant to which Former Caesars became our wholly-owned subsidiary (the “Merger”). As a result of the Merger, we currently own, lease or manage an aggregate of 54 domestic properties in 16 states with approximately 54,600 slot machines, VLTs and e-tables, approximately 3,200 table games and approximately 47,700 hotel rooms as of December 31, 2020.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that we will continue to own, lease or manage 48 properties. Our primary source of revenue is generated by gaming operations, and we utilize hotels, restaurants, bars, entertainment, racing, sportsbook offerings, retail shops and other services to attract customers to our properties.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our ticker symbol on the NASDAQ Stock Market changed from “ERI” to “CZR”. In connection with the Merger, we also entered into a Master Transaction Agreement (the “MTA”) with VICI Properties L.P., a Delaware limited partnership (“VICI”), pursuant to which, among other things, we agreed to consummate certain sale and leaseback transactions and amend certain lease agreements with VICI and/or its affiliates, with respect to certain property described in the MTA. See Note 3 for further discussion of the Merger and related transactions.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we owned 20 of our casinos and leased 29 casinos in the U.S. We have leases with GLP Capital, L.P., the operating partnership of Gaming and Leisure Properties, Inc. (“GLPI”), including our Master Lease that we entered into in connection with the acquisition of Tropicana on October 1, 2018 (as amended, the “GLPI Master Lease”) and our Lumière lease. Eight of the leased casinos are subject to leases with GLPI, and we lease an additional 21 casinos from other third parties, including VICI. See descriptions under the “GLPI Master Lease” and “VICI Leases.”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We periodically divest assets that we do not consider core to our business to raise capital or, in some cases, to comply with conditions, terms, obligations or restrictions imposed by antitrust, gaming and other regulatory entities. A summary of recently completed and planned divestitures of our properties as of December 31, 2020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2180"/>
              <w:spacing w:after="0"/>
              <w:rPr>
                <w:sz w:val="20"/>
                <w:szCs w:val="20"/>
                <w:color w:val="auto"/>
              </w:rPr>
            </w:pPr>
            <w:r>
              <w:rPr>
                <w:rFonts w:ascii="Arial" w:cs="Arial" w:eastAsia="Arial" w:hAnsi="Arial"/>
                <w:sz w:val="16"/>
                <w:szCs w:val="16"/>
                <w:b w:val="1"/>
                <w:bCs w:val="1"/>
                <w:color w:val="auto"/>
              </w:rPr>
              <w:t>Property</w:t>
            </w:r>
          </w:p>
        </w:tc>
        <w:tc>
          <w:tcPr>
            <w:tcW w:w="24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Sold</w:t>
            </w:r>
          </w:p>
        </w:tc>
        <w:tc>
          <w:tcPr>
            <w:tcW w:w="2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Location</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Presque Isle Downs &amp; Casino (“Presque”)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January 11,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Pennsylvania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Lady Luck Casino Nemacolin (“Nemacolin”)</w:t>
            </w: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March 8, 2019</w:t>
            </w: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Pennsylvania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Mountaineer Casino, Racetrack and Resort (“Mountaineer”)</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December 6,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West Virginia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Isle Casino Cape Girardeau (“Cape Girardeau”)</w:t>
            </w: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6, 2019</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Missouri</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Lady Luck Casino Caruthersville (“Caruthersville”)</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December 6,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Missouri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2380" w:type="dxa"/>
            <w:vAlign w:val="bottom"/>
            <w:gridSpan w:val="2"/>
          </w:tcPr>
          <w:p>
            <w:pPr>
              <w:jc w:val="center"/>
              <w:ind w:right="240"/>
              <w:spacing w:after="0" w:line="216" w:lineRule="exact"/>
              <w:rPr>
                <w:sz w:val="20"/>
                <w:szCs w:val="20"/>
                <w:color w:val="auto"/>
              </w:rPr>
            </w:pPr>
            <w:r>
              <w:rPr>
                <w:rFonts w:ascii="Arial" w:cs="Arial" w:eastAsia="Arial" w:hAnsi="Arial"/>
                <w:sz w:val="16"/>
                <w:szCs w:val="16"/>
                <w:color w:val="auto"/>
                <w:w w:val="87"/>
              </w:rPr>
              <w:t xml:space="preserve">July 1, 2020 </w:t>
            </w:r>
            <w:r>
              <w:rPr>
                <w:rFonts w:ascii="Arial" w:cs="Arial" w:eastAsia="Arial" w:hAnsi="Arial"/>
                <w:sz w:val="21"/>
                <w:szCs w:val="21"/>
                <w:i w:val="1"/>
                <w:iCs w:val="1"/>
                <w:color w:val="auto"/>
                <w:w w:val="87"/>
                <w:vertAlign w:val="superscript"/>
              </w:rPr>
              <w:t>(a)</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Missouri</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Lady Luck Casino Vicksburg (“Vicksburg”)</w:t>
            </w:r>
          </w:p>
        </w:tc>
        <w:tc>
          <w:tcPr>
            <w:tcW w:w="2380" w:type="dxa"/>
            <w:vAlign w:val="bottom"/>
            <w:gridSpan w:val="2"/>
            <w:shd w:val="clear" w:color="auto" w:fill="CCEEFF"/>
          </w:tcPr>
          <w:p>
            <w:pPr>
              <w:jc w:val="center"/>
              <w:ind w:right="240"/>
              <w:spacing w:after="0" w:line="216" w:lineRule="exact"/>
              <w:rPr>
                <w:sz w:val="20"/>
                <w:szCs w:val="20"/>
                <w:color w:val="auto"/>
              </w:rPr>
            </w:pPr>
            <w:r>
              <w:rPr>
                <w:rFonts w:ascii="Arial" w:cs="Arial" w:eastAsia="Arial" w:hAnsi="Arial"/>
                <w:sz w:val="16"/>
                <w:szCs w:val="16"/>
                <w:color w:val="auto"/>
                <w:w w:val="87"/>
              </w:rPr>
              <w:t xml:space="preserve">July 1, 2020 </w:t>
            </w:r>
            <w:r>
              <w:rPr>
                <w:rFonts w:ascii="Arial" w:cs="Arial" w:eastAsia="Arial" w:hAnsi="Arial"/>
                <w:sz w:val="21"/>
                <w:szCs w:val="21"/>
                <w:i w:val="1"/>
                <w:iCs w:val="1"/>
                <w:color w:val="auto"/>
                <w:w w:val="87"/>
                <w:vertAlign w:val="superscript"/>
              </w:rPr>
              <w:t>(a)</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Mississippi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Eldorado Resort Casino Shreveport (“Eldorado Shreveport”)</w:t>
            </w:r>
          </w:p>
        </w:tc>
        <w:tc>
          <w:tcPr>
            <w:tcW w:w="2380" w:type="dxa"/>
            <w:vAlign w:val="bottom"/>
            <w:gridSpan w:val="2"/>
          </w:tcPr>
          <w:p>
            <w:pPr>
              <w:jc w:val="center"/>
              <w:ind w:right="240"/>
              <w:spacing w:after="0" w:line="216" w:lineRule="exact"/>
              <w:rPr>
                <w:sz w:val="20"/>
                <w:szCs w:val="20"/>
                <w:color w:val="auto"/>
              </w:rPr>
            </w:pPr>
            <w:r>
              <w:rPr>
                <w:rFonts w:ascii="Arial" w:cs="Arial" w:eastAsia="Arial" w:hAnsi="Arial"/>
                <w:sz w:val="16"/>
                <w:szCs w:val="16"/>
                <w:color w:val="auto"/>
                <w:w w:val="87"/>
              </w:rPr>
              <w:t xml:space="preserve">December 23, 2020 </w:t>
            </w:r>
            <w:r>
              <w:rPr>
                <w:rFonts w:ascii="Arial" w:cs="Arial" w:eastAsia="Arial" w:hAnsi="Arial"/>
                <w:sz w:val="21"/>
                <w:szCs w:val="21"/>
                <w:i w:val="1"/>
                <w:iCs w:val="1"/>
                <w:color w:val="auto"/>
                <w:w w:val="87"/>
                <w:vertAlign w:val="superscript"/>
              </w:rPr>
              <w:t>(b)</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Louisiana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380" w:type="dxa"/>
            <w:vAlign w:val="bottom"/>
            <w:gridSpan w:val="2"/>
            <w:shd w:val="clear" w:color="auto" w:fill="CCEEFF"/>
          </w:tcPr>
          <w:p>
            <w:pPr>
              <w:jc w:val="center"/>
              <w:ind w:right="220"/>
              <w:spacing w:after="0" w:line="216" w:lineRule="exact"/>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i w:val="1"/>
                <w:iCs w:val="1"/>
                <w:color w:val="auto"/>
                <w:w w:val="91"/>
                <w:vertAlign w:val="superscript"/>
              </w:rPr>
              <w:t>(b)</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Tropicana Evansville (“Evansville”)</w:t>
            </w:r>
          </w:p>
        </w:tc>
        <w:tc>
          <w:tcPr>
            <w:tcW w:w="2380" w:type="dxa"/>
            <w:vAlign w:val="bottom"/>
            <w:gridSpan w:val="2"/>
          </w:tcPr>
          <w:p>
            <w:pPr>
              <w:jc w:val="center"/>
              <w:ind w:right="240"/>
              <w:spacing w:after="0" w:line="216" w:lineRule="exact"/>
              <w:rPr>
                <w:sz w:val="20"/>
                <w:szCs w:val="20"/>
                <w:color w:val="auto"/>
              </w:rPr>
            </w:pPr>
            <w:r>
              <w:rPr>
                <w:rFonts w:ascii="Arial" w:cs="Arial" w:eastAsia="Arial" w:hAnsi="Arial"/>
                <w:sz w:val="16"/>
                <w:szCs w:val="16"/>
                <w:color w:val="auto"/>
                <w:w w:val="88"/>
              </w:rPr>
              <w:t xml:space="preserve">N/A </w:t>
            </w:r>
            <w:r>
              <w:rPr>
                <w:rFonts w:ascii="Arial" w:cs="Arial" w:eastAsia="Arial" w:hAnsi="Arial"/>
                <w:sz w:val="21"/>
                <w:szCs w:val="21"/>
                <w:i w:val="1"/>
                <w:iCs w:val="1"/>
                <w:color w:val="auto"/>
                <w:w w:val="88"/>
                <w:vertAlign w:val="superscript"/>
              </w:rPr>
              <w:t>(c)</w:t>
            </w: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Indiana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380" w:type="dxa"/>
            <w:vAlign w:val="bottom"/>
            <w:gridSpan w:val="2"/>
            <w:shd w:val="clear" w:color="auto" w:fill="CCEEFF"/>
          </w:tcPr>
          <w:p>
            <w:pPr>
              <w:jc w:val="center"/>
              <w:ind w:right="220"/>
              <w:spacing w:after="0" w:line="216" w:lineRule="exact"/>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i w:val="1"/>
                <w:iCs w:val="1"/>
                <w:color w:val="auto"/>
                <w:w w:val="91"/>
                <w:vertAlign w:val="superscript"/>
              </w:rPr>
              <w:t>(d)</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2"/>
              </w:rPr>
              <w:t>Discontinued operations (e):</w:t>
            </w:r>
          </w:p>
        </w:tc>
        <w:tc>
          <w:tcPr>
            <w:tcW w:w="5280" w:type="dxa"/>
            <w:vAlign w:val="bottom"/>
            <w:tcBorders>
              <w:bottom w:val="single" w:sz="8" w:color="CCEEFF"/>
            </w:tcBorders>
            <w:gridSpan w:val="2"/>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Harrah’s Reno</w:t>
            </w:r>
          </w:p>
        </w:tc>
        <w:tc>
          <w:tcPr>
            <w:tcW w:w="2380" w:type="dxa"/>
            <w:vAlign w:val="bottom"/>
            <w:gridSpan w:val="2"/>
          </w:tcPr>
          <w:p>
            <w:pPr>
              <w:jc w:val="center"/>
              <w:ind w:right="240"/>
              <w:spacing w:after="0" w:line="216" w:lineRule="exact"/>
              <w:rPr>
                <w:sz w:val="20"/>
                <w:szCs w:val="20"/>
                <w:color w:val="auto"/>
              </w:rPr>
            </w:pPr>
            <w:r>
              <w:rPr>
                <w:rFonts w:ascii="Arial" w:cs="Arial" w:eastAsia="Arial" w:hAnsi="Arial"/>
                <w:sz w:val="16"/>
                <w:szCs w:val="16"/>
                <w:color w:val="auto"/>
                <w:w w:val="87"/>
              </w:rPr>
              <w:t xml:space="preserve">September 30, 2020 </w:t>
            </w:r>
            <w:r>
              <w:rPr>
                <w:rFonts w:ascii="Arial" w:cs="Arial" w:eastAsia="Arial" w:hAnsi="Arial"/>
                <w:sz w:val="21"/>
                <w:szCs w:val="21"/>
                <w:i w:val="1"/>
                <w:iCs w:val="1"/>
                <w:color w:val="auto"/>
                <w:w w:val="87"/>
                <w:vertAlign w:val="superscript"/>
              </w:rPr>
              <w:t>(f)</w:t>
            </w: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Nevada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Bally’s Atlantic City</w:t>
            </w:r>
          </w:p>
        </w:tc>
        <w:tc>
          <w:tcPr>
            <w:tcW w:w="2380" w:type="dxa"/>
            <w:vAlign w:val="bottom"/>
            <w:gridSpan w:val="2"/>
            <w:shd w:val="clear" w:color="auto" w:fill="CCEEFF"/>
          </w:tcPr>
          <w:p>
            <w:pPr>
              <w:jc w:val="center"/>
              <w:ind w:right="240"/>
              <w:spacing w:after="0" w:line="216" w:lineRule="exact"/>
              <w:rPr>
                <w:sz w:val="20"/>
                <w:szCs w:val="20"/>
                <w:color w:val="auto"/>
              </w:rPr>
            </w:pPr>
            <w:r>
              <w:rPr>
                <w:rFonts w:ascii="Arial" w:cs="Arial" w:eastAsia="Arial" w:hAnsi="Arial"/>
                <w:sz w:val="16"/>
                <w:szCs w:val="16"/>
                <w:color w:val="auto"/>
                <w:w w:val="90"/>
              </w:rPr>
              <w:t xml:space="preserve">November 18, 2020 </w:t>
            </w:r>
            <w:r>
              <w:rPr>
                <w:rFonts w:ascii="Arial" w:cs="Arial" w:eastAsia="Arial" w:hAnsi="Arial"/>
                <w:sz w:val="21"/>
                <w:szCs w:val="21"/>
                <w:i w:val="1"/>
                <w:iCs w:val="1"/>
                <w:color w:val="auto"/>
                <w:w w:val="90"/>
                <w:vertAlign w:val="superscript"/>
              </w:rPr>
              <w:t>(g)</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New Jersey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Harrah’s Louisiana Downs</w:t>
            </w:r>
          </w:p>
        </w:tc>
        <w:tc>
          <w:tcPr>
            <w:tcW w:w="2380" w:type="dxa"/>
            <w:vAlign w:val="bottom"/>
            <w:gridSpan w:val="2"/>
          </w:tcPr>
          <w:p>
            <w:pPr>
              <w:jc w:val="center"/>
              <w:ind w:right="220"/>
              <w:spacing w:after="0" w:line="216" w:lineRule="exact"/>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i w:val="1"/>
                <w:iCs w:val="1"/>
                <w:color w:val="auto"/>
                <w:w w:val="91"/>
                <w:vertAlign w:val="superscript"/>
              </w:rPr>
              <w:t>(h)</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Louisiana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Caesars Southern Indiana</w:t>
            </w:r>
          </w:p>
        </w:tc>
        <w:tc>
          <w:tcPr>
            <w:tcW w:w="2380" w:type="dxa"/>
            <w:vAlign w:val="bottom"/>
            <w:gridSpan w:val="2"/>
            <w:shd w:val="clear" w:color="auto" w:fill="CCEEFF"/>
          </w:tcPr>
          <w:p>
            <w:pPr>
              <w:jc w:val="center"/>
              <w:ind w:right="220"/>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i w:val="1"/>
                <w:iCs w:val="1"/>
                <w:color w:val="auto"/>
              </w:rPr>
              <w:t xml:space="preserve"> (c)(i)</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Horseshoe Hammond</w:t>
            </w:r>
          </w:p>
        </w:tc>
        <w:tc>
          <w:tcPr>
            <w:tcW w:w="2380" w:type="dxa"/>
            <w:vAlign w:val="bottom"/>
            <w:gridSpan w:val="2"/>
          </w:tcPr>
          <w:p>
            <w:pPr>
              <w:jc w:val="center"/>
              <w:ind w:right="240"/>
              <w:spacing w:after="0" w:line="216"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i w:val="1"/>
                <w:iCs w:val="1"/>
                <w:color w:val="auto"/>
              </w:rPr>
              <w:t xml:space="preserve"> (c)</w:t>
            </w: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Indiana</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Managed, International,</w:t>
            </w:r>
          </w:p>
        </w:tc>
        <w:tc>
          <w:tcPr>
            <w:tcW w:w="534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Emerald Resort &amp; Casino</w:t>
            </w:r>
          </w:p>
        </w:tc>
        <w:tc>
          <w:tcPr>
            <w:tcW w:w="23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South Africa</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CIE</w:t>
            </w:r>
          </w:p>
        </w:tc>
        <w:tc>
          <w:tcPr>
            <w:tcW w:w="5340" w:type="dxa"/>
            <w:vAlign w:val="bottom"/>
            <w:gridSpan w:val="3"/>
            <w:vMerge w:val="continue"/>
            <w:shd w:val="clear" w:color="auto" w:fill="CCEEFF"/>
          </w:tcPr>
          <w:p>
            <w:pPr>
              <w:spacing w:after="0"/>
              <w:rPr>
                <w:sz w:val="18"/>
                <w:szCs w:val="18"/>
                <w:color w:val="auto"/>
              </w:rPr>
            </w:pPr>
          </w:p>
        </w:tc>
        <w:tc>
          <w:tcPr>
            <w:tcW w:w="2380" w:type="dxa"/>
            <w:vAlign w:val="bottom"/>
            <w:gridSpan w:val="2"/>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20" w:type="dxa"/>
            <w:vAlign w:val="bottom"/>
            <w:gridSpan w:val="2"/>
          </w:tcPr>
          <w:p>
            <w:pPr>
              <w:spacing w:after="0" w:line="166" w:lineRule="exact"/>
              <w:rPr>
                <w:sz w:val="20"/>
                <w:szCs w:val="20"/>
                <w:color w:val="auto"/>
              </w:rPr>
            </w:pPr>
            <w:r>
              <w:rPr>
                <w:rFonts w:ascii="Arial" w:cs="Arial" w:eastAsia="Arial" w:hAnsi="Arial"/>
                <w:sz w:val="16"/>
                <w:szCs w:val="16"/>
                <w:color w:val="auto"/>
              </w:rPr>
              <w:t>Managed, International,</w:t>
            </w:r>
          </w:p>
        </w:tc>
        <w:tc>
          <w:tcPr>
            <w:tcW w:w="5340" w:type="dxa"/>
            <w:vAlign w:val="bottom"/>
            <w:gridSpan w:val="3"/>
            <w:vMerge w:val="restart"/>
          </w:tcPr>
          <w:p>
            <w:pPr>
              <w:ind w:left="20"/>
              <w:spacing w:after="0"/>
              <w:rPr>
                <w:sz w:val="20"/>
                <w:szCs w:val="20"/>
                <w:color w:val="auto"/>
              </w:rPr>
            </w:pPr>
            <w:r>
              <w:rPr>
                <w:rFonts w:ascii="Arial" w:cs="Arial" w:eastAsia="Arial" w:hAnsi="Arial"/>
                <w:sz w:val="16"/>
                <w:szCs w:val="16"/>
                <w:color w:val="auto"/>
              </w:rPr>
              <w:t>Caesars Entertainment UK</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N/A</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4"/>
              </w:rPr>
              <w:t>United Kingdom</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CIE</w:t>
            </w:r>
          </w:p>
        </w:tc>
        <w:tc>
          <w:tcPr>
            <w:tcW w:w="5340" w:type="dxa"/>
            <w:vAlign w:val="bottom"/>
            <w:gridSpan w:val="3"/>
            <w:vMerge w:val="continue"/>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60" w:hanging="652"/>
        <w:spacing w:after="0" w:line="227" w:lineRule="auto"/>
        <w:tabs>
          <w:tab w:leader="none" w:pos="648" w:val="left"/>
        </w:tabs>
        <w:numPr>
          <w:ilvl w:val="0"/>
          <w:numId w:val="15"/>
        </w:numPr>
        <w:rPr>
          <w:rFonts w:ascii="Arial" w:cs="Arial" w:eastAsia="Arial" w:hAnsi="Arial"/>
          <w:sz w:val="23"/>
          <w:szCs w:val="23"/>
          <w:i w:val="1"/>
          <w:iCs w:val="1"/>
          <w:color w:val="auto"/>
          <w:vertAlign w:val="superscript"/>
        </w:rPr>
      </w:pPr>
      <w:r>
        <w:rPr>
          <w:rFonts w:ascii="Arial" w:cs="Arial" w:eastAsia="Arial" w:hAnsi="Arial"/>
          <w:sz w:val="18"/>
          <w:szCs w:val="18"/>
          <w:color w:val="auto"/>
        </w:rPr>
        <w:t>We closed the sales of Kansas City and Vicksburg on July 1, 2020 and recorded a gain of approximately $8 million during the year ended December 31, 2020.</w:t>
      </w:r>
    </w:p>
    <w:p>
      <w:pPr>
        <w:spacing w:after="0" w:line="148" w:lineRule="exact"/>
        <w:rPr>
          <w:rFonts w:ascii="Arial" w:cs="Arial" w:eastAsia="Arial" w:hAnsi="Arial"/>
          <w:sz w:val="23"/>
          <w:szCs w:val="23"/>
          <w:i w:val="1"/>
          <w:iCs w:val="1"/>
          <w:color w:val="auto"/>
          <w:vertAlign w:val="superscript"/>
        </w:rPr>
      </w:pPr>
    </w:p>
    <w:p>
      <w:pPr>
        <w:jc w:val="both"/>
        <w:ind w:left="660" w:hanging="652"/>
        <w:spacing w:after="0" w:line="261" w:lineRule="auto"/>
        <w:tabs>
          <w:tab w:leader="none" w:pos="648" w:val="left"/>
        </w:tabs>
        <w:numPr>
          <w:ilvl w:val="0"/>
          <w:numId w:val="15"/>
        </w:numPr>
        <w:rPr>
          <w:rFonts w:ascii="Arial" w:cs="Arial" w:eastAsia="Arial" w:hAnsi="Arial"/>
          <w:sz w:val="22"/>
          <w:szCs w:val="22"/>
          <w:i w:val="1"/>
          <w:iCs w:val="1"/>
          <w:color w:val="auto"/>
          <w:vertAlign w:val="superscript"/>
        </w:rPr>
      </w:pPr>
      <w:r>
        <w:rPr>
          <w:rFonts w:ascii="Arial" w:cs="Arial" w:eastAsia="Arial" w:hAnsi="Arial"/>
          <w:sz w:val="17"/>
          <w:szCs w:val="17"/>
          <w:color w:val="auto"/>
        </w:rPr>
        <w:t>On April 24, 2020, we entered into a definitive purchase agreement with Twin River Worldwide Holdings, Inc. (“Twin River” or “Bally’s Corporation”) and certain of its affiliates for the sale of the equity interests of Eldorado Resort Casino Shreveport Joint Venture and Columbia Properties Tahoe, LLC, the entities that hold Eldorado Shreveport and MontBleu, respectively, for aggregate consideration of $155 million, subject to a customary working capital adjustment. The definitive agreement provides that the consummation of the sale is subject to satisfaction of customary conditions, including receipt of required regulatory approvals. The sale of Eldorado Shreveport closed on December 23, 2020 for $140 million, subject to a customary working capital adjustment and we recognized a gain of approximately $29 million during the year ended December 31, 2020. The sale of MontBleu is expected to close in the first half of 2021. MontBleu met the requirements for presentation as assets held for sale as of December 31, 2020. However, the pending divestitures of MontBleu did not meet the requirements for presentation as discontinued operations and MontBleu’s results of operations are included in income from continuing operations in the periods presented. As a result of the agreement to sell MontBleu, an impairment charge totaling $45 million was recorded during the year ended December 31, 2020 due to the carrying value exceeding the estimated net sales proceeds from the sale.</w:t>
      </w:r>
    </w:p>
    <w:p>
      <w:pPr>
        <w:spacing w:after="0" w:line="137" w:lineRule="exact"/>
        <w:rPr>
          <w:rFonts w:ascii="Arial" w:cs="Arial" w:eastAsia="Arial" w:hAnsi="Arial"/>
          <w:sz w:val="22"/>
          <w:szCs w:val="22"/>
          <w:i w:val="1"/>
          <w:iCs w:val="1"/>
          <w:color w:val="auto"/>
          <w:vertAlign w:val="superscript"/>
        </w:rPr>
      </w:pPr>
    </w:p>
    <w:p>
      <w:pPr>
        <w:jc w:val="both"/>
        <w:ind w:left="660" w:hanging="652"/>
        <w:spacing w:after="0" w:line="260" w:lineRule="auto"/>
        <w:tabs>
          <w:tab w:leader="none" w:pos="655" w:val="left"/>
        </w:tabs>
        <w:numPr>
          <w:ilvl w:val="0"/>
          <w:numId w:val="15"/>
        </w:numPr>
        <w:rPr>
          <w:rFonts w:ascii="Arial" w:cs="Arial" w:eastAsia="Arial" w:hAnsi="Arial"/>
          <w:sz w:val="22"/>
          <w:szCs w:val="22"/>
          <w:i w:val="1"/>
          <w:iCs w:val="1"/>
          <w:color w:val="auto"/>
          <w:vertAlign w:val="superscript"/>
        </w:rPr>
      </w:pPr>
      <w:r>
        <w:rPr>
          <w:rFonts w:ascii="Arial" w:cs="Arial" w:eastAsia="Arial" w:hAnsi="Arial"/>
          <w:sz w:val="17"/>
          <w:szCs w:val="17"/>
          <w:color w:val="auto"/>
        </w:rPr>
        <w:t xml:space="preserve">In connection with its review of the Merger, the Indiana Gaming Commission determined on July 16, 2020 that, as a condition to their approval of the Merger, we are required to enter into agreements to divest of three properties within the state of Indiana in order to avoid undue economic concentration. On October 27, 2020, the Company entered into an agreement to sell Evansville to GLPI and Twin River for $480 million in cash, subject to a customary working capital adjustment. The sale is subject to satisfaction of customary conditions, including receipt of required regulatory approvals and is expected to close in mid-2021. In addition, on December 24, 2020, the Company entered into an agreement to divest of Caesars Southern Indiana (See </w:t>
      </w:r>
      <w:r>
        <w:rPr>
          <w:rFonts w:ascii="Arial" w:cs="Arial" w:eastAsia="Arial" w:hAnsi="Arial"/>
          <w:sz w:val="17"/>
          <w:szCs w:val="17"/>
          <w:i w:val="1"/>
          <w:iCs w:val="1"/>
          <w:color w:val="auto"/>
        </w:rPr>
        <w:t>(i)</w:t>
      </w:r>
      <w:r>
        <w:rPr>
          <w:rFonts w:ascii="Arial" w:cs="Arial" w:eastAsia="Arial" w:hAnsi="Arial"/>
          <w:sz w:val="17"/>
          <w:szCs w:val="17"/>
          <w:color w:val="auto"/>
        </w:rPr>
        <w:t xml:space="preserve"> below). We expect to enter into an agreement to sell Horseshoe Hammond prior to December 31, 2021, as the deadline was extended by the Indiana Gaming Commission. Evansville met the requirements for presentation as assets held for sale as of December 31, 2020, while Caesars Southern Indiana and Horseshoe Hammond met the requirements for presentation as held for sale and discontinued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1"/>
          <w:szCs w:val="11"/>
          <w:i w:val="1"/>
          <w:iCs w:val="1"/>
          <w:color w:val="auto"/>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w:t>
      </w:r>
    </w:p>
    <w:p>
      <w:pPr>
        <w:spacing w:after="0" w:line="20" w:lineRule="exact"/>
        <w:rPr>
          <w:sz w:val="20"/>
          <w:szCs w:val="20"/>
          <w:color w:val="auto"/>
        </w:rPr>
      </w:pPr>
      <w:r>
        <w:rPr>
          <w:sz w:val="20"/>
          <w:szCs w:val="20"/>
          <w:color w:val="auto"/>
        </w:rPr>
        <w:br w:type="column"/>
      </w:r>
    </w:p>
    <w:p>
      <w:pPr>
        <w:jc w:val="both"/>
        <w:ind w:hanging="11"/>
        <w:spacing w:after="0" w:line="296" w:lineRule="auto"/>
        <w:rPr>
          <w:sz w:val="20"/>
          <w:szCs w:val="20"/>
          <w:color w:val="auto"/>
        </w:rPr>
      </w:pPr>
      <w:r>
        <w:rPr>
          <w:rFonts w:ascii="Arial" w:cs="Arial" w:eastAsia="Arial" w:hAnsi="Arial"/>
          <w:sz w:val="16"/>
          <w:szCs w:val="16"/>
          <w:color w:val="auto"/>
        </w:rPr>
        <w:t>On December 1, 2020, the Company entered into an agreement to sell the Baton Rouge to CQ Holding Company, Inc. Pursuant to the terms of the GLPI Master Lease, Baton Rouge will be removed from the GLPI Master Lease, and the rent payments to GLPI will remain unchanged. GLPI will retain ownership of the real estate of Baton Rouge. As a result of the agreement to sell Baton Rouge, an impairment charge totaling $50 million was recorded during the year ended December 31, 2020 due to the carrying value exceeding the estimated net sales proceeds. The transaction is expected to close in mid-2021 and is subject to regulatory approvals and other customary closing conditions.</w:t>
      </w:r>
    </w:p>
    <w:p>
      <w:pPr>
        <w:spacing w:after="0" w:line="107" w:lineRule="exact"/>
        <w:rPr>
          <w:sz w:val="20"/>
          <w:szCs w:val="20"/>
          <w:color w:val="auto"/>
        </w:rPr>
      </w:pPr>
    </w:p>
    <w:p>
      <w:pPr>
        <w:jc w:val="both"/>
        <w:ind w:hanging="4"/>
        <w:spacing w:after="0" w:line="308" w:lineRule="auto"/>
        <w:rPr>
          <w:sz w:val="20"/>
          <w:szCs w:val="20"/>
          <w:color w:val="auto"/>
        </w:rPr>
      </w:pPr>
      <w:r>
        <w:rPr>
          <w:rFonts w:ascii="Arial" w:cs="Arial" w:eastAsia="Arial" w:hAnsi="Arial"/>
          <w:sz w:val="17"/>
          <w:szCs w:val="17"/>
          <w:color w:val="auto"/>
        </w:rPr>
        <w:t>These Former Caesars properties met held for sale criteria as of the acquisition date. The sales of these properties have or are expected to close within one year from the date of the closing of the Merger and the properties are classified as discontinued operations.</w:t>
      </w:r>
    </w:p>
    <w:p>
      <w:pPr>
        <w:spacing w:after="0" w:line="92" w:lineRule="exact"/>
        <w:rPr>
          <w:sz w:val="20"/>
          <w:szCs w:val="20"/>
          <w:color w:val="auto"/>
        </w:rPr>
      </w:pPr>
    </w:p>
    <w:p>
      <w:pPr>
        <w:jc w:val="both"/>
        <w:ind w:hanging="10"/>
        <w:spacing w:after="0" w:line="308" w:lineRule="auto"/>
        <w:rPr>
          <w:sz w:val="20"/>
          <w:szCs w:val="20"/>
          <w:color w:val="auto"/>
        </w:rPr>
      </w:pPr>
      <w:r>
        <w:rPr>
          <w:rFonts w:ascii="Arial" w:cs="Arial" w:eastAsia="Arial" w:hAnsi="Arial"/>
          <w:sz w:val="17"/>
          <w:szCs w:val="17"/>
          <w:color w:val="auto"/>
        </w:rPr>
        <w:t>On September 30, 2020, the Company and VICI completed the sale of Harrah’s Reno to and affiliate of CAI Investments for $42 million. The proceeds from the sale were split between the Company and VICI, and the Company received $8 million of net proceeds.</w:t>
      </w:r>
    </w:p>
    <w:p>
      <w:pPr>
        <w:spacing w:after="0" w:line="92" w:lineRule="exact"/>
        <w:rPr>
          <w:sz w:val="20"/>
          <w:szCs w:val="20"/>
          <w:color w:val="auto"/>
        </w:rPr>
      </w:pPr>
    </w:p>
    <w:p>
      <w:pPr>
        <w:jc w:val="both"/>
        <w:ind w:hanging="11"/>
        <w:spacing w:after="0" w:line="272" w:lineRule="auto"/>
        <w:rPr>
          <w:sz w:val="20"/>
          <w:szCs w:val="20"/>
          <w:color w:val="auto"/>
        </w:rPr>
      </w:pPr>
      <w:r>
        <w:rPr>
          <w:rFonts w:ascii="Arial" w:cs="Arial" w:eastAsia="Arial" w:hAnsi="Arial"/>
          <w:sz w:val="17"/>
          <w:szCs w:val="17"/>
          <w:color w:val="auto"/>
        </w:rPr>
        <w:t>On November 18, 2020, the Company and VICI completed the sale of Bally's Atlantic City to Bally’s Corporation for $25 million. The proceeds from the sale were split between the Company and VICI, and the Company received $5 million of net proceeds. As a result of the sale, the Company agreed to reimburse Bally’s Corporation $30 million for capital expenditures required at Bally’s Atlantic City and recorded a liability within Accrued other liabilities and recorded a charge to Discontinued operations, net of income taxes. Our commitment will be satisfied by adjusting obligations under certain sportsbook operating agreements between Bally’s Corporation and the Company following our expected acquisition of William Hill. In addition, on October 9, 2020, we reached an agreement to sell the Bally’s brand to Bally’s Corporation for $20 million, while retaining the right to use the brand within Bally’s Las Vegas into perpetuity.</w:t>
      </w:r>
    </w:p>
    <w:p>
      <w:pPr>
        <w:spacing w:after="0" w:line="123" w:lineRule="exact"/>
        <w:rPr>
          <w:sz w:val="20"/>
          <w:szCs w:val="20"/>
          <w:color w:val="auto"/>
        </w:rPr>
      </w:pPr>
    </w:p>
    <w:p>
      <w:pPr>
        <w:jc w:val="both"/>
        <w:ind w:hanging="11"/>
        <w:spacing w:after="0" w:line="311" w:lineRule="auto"/>
        <w:rPr>
          <w:sz w:val="20"/>
          <w:szCs w:val="20"/>
          <w:color w:val="auto"/>
        </w:rPr>
      </w:pPr>
      <w:r>
        <w:rPr>
          <w:rFonts w:ascii="Arial" w:cs="Arial" w:eastAsia="Arial" w:hAnsi="Arial"/>
          <w:sz w:val="16"/>
          <w:szCs w:val="16"/>
          <w:color w:val="auto"/>
        </w:rPr>
        <w:t>On September 3, 2020, the Company and VICI entered into an agreement with Rubico Acquisition Corp. to sell Harrah’s Louisiana Downs for $22 million, subject to a customary working capital adjustment, where the proceeds will be split between the Company and VICI. The sale is subject to satisfaction of customary conditions, including receipt of required regulatory approvals and is expected to close in the first half of 2021.</w:t>
      </w:r>
    </w:p>
    <w:p>
      <w:pPr>
        <w:spacing w:after="0" w:line="95" w:lineRule="exact"/>
        <w:rPr>
          <w:sz w:val="20"/>
          <w:szCs w:val="20"/>
          <w:color w:val="auto"/>
        </w:rPr>
      </w:pPr>
    </w:p>
    <w:p>
      <w:pPr>
        <w:jc w:val="both"/>
        <w:ind w:hanging="10"/>
        <w:spacing w:after="0" w:line="296" w:lineRule="auto"/>
        <w:rPr>
          <w:sz w:val="20"/>
          <w:szCs w:val="20"/>
          <w:color w:val="auto"/>
        </w:rPr>
      </w:pPr>
      <w:r>
        <w:rPr>
          <w:rFonts w:ascii="Arial" w:cs="Arial" w:eastAsia="Arial" w:hAnsi="Arial"/>
          <w:sz w:val="16"/>
          <w:szCs w:val="16"/>
          <w:color w:val="auto"/>
        </w:rPr>
        <w:t>On December 24, 2020, the Company entered into agreement to sell Caesars Southern Indiana to the Eastern Band of Cherokee Indians (“EBCI”) for $250 million, subject to a customary working capital adjustment. Caesar’s annual payments to VICI under the Regional Lease will decline by $33 million upon closing of the transaction. Additionally, effective as of the closing of the transaction, Caesars and EBCI will enter into a long-term agreement for the continued use of the Caesars brand and Caesars Rewards loyalty program at Caesars Southern Indiana. The sale is subject to satisfaction of customary conditions, including receipt of required regulatory approvals and is expected to close in the third quarter of 2021.</w:t>
      </w:r>
    </w:p>
    <w:p>
      <w:pPr>
        <w:spacing w:after="0" w:line="103" w:lineRule="exact"/>
        <w:rPr>
          <w:sz w:val="20"/>
          <w:szCs w:val="20"/>
          <w:color w:val="auto"/>
        </w:rPr>
      </w:pPr>
    </w:p>
    <w:p>
      <w:pPr>
        <w:sectPr>
          <w:pgSz w:w="11900" w:h="16838" w:orient="portrait"/>
          <w:cols w:equalWidth="0" w:num="2">
            <w:col w:w="140" w:space="520"/>
            <w:col w:w="10580"/>
          </w:cols>
          <w:pgMar w:left="320" w:top="1051" w:right="339" w:bottom="1440" w:gutter="0" w:footer="0" w:header="0"/>
        </w:sectPr>
      </w:pPr>
    </w:p>
    <w:p>
      <w:pPr>
        <w:spacing w:after="0"/>
        <w:rPr>
          <w:sz w:val="20"/>
          <w:szCs w:val="20"/>
          <w:color w:val="auto"/>
        </w:rPr>
      </w:pPr>
      <w:r>
        <w:rPr>
          <w:rFonts w:ascii="Arial" w:cs="Arial" w:eastAsia="Arial" w:hAnsi="Arial"/>
          <w:sz w:val="18"/>
          <w:szCs w:val="18"/>
          <w:b w:val="1"/>
          <w:bCs w:val="1"/>
          <w:color w:val="auto"/>
        </w:rPr>
        <w:t>Merger and Acquisitions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20, 2020, the Merger was consummated and Former Caesars became a wholly-owned subsidiary of ours. The strategic rationale for the Merger includes, but is not limited to, the following:</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closing price of $38.24 per share of the Company’s common stock, par value $0.00001 per share (“Company Common Stock”), reported on the NASDAQ Stock Market on July 20, 2020, the aggregate implied value of the aggregate merger consideration paid to former holders of Former Caesars common stock in connection with the Merger was approximately $8.5 billion, including approximately $2.4 billion in the Company Common Stock and approximately $6.1 billion in cash. The aggregate merger consideration transferred also included approximately $2.4 billion related to the repayment of certain outstanding debt balances of Former Caesars and approximately $48 million of other consideration paid, which includes $19 million related to a transaction success fee, for the benefit of Former Caesars, and $29 million for the replacement of equity awards of certain employees attributable to services provided prior to the Merger.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Pursuant to the Merger, each share of Former Caesars common stock was converted into the right to receive, at the election of the holder thereof and subject to proration, approximately $12.41 of cash consideration or approximately 0.3085 shares of Company Common Stock, with a value equal to approximately $12.41 in cash (based on the volume weighted average price per share of Company Common Stock for the 10 trading days ending on July 16, 2020). Following the consummation of the Merger, stockholders of the Company and stockholders of Former Caesars held approximately 61% and 39%, respectively, of the outstanding shares of Company Common Stock.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acquisition-related transaction costs in connection with the Merger of $160 million for the year ended December 31, 2020, and $80 million for the year ended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Entertainment Inc.</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 2018, we acquired Tropicana in a cash transaction valued at $1.9 billion (the “Tropicana Acquisition”). At the closing of the transaction Tropicana became a wholly-owned subsidiary of ours. Immediately prior to our acquisition, Tropicana sold Tropicana Aruba Resort and GLP Capital, L.P., a wholly-owned subsidiary of GLPI, acquired substantially all of Tropicana’s real estate, other than the real estate underlying MontBleu and Lumière, for approximately $964 million. We acquired the real estate underlying Lumière for $246 million with the proceeds of a $246 million loan from GLPI. We funded the remaining consideration payable with our cash on hand and cash on hand at Tropicana, borrowings under our revolving credit facility and proceeds from our offering of $600 million of 6% senior notes due 2026.</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Substantially concurrently with the acquisition of the real estate portfolio by GLPI, we entered into a triple net master lease for the Tropicana properties acquired by GLPI (“GLPI Master Lease”). The initial annual rent under the terms of the lease was approximately $88 million and is subject to annual escalation. We do not have the ability to terminate the obligations under the Master Lease prior to its expiration without GLPI’s consent.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purchase of the real estate related to Lumière, Tropicana St. Louis RE LLC, a wholly-owned subsidiary of ours, and GLPI entered into a loan agreement, dated as of October 1, 2018 (the “Lumière Loan”), relating to a loan of $246 million by GLPI to Tropicana St. Louis RE to fund the purchase price of the real estate underlying Lumière. The Lumière Loan was guaranteed by us, bore interest at a rate equal to 9.27% and had a maturity date of October 1, 2020. On June 24, 2020, the Company received approval from Missouri Gaming Commission to sell the real estate underlying Lumière to GLPI and leaseback the property under a long-term financing obligation. As of December 31, 2020, the Lumière loan has been satisfied in full and the real estate has been refinanced under a financing obligation.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7, 2018, we completed the acquisition (the “Elgin Acquisition”) of the Grand Victoria Casino (“Elgin”) in Elgin, Illinois. We purchased Elgin for $329 million, including a working capital adjustment totaling $1 million. The Elgin Acquisition was financed using cash on hand and borrowings under the Company’s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Acquisition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September 2018, we entered into a 25-year agreement, which became effective January 29, 2019, with William Hill plc and William Hill U.S. Holdco. Inc. (“William Hill US”), its U.S. subsidiary (together, “William Hill”) pursuant to which we (i) granted to William Hill the right to conduct betting activities, including operating sportsbooks, in retail channels and under our first skin and third skin for online channels with respect to our current and future properties located in the United States and the territories and possessions of the United States, including Puerto Rico and the U.S. Virgin Islands and</w:t>
      </w:r>
    </w:p>
    <w:p>
      <w:pPr>
        <w:spacing w:after="0" w:line="1" w:lineRule="exact"/>
        <w:rPr>
          <w:sz w:val="20"/>
          <w:szCs w:val="20"/>
          <w:color w:val="auto"/>
        </w:rPr>
      </w:pPr>
    </w:p>
    <w:p>
      <w:pPr>
        <w:jc w:val="both"/>
        <w:ind w:firstLine="8"/>
        <w:spacing w:after="0" w:line="269" w:lineRule="auto"/>
        <w:tabs>
          <w:tab w:leader="none" w:pos="267" w:val="left"/>
        </w:tabs>
        <w:numPr>
          <w:ilvl w:val="0"/>
          <w:numId w:val="17"/>
        </w:numPr>
        <w:rPr>
          <w:rFonts w:ascii="Arial" w:cs="Arial" w:eastAsia="Arial" w:hAnsi="Arial"/>
          <w:sz w:val="17"/>
          <w:szCs w:val="17"/>
          <w:color w:val="auto"/>
        </w:rPr>
      </w:pPr>
      <w:r>
        <w:rPr>
          <w:rFonts w:ascii="Arial" w:cs="Arial" w:eastAsia="Arial" w:hAnsi="Arial"/>
          <w:sz w:val="17"/>
          <w:szCs w:val="17"/>
          <w:color w:val="auto"/>
        </w:rPr>
        <w:t>agreed that William Hill will have the right to conduct real money online gaming activities utilizing our second skin available with respect to properties in such territories</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we received a 20% ownership interest in William Hill US with an initial value of approximately $129 million as well as 13 million ordinary shares of William Hill plc with an initial value of approximately $27 million upon closing of the transaction in January 2019. We granted William Hill the right to the use of certain skins in exchange for an equity method investment. The fair value of the William Hill US and William Hill plc shares received has been deferred and is recognized as revenue on a straight-line basis over the 25-year agreement term. The amortization of deferred revenues associated with our equity interests is included in other revenue within our Corporate and Other segment. Additionally, we receive a profit share from the operations of betting and other gaming activities associated with our properties.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of </w:t>
      </w:r>
      <w:r>
        <w:rPr>
          <w:rFonts w:ascii="Arial" w:cs="Arial" w:eastAsia="Arial" w:hAnsi="Arial"/>
          <w:sz w:val="18"/>
          <w:szCs w:val="18"/>
          <w:color w:val="212529"/>
        </w:rPr>
        <w:t>approximately £2.9 billion, or $3.7 billion</w:t>
      </w:r>
      <w:r>
        <w:rPr>
          <w:rFonts w:ascii="Arial" w:cs="Arial" w:eastAsia="Arial" w:hAnsi="Arial"/>
          <w:sz w:val="18"/>
          <w:szCs w:val="18"/>
          <w:color w:val="auto"/>
        </w:rPr>
        <w:t>.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7"/>
          <w:szCs w:val="17"/>
          <w:color w:val="auto"/>
        </w:rPr>
        <w:t xml:space="preserve">provide liquidity to fund the cash purchase price for the proposed acquisition, we entered into various financing transactions. On September 25, 2020, we borrowed $900 million under the CEI Revolving Credit Facility (defined below), which was fully repaid in October 2020. </w:t>
      </w:r>
      <w:r>
        <w:rPr>
          <w:rFonts w:ascii="Arial" w:cs="Arial" w:eastAsia="Arial" w:hAnsi="Arial"/>
          <w:sz w:val="17"/>
          <w:szCs w:val="17"/>
          <w:color w:val="212529"/>
        </w:rPr>
        <w:t>O</w:t>
      </w:r>
      <w:r>
        <w:rPr>
          <w:rFonts w:ascii="Arial" w:cs="Arial" w:eastAsia="Arial" w:hAnsi="Arial"/>
          <w:sz w:val="17"/>
          <w:szCs w:val="17"/>
          <w:color w:val="auto"/>
        </w:rPr>
        <w:t xml:space="preserve">n October 1, 2020, we raised an additional $1.9 billion through a public offering of Company Common Stock which was deposited into an escrow account. </w:t>
      </w:r>
      <w:r>
        <w:rPr>
          <w:rFonts w:ascii="Arial" w:cs="Arial" w:eastAsia="Arial" w:hAnsi="Arial"/>
          <w:sz w:val="17"/>
          <w:szCs w:val="17"/>
          <w:color w:val="212529"/>
        </w:rPr>
        <w:t>As of</w:t>
      </w:r>
      <w:r>
        <w:rPr>
          <w:rFonts w:ascii="Arial" w:cs="Arial" w:eastAsia="Arial" w:hAnsi="Arial"/>
          <w:sz w:val="17"/>
          <w:szCs w:val="17"/>
          <w:color w:val="auto"/>
        </w:rPr>
        <w:t xml:space="preserve"> December 31, 2020, </w:t>
      </w:r>
      <w:r>
        <w:rPr>
          <w:rFonts w:ascii="Arial" w:cs="Arial" w:eastAsia="Arial" w:hAnsi="Arial"/>
          <w:sz w:val="17"/>
          <w:szCs w:val="17"/>
          <w:color w:val="212529"/>
        </w:rPr>
        <w:t xml:space="preserve">these funds in escrow were classified as restricted cash and will remain restricted until the proposed acquisition of William Hill plc closes. </w:t>
      </w:r>
      <w:r>
        <w:rPr>
          <w:rFonts w:ascii="Arial" w:cs="Arial" w:eastAsia="Arial" w:hAnsi="Arial"/>
          <w:sz w:val="17"/>
          <w:szCs w:val="17"/>
          <w:color w:val="000000"/>
        </w:rPr>
        <w:t>In order to</w:t>
      </w:r>
      <w:r>
        <w:rPr>
          <w:rFonts w:ascii="Arial" w:cs="Arial" w:eastAsia="Arial" w:hAnsi="Arial"/>
          <w:sz w:val="17"/>
          <w:szCs w:val="17"/>
          <w:color w:val="212529"/>
        </w:rPr>
        <w:t xml:space="preserve"> manage the risk of appreciation of the GBP denominated purchase price the Company has entered into foreign exchange forward contracts.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proposed acquisition of William Hill plc, on September 29, 2020, the Company entered into a debt financing commitment letter pursuant to which the lenders party thereto have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The proceeds of the Debt Financing will be used (i) to pay a portion of the cash consideration for the proposed acquisition, (ii) to refinance certain of William Hill plc's and its subsidiaries' existing debt, (iii) to pay fees and expenses related to the acquisition and related transactions and (iv) for working capital and general corporate purposes.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Pending negotiation of the loan agreement for the Debt Financing, on October 6, 2020, our newly formed subsidiary entered into a £1.5 billion Interim Facilities Agreement (the “Interim Facilities Agreement”) with Deutsche Bank AG, London Branch and JPMorgan Chase Bank, N.A. to provide: (a) a 90-day £1.0 billion interim asset sale bridge facility and (b) a 90-day £503 million interim cash confirmation bridge facility.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is conditioned on, among other things, the approval of William Hill plc shareholders, which was received on November 19, 2020, and receipt of required regulatory approvals. On December 28, 2020, we obtained the early termination of the waiting period under the Hart-Scott-Rodino Antitrust Improvements Act of 1976 (“HSR Act”) relating to the proposed combination with William Hill plc. A final UK court hearing is scheduled for the last week of March 2021 and we expect to close the acquisition shortly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Group/Flutter Entertainment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2018, the Company entered into a 20-year agreement with The Stars Group Inc. (“TSG”) pursuant to which we agreed to provide TSG with options to obtain access to our second skin for online sports wagering and third skin for real money online gaming and poker, in each case with respect to states in which our properties are located. Under the terms of the agreement, we received 1 million TSG common shares. The fair value of the shares received has been deferred and is recognized as revenue on a straight-line basis over the 20-year agreement term. All shares are subject to a 1 year restriction on transfer from the date they are received. On May 5, 2020, Flutter Entertainment plc (“Flutter”) completed the acquisition of all of the issued and outstanding common shares of TSG in exchange for 0.2253 Flutter shares per common share of TSG. In addition, we receive a revenue share from the operation of the applicable verticals by TSG under our licenses. In December 2020, the Company sold 121,285 of these Flutter shares for net proceeds of approximately $24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Segment results in this MD&amp;A are presented consistent with the way our management assesses the operating results, assesses performance and allocates resources of the Company, which is a consolidated view that adjusts for the effect of certain transactions related to reportable segments within the Company. We view each property as an operating segment. Prior to the Merger, our principal operating activities occurred in five geographic regions and reportable segments: West, Midwest, South, East and Central, in addition to Corporate and Other. Following the Merger, our principal operating activities occur in three regionally-focused reportable segments. The Company’s reportable segments are: (1) Las Vegas, (2) Regional, and (3) Managed, International, CIE, in addition to Corporate and Other. See Item 2. Properties for listing of properties by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information included in this Item 7 for the period after our acquisition of Former Caesars on July 20, 2020 is not fully comparable to the periods prior to the acquisition. In addition, the presentation of financial information included in this Item 7 for the periods after our sales and acquisitions of various properties are not fully comparable to the periods prior to their respective sale dates.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audited consolidated financial statements and the notes to those statements included in this Annual Report on Form 10-K.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years ended December 31, 2019 and 2018 has been reclassified to Casino and pari-mutuel commissions expense and General and administrative expense based on the nature of the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retail shops, racing,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highlights the significant factors impacting our financial results during the years ended December 31, 2020, 2019 and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Transaction Costs</w:t>
      </w:r>
    </w:p>
    <w:p>
      <w:pPr>
        <w:spacing w:after="0" w:line="117"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Caesars </w:t>
      </w:r>
      <w:r>
        <w:rPr>
          <w:rFonts w:ascii="Arial" w:cs="Arial" w:eastAsia="Arial" w:hAnsi="Arial"/>
          <w:sz w:val="18"/>
          <w:szCs w:val="18"/>
          <w:color w:val="auto"/>
        </w:rPr>
        <w:t>– The Merger closed on July 20, 2020. Transaction costs related to our acquisition of Former Caesars totaled $160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$80 million for the years ended December 31, 2020 and 2019, respectively.</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Tropicana </w:t>
      </w:r>
      <w:r>
        <w:rPr>
          <w:rFonts w:ascii="Arial" w:cs="Arial" w:eastAsia="Arial" w:hAnsi="Arial"/>
          <w:sz w:val="18"/>
          <w:szCs w:val="18"/>
          <w:color w:val="auto"/>
        </w:rPr>
        <w:t>– Our results of operations for the year ended December 31, 2018 include incremental revenues and expenses attributable to the seven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we acquired in our acquisition of Tropicana on October 1, 2018. Transaction expenses related to our acquisition of Tropicana totaled $4 million and $18 million for the years ended December 31, 2019 and 2018, respectively.</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Elgin </w:t>
      </w:r>
      <w:r>
        <w:rPr>
          <w:rFonts w:ascii="Arial" w:cs="Arial" w:eastAsia="Arial" w:hAnsi="Arial"/>
          <w:sz w:val="18"/>
          <w:szCs w:val="18"/>
          <w:color w:val="auto"/>
        </w:rPr>
        <w:t>– Our results of operations for the year ended December 31, 2018 include incremental revenues and expenses for the period of August 7,</w:t>
      </w:r>
      <w:r>
        <w:rPr>
          <w:rFonts w:ascii="Arial" w:cs="Arial" w:eastAsia="Arial" w:hAnsi="Arial"/>
          <w:sz w:val="18"/>
          <w:szCs w:val="18"/>
          <w:i w:val="1"/>
          <w:iCs w:val="1"/>
          <w:color w:val="auto"/>
        </w:rPr>
        <w:t xml:space="preserve"> </w:t>
      </w:r>
      <w:r>
        <w:rPr>
          <w:rFonts w:ascii="Arial" w:cs="Arial" w:eastAsia="Arial" w:hAnsi="Arial"/>
          <w:sz w:val="18"/>
          <w:szCs w:val="18"/>
          <w:color w:val="auto"/>
        </w:rPr>
        <w:t>2018 through December 31, 2018 attributable to Elgin. Transaction expenses related to our acquisition of Elgin totaled $0.2 million and $4 million for the years ended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 and Discontinued Operations</w:t>
      </w:r>
    </w:p>
    <w:p>
      <w:pPr>
        <w:spacing w:after="0" w:line="117" w:lineRule="exact"/>
        <w:rPr>
          <w:sz w:val="20"/>
          <w:szCs w:val="20"/>
          <w:color w:val="auto"/>
        </w:rPr>
      </w:pPr>
    </w:p>
    <w:p>
      <w:pPr>
        <w:jc w:val="both"/>
        <w:ind w:left="660" w:hanging="328"/>
        <w:spacing w:after="0" w:line="269"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Divestitures – </w:t>
      </w:r>
      <w:r>
        <w:rPr>
          <w:rFonts w:ascii="Arial" w:cs="Arial" w:eastAsia="Arial" w:hAnsi="Arial"/>
          <w:sz w:val="17"/>
          <w:szCs w:val="17"/>
          <w:color w:val="auto"/>
        </w:rPr>
        <w:t>We closed the sale of Eldorado Shreveport on December 23, 2020 and recorded a gain of approximately $29 million during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We closed the sales of Kansas City and Vicksburg on July 1, 2020 and recorded a gain of approximately $8 million during the year ended December 31, 2020. We closed the sales of Presque and Nemacolin on January 11, 2019 and March 8, 2019, respectively, and recorded a total net gain of $22 million, substantially related to the sale of Presque. We closed the sales of Mountaineer, Cape Girardeau and Caruthersville on December 6, 2019 and recorded a net gain of $29 million during the fourth quarter of 2019. The properties that have been sold are collectively referred to as “Divestitures.” In conjunction with the classification of MontBleu and Baton Rouge’s operations as assets held for sale as a result of the announced sale, impairment charges totaling $45 million and $50 million, respectively, were recorded during the year ended December 31, 2020 due to the carrying value exceeding the estimated net sales proceeds. None of the sales listed met requirements for presentation as discontinued operations and the results of operations of the relevant entities are included in income from continuing operations for the periods prior to their respective closing dates.</w:t>
      </w:r>
    </w:p>
    <w:p>
      <w:pPr>
        <w:spacing w:after="0" w:line="7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 As result of the Merger, Former Caesars properties, including Harrah’s Louisiana Downs, Caesars Southern Indiana,</w:t>
      </w:r>
      <w:r>
        <w:rPr>
          <w:rFonts w:ascii="Arial" w:cs="Arial" w:eastAsia="Arial" w:hAnsi="Arial"/>
          <w:sz w:val="17"/>
          <w:szCs w:val="17"/>
          <w:i w:val="1"/>
          <w:iCs w:val="1"/>
          <w:color w:val="auto"/>
        </w:rPr>
        <w:t xml:space="preserve"> </w:t>
      </w:r>
      <w:r>
        <w:rPr>
          <w:rFonts w:ascii="Arial" w:cs="Arial" w:eastAsia="Arial" w:hAnsi="Arial"/>
          <w:sz w:val="17"/>
          <w:szCs w:val="17"/>
          <w:color w:val="auto"/>
        </w:rPr>
        <w:t>Horseshoe Hammond, Harrah’s Reno, Caesars UK group, including Emerald Resort &amp; Casino, and Bally’s Atlantic City, have met held for sale criteria as of the date of the closing of the Merger. The sales of these properties have or are expected to close within one year from the date of the closing of the Merger and the properties are classified as discontinued operations. Additionally, we closed the sale of Harrah’s Reno on September 30, 2020 and Bally’s Atlantic City on November 18, 2020. As a result of the sale of Bally’s Atlantic City, Caesars agreed to reimburse Bally’s Corporation $30 million for capital expenditures required at Bally’s Atlantic City and recorded a liability within Accrued other liabilities and a charge to Discontinued operations, net of income taxes.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ind w:left="660" w:right="20"/>
        <w:spacing w:after="0" w:line="277" w:lineRule="auto"/>
        <w:rPr>
          <w:sz w:val="20"/>
          <w:szCs w:val="20"/>
          <w:color w:val="auto"/>
        </w:rPr>
      </w:pPr>
      <w:r>
        <w:rPr>
          <w:rFonts w:ascii="Arial" w:cs="Arial" w:eastAsia="Arial" w:hAnsi="Arial"/>
          <w:sz w:val="18"/>
          <w:szCs w:val="18"/>
          <w:color w:val="auto"/>
        </w:rPr>
        <w:t>commitment will be satisfied by adjusting obligations under certain sportsbook operating agreements between Bally’s Corporation and the Company following our expected acquisition of William Hill.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and Lease Transactions</w:t>
      </w:r>
    </w:p>
    <w:p>
      <w:pPr>
        <w:spacing w:after="0" w:line="117" w:lineRule="exact"/>
        <w:rPr>
          <w:sz w:val="20"/>
          <w:szCs w:val="20"/>
          <w:color w:val="auto"/>
        </w:rPr>
      </w:pPr>
    </w:p>
    <w:p>
      <w:pPr>
        <w:jc w:val="both"/>
        <w:ind w:left="660" w:hanging="328"/>
        <w:spacing w:after="0" w:line="293"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New Debt Transactions related to the Merger </w:t>
      </w:r>
      <w:r>
        <w:rPr>
          <w:rFonts w:ascii="Arial" w:cs="Arial" w:eastAsia="Arial" w:hAnsi="Arial"/>
          <w:sz w:val="16"/>
          <w:szCs w:val="16"/>
          <w:color w:val="auto"/>
        </w:rPr>
        <w:t>– In connection with the Merger, we issued new notes, entered into a new credit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certain of Former Caesars indebtedness. In addition, we terminated previously outstanding credit agreements and discharged outstanding notes. As a result of these transactions, described more fully in the Liquidity and Capital Resources section below, we recorded a loss on extinguishment of debt of $132 million during the year ended December 31, 2020, which is recorded within Loss on extinguishment of debt on the Statement of Operations, as well as an additional $388 million of interest expense for the year ended December 31, 2020 compared to 2019. We also recorded a net gain of $16 million on conversions related to the 5% Convertible Notes during the year ended December 31, 2020.</w:t>
      </w:r>
    </w:p>
    <w:p>
      <w:pPr>
        <w:spacing w:after="0" w:line="56" w:lineRule="exact"/>
        <w:rPr>
          <w:rFonts w:ascii="Arial" w:cs="Arial" w:eastAsia="Arial" w:hAnsi="Arial"/>
          <w:sz w:val="16"/>
          <w:szCs w:val="16"/>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VICI Leases </w:t>
      </w:r>
      <w:r>
        <w:rPr>
          <w:rFonts w:ascii="Arial" w:cs="Arial" w:eastAsia="Arial" w:hAnsi="Arial"/>
          <w:sz w:val="17"/>
          <w:szCs w:val="17"/>
          <w:color w:val="auto"/>
        </w:rPr>
        <w:t>– Upon consummation of the Merger, CEI assumed obligations of certain real property assets leased from VICI by Former Caesars</w:t>
      </w:r>
      <w:r>
        <w:rPr>
          <w:rFonts w:ascii="Arial" w:cs="Arial" w:eastAsia="Arial" w:hAnsi="Arial"/>
          <w:sz w:val="17"/>
          <w:szCs w:val="17"/>
          <w:i w:val="1"/>
          <w:iCs w:val="1"/>
          <w:color w:val="auto"/>
        </w:rPr>
        <w:t xml:space="preserve"> </w:t>
      </w:r>
      <w:r>
        <w:rPr>
          <w:rFonts w:ascii="Arial" w:cs="Arial" w:eastAsia="Arial" w:hAnsi="Arial"/>
          <w:sz w:val="17"/>
          <w:szCs w:val="17"/>
          <w:color w:val="auto"/>
        </w:rPr>
        <w:t>under various lease agreements. We recorded interest expense of $491 million during the year ended December 31, 2020.</w:t>
      </w:r>
    </w:p>
    <w:p>
      <w:pPr>
        <w:spacing w:after="0" w:line="38"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0"/>
        </w:numPr>
        <w:rPr>
          <w:rFonts w:ascii="Arial" w:cs="Arial" w:eastAsia="Arial" w:hAnsi="Arial"/>
          <w:sz w:val="16"/>
          <w:szCs w:val="16"/>
          <w:i w:val="1"/>
          <w:iCs w:val="1"/>
          <w:color w:val="212529"/>
        </w:rPr>
      </w:pPr>
      <w:r>
        <w:rPr>
          <w:rFonts w:ascii="Arial" w:cs="Arial" w:eastAsia="Arial" w:hAnsi="Arial"/>
          <w:sz w:val="16"/>
          <w:szCs w:val="16"/>
          <w:i w:val="1"/>
          <w:iCs w:val="1"/>
          <w:color w:val="auto"/>
        </w:rPr>
        <w:t xml:space="preserve">GLPI Master Lease </w:t>
      </w:r>
      <w:r>
        <w:rPr>
          <w:rFonts w:ascii="Arial" w:cs="Arial" w:eastAsia="Arial" w:hAnsi="Arial"/>
          <w:sz w:val="16"/>
          <w:szCs w:val="16"/>
          <w:color w:val="auto"/>
        </w:rPr>
        <w:t>– We accounted for the GLPI Master Lease as a deferred financing obligation effective October 1, 2018. We recorded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 the amount of $104 million, $99 million and $24 million during the years ended December 31, 2020, 2019 and 2018, respectively, which was in excess of the cash lease payments as we continue to accrete up the liability during the earlier periods of the GLPI Master Lease.</w:t>
      </w:r>
    </w:p>
    <w:p>
      <w:pPr>
        <w:spacing w:after="0" w:line="40" w:lineRule="exact"/>
        <w:rPr>
          <w:rFonts w:ascii="Arial" w:cs="Arial" w:eastAsia="Arial" w:hAnsi="Arial"/>
          <w:sz w:val="16"/>
          <w:szCs w:val="16"/>
          <w:i w:val="1"/>
          <w:iCs w:val="1"/>
          <w:color w:val="212529"/>
        </w:rPr>
      </w:pPr>
    </w:p>
    <w:p>
      <w:pPr>
        <w:jc w:val="both"/>
        <w:ind w:left="660" w:hanging="328"/>
        <w:spacing w:after="0" w:line="263"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Tropicana Financing </w:t>
      </w:r>
      <w:r>
        <w:rPr>
          <w:rFonts w:ascii="Arial" w:cs="Arial" w:eastAsia="Arial" w:hAnsi="Arial"/>
          <w:sz w:val="18"/>
          <w:szCs w:val="18"/>
          <w:color w:val="auto"/>
        </w:rPr>
        <w:t>– On September 20, 2018, we issued $600 million in aggregate principal amount of 6.0% senior notes due 2026.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notes were used to fund the Tropicana Acquisition which closed on October 1, 2018. We incurred $10 million of incremental interest expense on these notes for the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Factors</w:t>
      </w:r>
    </w:p>
    <w:p>
      <w:pPr>
        <w:spacing w:after="0" w:line="117" w:lineRule="exact"/>
        <w:rPr>
          <w:sz w:val="20"/>
          <w:szCs w:val="20"/>
          <w:color w:val="auto"/>
        </w:rPr>
      </w:pPr>
    </w:p>
    <w:p>
      <w:pPr>
        <w:jc w:val="both"/>
        <w:ind w:left="660" w:hanging="328"/>
        <w:spacing w:after="0" w:line="286" w:lineRule="auto"/>
        <w:tabs>
          <w:tab w:leader="none" w:pos="655" w:val="left"/>
        </w:tabs>
        <w:numPr>
          <w:ilvl w:val="0"/>
          <w:numId w:val="21"/>
        </w:numPr>
        <w:rPr>
          <w:rFonts w:ascii="Arial" w:cs="Arial" w:eastAsia="Arial" w:hAnsi="Arial"/>
          <w:sz w:val="16"/>
          <w:szCs w:val="16"/>
          <w:b w:val="1"/>
          <w:bCs w:val="1"/>
          <w:i w:val="1"/>
          <w:iCs w:val="1"/>
          <w:color w:val="212529"/>
        </w:rPr>
      </w:pPr>
      <w:r>
        <w:rPr>
          <w:rFonts w:ascii="Arial" w:cs="Arial" w:eastAsia="Arial" w:hAnsi="Arial"/>
          <w:sz w:val="16"/>
          <w:szCs w:val="16"/>
          <w:i w:val="1"/>
          <w:iCs w:val="1"/>
          <w:color w:val="auto"/>
        </w:rPr>
        <w:t xml:space="preserve">COVID-19 Public Health Emergency – </w:t>
      </w:r>
      <w:r>
        <w:rPr>
          <w:rFonts w:ascii="Arial" w:cs="Arial" w:eastAsia="Arial" w:hAnsi="Arial"/>
          <w:sz w:val="16"/>
          <w:szCs w:val="16"/>
          <w:color w:val="auto"/>
        </w:rPr>
        <w:t>In January 2020, an outbreak of a new strain of coronavirus (“COVID-19”) was identified and has since</w:t>
      </w:r>
      <w:r>
        <w:rPr>
          <w:rFonts w:ascii="Arial" w:cs="Arial" w:eastAsia="Arial" w:hAnsi="Arial"/>
          <w:sz w:val="16"/>
          <w:szCs w:val="16"/>
          <w:i w:val="1"/>
          <w:iCs w:val="1"/>
          <w:color w:val="auto"/>
        </w:rPr>
        <w:t xml:space="preserve"> </w:t>
      </w:r>
      <w:r>
        <w:rPr>
          <w:rFonts w:ascii="Arial" w:cs="Arial" w:eastAsia="Arial" w:hAnsi="Arial"/>
          <w:sz w:val="16"/>
          <w:szCs w:val="16"/>
          <w:color w:val="auto"/>
        </w:rPr>
        <w:t>spread throughout much of the world, including the United States. All of our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On May 15, 2020, we began reopening our properties and have resumed certain operations at all of our properties as of December 31, 2020, with the exception of additional temporary closures of Caesars Windsor, Harrah’s Philadelphia, and our properties in Illinois. Subsequently, Harrah’s Philadelphia and our properties in Illinois have reopened. The COVID-19 public health emergency has had a material adverse effect on our business, financial condition and results of operations for the year ended December 31, 2020. We continued to pay our full-time employees through April 10, 2020, including tips and tokens. Effective April 11, 2020, we furloughed approximately 90% of our employees, implemented salary reductions and committed to continue to provide benefits to our employees during the duration of their respective furlough period. A portion of our workforce has returned to service as the properties have resumed with limited capacities and in compliance with operating restrictions imposed by governmental or tribal orders, directives, and guidelines. Due to the impact of the ongoing COVID-19 public health emergency on our results of operations, we obtained waivers on the financial covenants in our Former Caesars credit facility agreement and the GLPI Master Lease.</w:t>
      </w:r>
    </w:p>
    <w:p>
      <w:pPr>
        <w:spacing w:after="0" w:line="119" w:lineRule="exact"/>
        <w:rPr>
          <w:rFonts w:ascii="Arial" w:cs="Arial" w:eastAsia="Arial" w:hAnsi="Arial"/>
          <w:sz w:val="16"/>
          <w:szCs w:val="16"/>
          <w:b w:val="1"/>
          <w:bCs w:val="1"/>
          <w:i w:val="1"/>
          <w:iCs w:val="1"/>
          <w:color w:val="212529"/>
        </w:rPr>
      </w:pPr>
    </w:p>
    <w:p>
      <w:pPr>
        <w:jc w:val="both"/>
        <w:ind w:left="660"/>
        <w:spacing w:after="0" w:line="271" w:lineRule="auto"/>
        <w:rPr>
          <w:rFonts w:ascii="Arial" w:cs="Arial" w:eastAsia="Arial" w:hAnsi="Arial"/>
          <w:sz w:val="16"/>
          <w:szCs w:val="16"/>
          <w:b w:val="1"/>
          <w:bCs w:val="1"/>
          <w:i w:val="1"/>
          <w:iCs w:val="1"/>
          <w:color w:val="212529"/>
        </w:rPr>
      </w:pPr>
      <w:r>
        <w:rPr>
          <w:rFonts w:ascii="Arial" w:cs="Arial" w:eastAsia="Arial" w:hAnsi="Arial"/>
          <w:sz w:val="17"/>
          <w:szCs w:val="17"/>
          <w:color w:val="auto"/>
        </w:rPr>
        <w:t>The extent of the ongoing and future effects of the COVID-19 public health emergency on our business and the casino resort industry generally is uncertain, but we expect that it will continue to have a significant impact on our business, results of operations and financial condition. The extent and duration of the impact of COVID-19 on our business, results of operations and financial condition will ultimately depend on future developments, including but not limited to, the duration and severity of the outbreak, the efficacy and availability of vaccines, restrictions on operations imposed by governmental authorities, the potential for authorities reimposing stay at home orders or additional restrictions in response to continued developments with the COVID-19 public health emergency, our ability to adapt to evolving operating procedures, the impact on consumer demand and discretionary spending, the length of time it takes for demand to return and our ability to adjust our cost structures for the duration of the outbreak’s effect on our operations.</w:t>
      </w:r>
    </w:p>
    <w:p>
      <w:pPr>
        <w:spacing w:after="0" w:line="124" w:lineRule="exact"/>
        <w:rPr>
          <w:rFonts w:ascii="Arial" w:cs="Arial" w:eastAsia="Arial" w:hAnsi="Arial"/>
          <w:sz w:val="16"/>
          <w:szCs w:val="16"/>
          <w:b w:val="1"/>
          <w:bCs w:val="1"/>
          <w:i w:val="1"/>
          <w:iCs w:val="1"/>
          <w:color w:val="212529"/>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As a result of declines in recent performance and the expected impact on future cash flows as a result of COVID-19,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impairment charges in our Regional segment related to goodwill and trade names totaling $100 million and $16 million, respectively, during the year ended December 31, 2020. In addition, as a result of the agreements to sell properties in our Regional segment, as well as certain corporate assets, impairment charges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color w:val="auto"/>
        </w:rPr>
        <w:t>totaling $99 million were recorded during the year ended December 31, 2020 due to the carrying value exceeding the estimated net sales proceeds.</w:t>
      </w:r>
    </w:p>
    <w:p>
      <w:pPr>
        <w:spacing w:after="0" w:line="140" w:lineRule="exact"/>
        <w:rPr>
          <w:sz w:val="20"/>
          <w:szCs w:val="20"/>
          <w:color w:val="auto"/>
        </w:rPr>
      </w:pPr>
    </w:p>
    <w:p>
      <w:pPr>
        <w:jc w:val="both"/>
        <w:ind w:left="660" w:hanging="328"/>
        <w:spacing w:after="0" w:line="272"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Weather and Construction Disruption – </w:t>
      </w:r>
      <w:r>
        <w:rPr>
          <w:rFonts w:ascii="Arial" w:cs="Arial" w:eastAsia="Arial" w:hAnsi="Arial"/>
          <w:sz w:val="17"/>
          <w:szCs w:val="17"/>
          <w:color w:val="auto"/>
        </w:rPr>
        <w:t>Our Regional segment was negatively impacted by severe weather, including flooding, during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quarter of 2019 compared to the same current year period. Additionally, our Regional segment was negatively impacted by disruption to our casino floor and hotel availability associated with renovation projects at our Black Hawk properties during the construction period from January to June 2019. In late August 2020, our Regional segment was negatively impacted by Hurricane Laura, causing severe damage to Isle of Capri Casino Hotel Lake Charles (“Lake Charles”), which remains closed as the construction of a new land-based casino is in process. We </w:t>
      </w:r>
      <w:r>
        <w:rPr>
          <w:rFonts w:ascii="Arial" w:cs="Arial" w:eastAsia="Arial" w:hAnsi="Arial"/>
          <w:sz w:val="17"/>
          <w:szCs w:val="17"/>
          <w:color w:val="212529"/>
        </w:rPr>
        <w:t>recorded an</w:t>
      </w:r>
      <w:r>
        <w:rPr>
          <w:rFonts w:ascii="Arial" w:cs="Arial" w:eastAsia="Arial" w:hAnsi="Arial"/>
          <w:sz w:val="17"/>
          <w:szCs w:val="17"/>
          <w:color w:val="auto"/>
        </w:rPr>
        <w:t xml:space="preserve"> </w:t>
      </w:r>
      <w:r>
        <w:rPr>
          <w:rFonts w:ascii="Arial" w:cs="Arial" w:eastAsia="Arial" w:hAnsi="Arial"/>
          <w:sz w:val="17"/>
          <w:szCs w:val="17"/>
          <w:color w:val="212529"/>
        </w:rPr>
        <w:t xml:space="preserve">insurance receivable of </w:t>
      </w:r>
      <w:r>
        <w:rPr>
          <w:rFonts w:ascii="Arial" w:cs="Arial" w:eastAsia="Arial" w:hAnsi="Arial"/>
          <w:sz w:val="17"/>
          <w:szCs w:val="17"/>
          <w:color w:val="000000"/>
        </w:rPr>
        <w:t>$44 million</w:t>
      </w:r>
      <w:r>
        <w:rPr>
          <w:rFonts w:ascii="Arial" w:cs="Arial" w:eastAsia="Arial" w:hAnsi="Arial"/>
          <w:sz w:val="17"/>
          <w:szCs w:val="17"/>
          <w:color w:val="212529"/>
        </w:rPr>
        <w:t xml:space="preserve">, of which </w:t>
      </w:r>
      <w:r>
        <w:rPr>
          <w:rFonts w:ascii="Arial" w:cs="Arial" w:eastAsia="Arial" w:hAnsi="Arial"/>
          <w:sz w:val="17"/>
          <w:szCs w:val="17"/>
          <w:color w:val="000000"/>
        </w:rPr>
        <w:t>$15 million</w:t>
      </w:r>
      <w:r>
        <w:rPr>
          <w:rFonts w:ascii="Arial" w:cs="Arial" w:eastAsia="Arial" w:hAnsi="Arial"/>
          <w:sz w:val="17"/>
          <w:szCs w:val="17"/>
          <w:color w:val="212529"/>
        </w:rPr>
        <w:t xml:space="preserve"> related to fixed asset impairments and </w:t>
      </w:r>
      <w:r>
        <w:rPr>
          <w:rFonts w:ascii="Arial" w:cs="Arial" w:eastAsia="Arial" w:hAnsi="Arial"/>
          <w:sz w:val="17"/>
          <w:szCs w:val="17"/>
          <w:color w:val="000000"/>
        </w:rPr>
        <w:t>$29 million</w:t>
      </w:r>
      <w:r>
        <w:rPr>
          <w:rFonts w:ascii="Arial" w:cs="Arial" w:eastAsia="Arial" w:hAnsi="Arial"/>
          <w:sz w:val="17"/>
          <w:szCs w:val="17"/>
          <w:color w:val="212529"/>
        </w:rPr>
        <w:t xml:space="preserve"> related to remediation costs and repairs that have been incurred during year </w:t>
      </w:r>
      <w:r>
        <w:rPr>
          <w:rFonts w:ascii="Arial" w:cs="Arial" w:eastAsia="Arial" w:hAnsi="Arial"/>
          <w:sz w:val="17"/>
          <w:szCs w:val="17"/>
          <w:color w:val="000000"/>
        </w:rPr>
        <w:t>ended December 31, 2020</w:t>
      </w:r>
      <w:r>
        <w:rPr>
          <w:rFonts w:ascii="Arial" w:cs="Arial" w:eastAsia="Arial" w:hAnsi="Arial"/>
          <w:sz w:val="17"/>
          <w:szCs w:val="17"/>
          <w:color w:val="212529"/>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Years Ended December 31,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17"/>
                <w:szCs w:val="17"/>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751</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2,520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2,055</w:t>
            </w:r>
          </w:p>
        </w:tc>
      </w:tr>
      <w:tr>
        <w:trPr>
          <w:trHeight w:val="24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6"/>
                <w:szCs w:val="16"/>
                <w:color w:val="auto"/>
              </w:rPr>
              <w:t>Managed, International, CIE</w:t>
            </w: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r>
      <w:tr>
        <w:trPr>
          <w:trHeight w:val="230"/>
        </w:trPr>
        <w:tc>
          <w:tcPr>
            <w:tcW w:w="20" w:type="dxa"/>
            <w:vAlign w:val="bottom"/>
          </w:tcPr>
          <w:p>
            <w:pPr>
              <w:spacing w:after="0"/>
              <w:rPr>
                <w:sz w:val="20"/>
                <w:szCs w:val="20"/>
                <w:color w:val="auto"/>
              </w:rPr>
            </w:pPr>
          </w:p>
        </w:tc>
        <w:tc>
          <w:tcPr>
            <w:tcW w:w="5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3,474</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2,056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6"/>
                <w:szCs w:val="16"/>
                <w:b w:val="1"/>
                <w:bCs w:val="1"/>
                <w:color w:val="auto"/>
              </w:rPr>
              <w:t>Net (loss) income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(1,758)</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95</w:t>
            </w:r>
          </w:p>
        </w:tc>
      </w:tr>
      <w:tr>
        <w:trPr>
          <w:trHeight w:val="266"/>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548</w:t>
            </w:r>
          </w:p>
        </w:tc>
      </w:tr>
      <w:tr>
        <w:trPr>
          <w:trHeight w:val="253"/>
        </w:trPr>
        <w:tc>
          <w:tcPr>
            <w:tcW w:w="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International, CIE</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5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w:t>
            </w:r>
          </w:p>
        </w:tc>
      </w:tr>
      <w:tr>
        <w:trPr>
          <w:trHeight w:val="250"/>
        </w:trPr>
        <w:tc>
          <w:tcPr>
            <w:tcW w:w="2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Segment Adjusted EBITDA</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Net (loss) income margin </w:t>
            </w:r>
            <w:r>
              <w:rPr>
                <w:rFonts w:ascii="Arial" w:cs="Arial" w:eastAsia="Arial" w:hAnsi="Arial"/>
                <w:sz w:val="21"/>
                <w:szCs w:val="21"/>
                <w:i w:val="1"/>
                <w:iCs w:val="1"/>
                <w:color w:val="auto"/>
                <w:vertAlign w:val="superscript"/>
              </w:rPr>
              <w:t>(c)</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10"/>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25.1 %</w:t>
            </w: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jc w:val="both"/>
        <w:ind w:left="340" w:hanging="332"/>
        <w:spacing w:after="0" w:line="241" w:lineRule="auto"/>
        <w:tabs>
          <w:tab w:leader="none" w:pos="327" w:val="left"/>
        </w:tabs>
        <w:numPr>
          <w:ilvl w:val="0"/>
          <w:numId w:val="23"/>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Corporate and Other includes revenues related to certain licensing revenue and various revenue sharing agreements. Corporate and Other expenses include corporate overhead costs, which consist of certain expenses, such as: payroll, professional fees, travel expenses and other general and administrative expenses that do not directly relate to or have not otherwise been allocated to a property. Expenses incurred for corporate activities that are directly attributable to a property or are otherwise incurred to support a property are allocated to each property.</w:t>
      </w:r>
    </w:p>
    <w:p>
      <w:pPr>
        <w:spacing w:after="0" w:line="1" w:lineRule="exact"/>
        <w:rPr>
          <w:rFonts w:ascii="Arial" w:cs="Arial" w:eastAsia="Arial" w:hAnsi="Arial"/>
          <w:sz w:val="17"/>
          <w:szCs w:val="17"/>
          <w:i w:val="1"/>
          <w:iCs w:val="1"/>
          <w:color w:val="auto"/>
          <w:vertAlign w:val="superscript"/>
        </w:rPr>
      </w:pPr>
    </w:p>
    <w:p>
      <w:pPr>
        <w:ind w:left="340" w:hanging="332"/>
        <w:spacing w:after="0" w:line="204" w:lineRule="auto"/>
        <w:tabs>
          <w:tab w:leader="none" w:pos="327"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description of Adjusted EBITDA and a reconciliation of net (loss) income to Adjusted EBITDA related margins.</w:t>
      </w:r>
    </w:p>
    <w:p>
      <w:pPr>
        <w:spacing w:after="0" w:line="1" w:lineRule="exact"/>
        <w:rPr>
          <w:rFonts w:ascii="Arial" w:cs="Arial" w:eastAsia="Arial" w:hAnsi="Arial"/>
          <w:sz w:val="19"/>
          <w:szCs w:val="19"/>
          <w:i w:val="1"/>
          <w:iCs w:val="1"/>
          <w:color w:val="auto"/>
          <w:vertAlign w:val="superscript"/>
        </w:rPr>
      </w:pPr>
    </w:p>
    <w:p>
      <w:pPr>
        <w:ind w:left="320" w:hanging="312"/>
        <w:spacing w:after="0" w:line="186" w:lineRule="auto"/>
        <w:tabs>
          <w:tab w:leader="none" w:pos="320"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(loss) income margin is calculated as net (loss) income divided by net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comparison of the years ended December 31, 2020, 2019 and 2018</w:t>
      </w:r>
    </w:p>
    <w:p>
      <w:pPr>
        <w:spacing w:after="0" w:line="171" w:lineRule="exact"/>
        <w:rPr>
          <w:sz w:val="20"/>
          <w:szCs w:val="20"/>
          <w:color w:val="auto"/>
        </w:rPr>
      </w:pPr>
    </w:p>
    <w:p>
      <w:pPr>
        <w:jc w:val="both"/>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Comparisons between 2020 and 2019 are described below. A discussion of changes in our results of operations between year ended December 31, 2019 </w:t>
      </w:r>
      <w:hyperlink r:id="rId52">
        <w:r>
          <w:rPr>
            <w:rFonts w:ascii="Arial" w:cs="Arial" w:eastAsia="Arial" w:hAnsi="Arial"/>
            <w:sz w:val="18"/>
            <w:szCs w:val="18"/>
            <w:u w:val="single" w:color="auto"/>
            <w:color w:val="auto"/>
          </w:rPr>
          <w:t>compared to 2018 has been omitted from this Annual Report on Form 10-K and can be found in “</w:t>
        </w:r>
        <w:r>
          <w:rPr>
            <w:rFonts w:ascii="Arial" w:cs="Arial" w:eastAsia="Arial" w:hAnsi="Arial"/>
            <w:sz w:val="18"/>
            <w:szCs w:val="18"/>
            <w:u w:val="single" w:color="auto"/>
            <w:color w:val="0000FF"/>
          </w:rPr>
          <w:t>Item 7 - Management's Discussion and Analysis of</w:t>
        </w:r>
      </w:hyperlink>
      <w:r>
        <w:rPr>
          <w:rFonts w:ascii="Arial" w:cs="Arial" w:eastAsia="Arial" w:hAnsi="Arial"/>
          <w:sz w:val="18"/>
          <w:szCs w:val="18"/>
          <w:u w:val="single" w:color="auto"/>
          <w:color w:val="auto"/>
        </w:rPr>
        <w:t xml:space="preserve"> </w:t>
      </w:r>
      <w:hyperlink r:id="rId52">
        <w:r>
          <w:rPr>
            <w:rFonts w:ascii="Arial" w:cs="Arial" w:eastAsia="Arial" w:hAnsi="Arial"/>
            <w:sz w:val="18"/>
            <w:szCs w:val="18"/>
            <w:u w:val="single" w:color="auto"/>
            <w:color w:val="0000FF"/>
          </w:rPr>
          <w:t>Financial Condition and Results of Operations - Year Ended December 31, 2019 Compared to the Year Ended December 31, 2018</w:t>
        </w:r>
        <w:r>
          <w:rPr>
            <w:rFonts w:ascii="Arial" w:cs="Arial" w:eastAsia="Arial" w:hAnsi="Arial"/>
            <w:sz w:val="18"/>
            <w:szCs w:val="18"/>
            <w:u w:val="single" w:color="auto"/>
            <w:color w:val="000000"/>
          </w:rPr>
          <w:t>” of the Company’s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Report on Form 10-K for the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6345555</wp:posOffset>
            </wp:positionH>
            <wp:positionV relativeFrom="paragraph">
              <wp:posOffset>-309245</wp:posOffset>
            </wp:positionV>
            <wp:extent cx="7886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(Dollars in millions)</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1"/>
        </w:trPr>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Net revenues:</w:t>
            </w:r>
          </w:p>
        </w:tc>
        <w:tc>
          <w:tcPr>
            <w:tcW w:w="200" w:type="dxa"/>
            <w:vAlign w:val="bottom"/>
          </w:tcPr>
          <w:p>
            <w:pPr>
              <w:spacing w:after="0"/>
              <w:rPr>
                <w:sz w:val="20"/>
                <w:szCs w:val="20"/>
                <w:color w:val="auto"/>
              </w:rPr>
            </w:pPr>
          </w:p>
        </w:tc>
      </w:tr>
      <w:tr>
        <w:trPr>
          <w:trHeight w:val="230"/>
        </w:trPr>
        <w:tc>
          <w:tcPr>
            <w:tcW w:w="2740" w:type="dxa"/>
            <w:vAlign w:val="bottom"/>
            <w:gridSpan w:val="2"/>
          </w:tcPr>
          <w:p>
            <w:pPr>
              <w:ind w:left="220"/>
              <w:spacing w:after="0"/>
              <w:rPr>
                <w:sz w:val="20"/>
                <w:szCs w:val="20"/>
                <w:color w:val="auto"/>
              </w:rPr>
            </w:pPr>
            <w:r>
              <w:rPr>
                <w:rFonts w:ascii="Arial" w:cs="Arial" w:eastAsia="Arial" w:hAnsi="Arial"/>
                <w:sz w:val="16"/>
                <w:szCs w:val="16"/>
                <w:color w:val="auto"/>
                <w:w w:val="95"/>
              </w:rPr>
              <w:t>Casino and pari-mutuel commissions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9"/>
                <w:szCs w:val="19"/>
                <w:color w:val="auto"/>
              </w:rPr>
            </w:pPr>
          </w:p>
        </w:tc>
      </w:tr>
      <w:tr>
        <w:trPr>
          <w:trHeight w:val="243"/>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00" w:type="dxa"/>
            <w:vAlign w:val="bottom"/>
          </w:tcPr>
          <w:p>
            <w:pPr>
              <w:spacing w:after="0"/>
              <w:rPr>
                <w:sz w:val="21"/>
                <w:szCs w:val="21"/>
                <w:color w:val="auto"/>
              </w:rPr>
            </w:pPr>
          </w:p>
        </w:tc>
      </w:tr>
      <w:tr>
        <w:trPr>
          <w:trHeight w:val="243"/>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1"/>
                <w:szCs w:val="21"/>
                <w:color w:val="auto"/>
              </w:rPr>
            </w:pPr>
          </w:p>
        </w:tc>
      </w:tr>
      <w:tr>
        <w:trPr>
          <w:trHeight w:val="270"/>
        </w:trPr>
        <w:tc>
          <w:tcPr>
            <w:tcW w:w="274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28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Variance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Variance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37"/>
        </w:trPr>
        <w:tc>
          <w:tcPr>
            <w:tcW w:w="800" w:type="dxa"/>
            <w:vAlign w:val="bottom"/>
          </w:tcPr>
          <w:p>
            <w:pPr>
              <w:jc w:val="right"/>
              <w:ind w:right="399"/>
              <w:spacing w:after="0"/>
              <w:rPr>
                <w:sz w:val="20"/>
                <w:szCs w:val="20"/>
                <w:color w:val="auto"/>
              </w:rPr>
            </w:pPr>
            <w:r>
              <w:rPr>
                <w:rFonts w:ascii="Arial" w:cs="Arial" w:eastAsia="Arial" w:hAnsi="Arial"/>
                <w:sz w:val="16"/>
                <w:szCs w:val="16"/>
                <w:b w:val="1"/>
                <w:bCs w:val="1"/>
                <w:color w:val="auto"/>
                <w:w w:val="84"/>
              </w:rPr>
              <w:t>2020</w:t>
            </w: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3"/>
          </w:tcPr>
          <w:p>
            <w:pPr>
              <w:ind w:left="60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tcPr>
          <w:p>
            <w:pPr>
              <w:spacing w:after="0"/>
              <w:rPr>
                <w:sz w:val="20"/>
                <w:szCs w:val="20"/>
                <w:color w:val="auto"/>
              </w:rPr>
            </w:pPr>
          </w:p>
        </w:tc>
        <w:tc>
          <w:tcPr>
            <w:tcW w:w="224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2019 vs 2018</w:t>
            </w:r>
          </w:p>
        </w:tc>
      </w:tr>
      <w:tr>
        <w:trPr>
          <w:trHeight w:val="440"/>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2,337</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24"/>
                <w:szCs w:val="24"/>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16.4 %</w:t>
            </w:r>
          </w:p>
        </w:tc>
      </w:tr>
      <w:tr>
        <w:trPr>
          <w:trHeight w:val="243"/>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30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132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243"/>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450</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300" w:type="dxa"/>
            <w:vAlign w:val="bottom"/>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320" w:type="dxa"/>
            <w:vAlign w:val="bottom"/>
          </w:tcPr>
          <w:p>
            <w:pPr>
              <w:jc w:val="right"/>
              <w:spacing w:after="0"/>
              <w:rPr>
                <w:sz w:val="20"/>
                <w:szCs w:val="20"/>
                <w:color w:val="auto"/>
              </w:rPr>
            </w:pPr>
            <w:r>
              <w:rPr>
                <w:rFonts w:ascii="Arial" w:cs="Arial" w:eastAsia="Arial" w:hAnsi="Arial"/>
                <w:sz w:val="16"/>
                <w:szCs w:val="16"/>
                <w:color w:val="auto"/>
              </w:rPr>
              <w:t>63.0 %</w:t>
            </w:r>
          </w:p>
        </w:tc>
      </w:tr>
      <w:tr>
        <w:trPr>
          <w:trHeight w:val="246"/>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350</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300" w:type="dxa"/>
            <w:vAlign w:val="bottom"/>
          </w:tcPr>
          <w:p>
            <w:pPr>
              <w:jc w:val="right"/>
              <w:spacing w:after="0"/>
              <w:rPr>
                <w:sz w:val="20"/>
                <w:szCs w:val="20"/>
                <w:color w:val="auto"/>
              </w:rPr>
            </w:pPr>
            <w:r>
              <w:rPr>
                <w:rFonts w:ascii="Arial" w:cs="Arial" w:eastAsia="Arial" w:hAnsi="Arial"/>
                <w:sz w:val="16"/>
                <w:szCs w:val="16"/>
                <w:color w:val="auto"/>
              </w:rPr>
              <w:t>194.1 %</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320" w:type="dxa"/>
            <w:vAlign w:val="bottom"/>
          </w:tcPr>
          <w:p>
            <w:pPr>
              <w:jc w:val="right"/>
              <w:spacing w:after="0"/>
              <w:rPr>
                <w:sz w:val="20"/>
                <w:szCs w:val="20"/>
                <w:color w:val="auto"/>
              </w:rPr>
            </w:pPr>
            <w:r>
              <w:rPr>
                <w:rFonts w:ascii="Arial" w:cs="Arial" w:eastAsia="Arial" w:hAnsi="Arial"/>
                <w:sz w:val="16"/>
                <w:szCs w:val="16"/>
                <w:color w:val="auto"/>
              </w:rPr>
              <w:t>65.3 %</w:t>
            </w:r>
          </w:p>
        </w:tc>
      </w:tr>
      <w:tr>
        <w:trPr>
          <w:trHeight w:val="239"/>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3,474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1300" w:type="dxa"/>
            <w:vAlign w:val="bottom"/>
          </w:tcPr>
          <w:p>
            <w:pPr>
              <w:jc w:val="right"/>
              <w:spacing w:after="0"/>
              <w:rPr>
                <w:sz w:val="20"/>
                <w:szCs w:val="20"/>
                <w:color w:val="auto"/>
              </w:rPr>
            </w:pPr>
            <w:r>
              <w:rPr>
                <w:rFonts w:ascii="Arial" w:cs="Arial" w:eastAsia="Arial" w:hAnsi="Arial"/>
                <w:sz w:val="16"/>
                <w:szCs w:val="16"/>
                <w:color w:val="auto"/>
              </w:rPr>
              <w:t>37.4 %</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320" w:type="dxa"/>
            <w:vAlign w:val="bottom"/>
          </w:tcPr>
          <w:p>
            <w:pPr>
              <w:jc w:val="right"/>
              <w:spacing w:after="0"/>
              <w:rPr>
                <w:sz w:val="20"/>
                <w:szCs w:val="20"/>
                <w:color w:val="auto"/>
              </w:rPr>
            </w:pPr>
            <w:r>
              <w:rPr>
                <w:rFonts w:ascii="Arial" w:cs="Arial" w:eastAsia="Arial" w:hAnsi="Arial"/>
                <w:sz w:val="16"/>
                <w:szCs w:val="16"/>
                <w:color w:val="auto"/>
              </w:rPr>
              <w:t>23.0 %</w:t>
            </w:r>
          </w:p>
        </w:tc>
      </w:tr>
      <w:tr>
        <w:trPr>
          <w:trHeight w:val="21"/>
        </w:trPr>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-659130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-350520</wp:posOffset>
            </wp:positionV>
            <wp:extent cx="7132320" cy="351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-950595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-1113790</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960" w:space="280"/>
            <w:col w:w="8000"/>
          </w:cols>
          <w:pgMar w:left="320" w:top="1057" w:right="339" w:bottom="1440" w:gutter="0" w:footer="0" w:header="0"/>
        </w:sectPr>
      </w:pPr>
    </w:p>
    <w:p>
      <w:pPr>
        <w:jc w:val="both"/>
        <w:spacing w:after="0" w:line="286" w:lineRule="auto"/>
        <w:rPr>
          <w:sz w:val="20"/>
          <w:szCs w:val="20"/>
          <w:color w:val="auto"/>
        </w:rPr>
      </w:pPr>
      <w:r>
        <w:rPr>
          <w:rFonts w:ascii="Arial" w:cs="Arial" w:eastAsia="Arial" w:hAnsi="Arial"/>
          <w:sz w:val="16"/>
          <w:szCs w:val="16"/>
          <w:color w:val="auto"/>
        </w:rPr>
        <w:t xml:space="preserve">Consolidated revenues increased for the year ended December 31, 2020 as a result of our acquisition of Former Caesars on July 20, 2020. This was offset by a decline in revenues associated with the impact of COVID-19 public health emergency and, to a lesser extent, divestitures of certain properties discussed earlier. All of our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On May 15, 2020, we began reopening our properties and have resumed certain operations at all of our properties as of December 31, 2020, with the exception of additional temporary closures of Caesars Windsor, Harrah’s Philadelphia, and our properties in Illinois. Subsequently, Harrah’s Philadelphia and our properties in Illinois have reopened. Our property in Lake Charles remains closed as a result of damage suffered in Hurricane Laura and </w:t>
      </w:r>
      <w:r>
        <w:rPr>
          <w:rFonts w:ascii="Arial" w:cs="Arial" w:eastAsia="Arial" w:hAnsi="Arial"/>
          <w:sz w:val="16"/>
          <w:szCs w:val="16"/>
          <w:color w:val="212529"/>
        </w:rPr>
        <w:t>will remain closed</w:t>
      </w:r>
      <w:r>
        <w:rPr>
          <w:rFonts w:ascii="Arial" w:cs="Arial" w:eastAsia="Arial" w:hAnsi="Arial"/>
          <w:sz w:val="16"/>
          <w:szCs w:val="16"/>
          <w:color w:val="auto"/>
        </w:rPr>
        <w:t xml:space="preserve"> until construction of a new land-based casino is complete. Due to the impact of the COVID-19 public health emergency, including local and state regulations and the implementation of social distancing and health and safety protocols, our properties are subject to reduced gaming capacity and hotel occupancy, limited operation of food and beverage outlets, live entertainment events and conventions. As a result, gaming revenue represents a larger portion of our total revenues following the reopening of our properties as compared to earlier periods, which we expect to continue until such time as we are able to fully operate our non-gaming amenities following the reduction or elimination of social distancing and safety and health protocols, and other regulatory restrictions limiting capacity and other aspects of our business.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diversified portfolio has yielded mixed results as the properties have reopened under the conditions noted above. Net revenues for properties which have historically relied on a local customer base, not dependent on air travel or convention business, showed a smaller decrease as compared to the year ended December 31, 2019 results. These properties’ gaming and hotel revenues have historically been the largest portion of their total revenue. Properties in destination markets such as Las Vegas, Atlantic City, Northern Nevada and New Orleans, which have historically relied on a broader regional and national customer base or convention business have declined significantly as compared to the prior year period. These destination markets were impacted by restrictions on, and an overall decline in, air travel related to COVID-19. These properties have historically relied on a broader mix of revenue sources including convention, entertainment, and food and beverage offerings. As a result of reduced visitation, air travel, state and local restrictions on capacity, and social distancing and safety and health protocols, these sources of revenue have been materially reduced as compared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Variance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Variance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tcPr>
          <w:p>
            <w:pPr>
              <w:ind w:left="58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tcPr>
          <w:p>
            <w:pPr>
              <w:spacing w:after="0"/>
              <w:rPr>
                <w:sz w:val="17"/>
                <w:szCs w:val="17"/>
                <w:color w:val="auto"/>
              </w:rPr>
            </w:pPr>
          </w:p>
        </w:tc>
        <w:tc>
          <w:tcPr>
            <w:tcW w:w="222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2019 vs 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292</w:t>
            </w:r>
          </w:p>
        </w:tc>
        <w:tc>
          <w:tcPr>
            <w:tcW w:w="1320" w:type="dxa"/>
            <w:vAlign w:val="bottom"/>
          </w:tcPr>
          <w:p>
            <w:pPr>
              <w:jc w:val="right"/>
              <w:spacing w:after="0"/>
              <w:rPr>
                <w:sz w:val="20"/>
                <w:szCs w:val="20"/>
                <w:color w:val="auto"/>
              </w:rPr>
            </w:pPr>
            <w:r>
              <w:rPr>
                <w:rFonts w:ascii="Arial" w:cs="Arial" w:eastAsia="Arial" w:hAnsi="Arial"/>
                <w:sz w:val="16"/>
                <w:szCs w:val="16"/>
                <w:color w:val="auto"/>
              </w:rPr>
              <w:t>32.3 %</w:t>
            </w:r>
          </w:p>
        </w:tc>
        <w:tc>
          <w:tcPr>
            <w:tcW w:w="10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w:t>
            </w:r>
          </w:p>
        </w:tc>
        <w:tc>
          <w:tcPr>
            <w:tcW w:w="130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1320" w:type="dxa"/>
            <w:vAlign w:val="bottom"/>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1300" w:type="dxa"/>
            <w:vAlign w:val="bottom"/>
          </w:tcPr>
          <w:p>
            <w:pPr>
              <w:jc w:val="right"/>
              <w:spacing w:after="0"/>
              <w:rPr>
                <w:sz w:val="20"/>
                <w:szCs w:val="20"/>
                <w:color w:val="auto"/>
              </w:rPr>
            </w:pPr>
            <w:r>
              <w:rPr>
                <w:rFonts w:ascii="Arial" w:cs="Arial" w:eastAsia="Arial" w:hAnsi="Arial"/>
                <w:sz w:val="16"/>
                <w:szCs w:val="16"/>
                <w:color w:val="auto"/>
              </w:rPr>
              <w:t>52.3 %</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w:t>
            </w:r>
          </w:p>
        </w:tc>
        <w:tc>
          <w:tcPr>
            <w:tcW w:w="1320" w:type="dxa"/>
            <w:vAlign w:val="bottom"/>
          </w:tcPr>
          <w:p>
            <w:pPr>
              <w:jc w:val="right"/>
              <w:spacing w:after="0"/>
              <w:rPr>
                <w:sz w:val="20"/>
                <w:szCs w:val="20"/>
                <w:color w:val="auto"/>
              </w:rPr>
            </w:pPr>
            <w:r>
              <w:rPr>
                <w:rFonts w:ascii="Arial" w:cs="Arial" w:eastAsia="Arial" w:hAnsi="Arial"/>
                <w:sz w:val="16"/>
                <w:szCs w:val="16"/>
                <w:color w:val="auto"/>
              </w:rPr>
              <w:t>75.3 %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c>
          <w:tcPr>
            <w:tcW w:w="1300" w:type="dxa"/>
            <w:vAlign w:val="bottom"/>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300" w:type="dxa"/>
            <w:vAlign w:val="bottom"/>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6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8"/>
              </w:rPr>
              <w:t>Transaction costs and other operating</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117.6 %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Casino and pari-mutuel expenses consist primarily of salaries and wages associated with our gaming operations, marketing and promotions and gaming taxes. Hotel expenses consist principally of salaries, wages and supplies associated with our hotel operations. Food and beverage expenses consist principally of salaries and wages and costs of goods sold associated with our food and beverage operations. Other expenses consist principally of salaries and wages and costs of goods sold associated with our retail, entertainment and other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Casino and pari-mutuel, hotel, food and beverage, and other expenses for the year ended December 31, 2020 increased year over year as a result of our acquisition of Former Caesars. This was partially offset as a result of the temporary closures of all of our properties due to the COVID-19 public health emergency, which reduced our salaries and wages, gaming taxes, costs of goods sold, and other expenses. As discussed above, our reopened properties are operating with reduced gaming and hotel capacity and limited food and beverage options. In addition, our properties have reduced marketing and promotional spend, resulting in further declines in gaming expenses.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Property, general and administrative expenses also include stock-based compensation expense for certain property executives, sports sponsorships and other marketing expenses not directly related to our gaming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for the year ended December 31, 2020 increased year over year as the result of our acquisition of Former Caesars. This was offset by actions taken to reduce our cost structure while our properties were temporarily closed and during the period of reduced operations due to the impact of the COVID-19 public health emergency, which are discussed above and implemented.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compared to the same prior year period, corporate expenses increased primarily due to the acquisition of Former Caesars offset by reductions in salaries and wages due to reductions in workforce implemented as a result of the impact of the COVID-19 public health emergency.</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2020 compared to the same prior year period, depreciation and amortization expense increased mainly due to the acquisition of Former Caesars offset by ceasing depreciation and amortization expense on assets held for sale and the Divestitures.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compared to the same prior year period, transaction costs and other operating costs increased primarily due to costs or fees incurred related to the Merger, various project exit fees and related write offs, and higher severance expense related to synergies associated with the Merger.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Impairment charges increased by $214 million in 2020 due to impairment related to goodwill and trade names recognized due to a triggering event resulting from the COVID-19 public health emergency as well as impairments related to our held for sale properties recognized due to the carrying value exceeding the estimated net sales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w w:val="91"/>
              </w:rPr>
              <w:t>Years Ended 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Variance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Percent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Variance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Percent Change</w:t>
            </w:r>
          </w:p>
        </w:tc>
      </w:tr>
      <w:tr>
        <w:trPr>
          <w:trHeight w:val="203"/>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jc w:val="right"/>
              <w:ind w:right="1020"/>
              <w:spacing w:after="0"/>
              <w:rPr>
                <w:sz w:val="20"/>
                <w:szCs w:val="20"/>
                <w:color w:val="auto"/>
              </w:rPr>
            </w:pPr>
            <w:r>
              <w:rPr>
                <w:rFonts w:ascii="Arial" w:cs="Arial" w:eastAsia="Arial" w:hAnsi="Arial"/>
                <w:sz w:val="16"/>
                <w:szCs w:val="16"/>
                <w:b w:val="1"/>
                <w:bCs w:val="1"/>
                <w:color w:val="auto"/>
              </w:rPr>
              <w:t>2020 vs 2019</w:t>
            </w:r>
          </w:p>
        </w:tc>
        <w:tc>
          <w:tcPr>
            <w:tcW w:w="222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2019 vs 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(888)</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4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46"/>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6"/>
                <w:szCs w:val="16"/>
                <w:color w:val="auto"/>
              </w:rPr>
              <w:t>Other (loss) income</w:t>
            </w:r>
          </w:p>
        </w:tc>
        <w:tc>
          <w:tcPr>
            <w:tcW w:w="240" w:type="dxa"/>
            <w:vAlign w:val="bottom"/>
          </w:tcPr>
          <w:p>
            <w:pPr>
              <w:spacing w:after="0"/>
              <w:rPr>
                <w:sz w:val="20"/>
                <w:szCs w:val="20"/>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167</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interest expense, net increased year over year as a result of our acquisition of Former Caesars. Outstanding debt assumed, additional debt raised, and assumed financing obligations resulted in the increase in interest expense.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2020, the loss on extinguishment of debt increased year over year due to the early repayment of outstanding debt as a result of our acquisition of Former Caesars.</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year ended December 31, 2020, other (loss) income increased year over year mainly due to a gain of $169 million related to the change in the foreign currency exchange rate associated with restricted cash held in GBP for, and a derivative contract related to, our expected acquisition of William Hill.</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 was (7.7%) for 2020, 35.2% for 2019, and 29.8% for 2018. The effective tax rate in 2020 differed from the statutory rate of 21% primarily due to an increase in the valuation allowance against the deferred tax assets due to the series of transactions with VICI during the year.</w:t>
      </w:r>
    </w:p>
    <w:p>
      <w:pPr>
        <w:spacing w:after="0" w:line="92" w:lineRule="exact"/>
        <w:rPr>
          <w:sz w:val="20"/>
          <w:szCs w:val="20"/>
          <w:color w:val="auto"/>
        </w:rPr>
      </w:pPr>
    </w:p>
    <w:p>
      <w:pPr>
        <w:ind w:right="5560"/>
        <w:spacing w:after="0" w:line="465" w:lineRule="auto"/>
        <w:rPr>
          <w:sz w:val="20"/>
          <w:szCs w:val="20"/>
          <w:color w:val="auto"/>
        </w:rPr>
      </w:pPr>
      <w:r>
        <w:rPr>
          <w:rFonts w:ascii="Arial" w:cs="Arial" w:eastAsia="Arial" w:hAnsi="Arial"/>
          <w:sz w:val="18"/>
          <w:szCs w:val="18"/>
          <w:b w:val="1"/>
          <w:bCs w:val="1"/>
          <w:i w:val="1"/>
          <w:iCs w:val="1"/>
          <w:color w:val="auto"/>
        </w:rPr>
        <w:t>Segment comparison for the years ended December 31, 2020, 2019 and 2018 Las Vegas Segment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Variance</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Variance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r>
      <w:tr>
        <w:trPr>
          <w:trHeight w:val="203"/>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46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tcPr>
          <w:p>
            <w:pPr>
              <w:spacing w:after="0"/>
              <w:rPr>
                <w:sz w:val="17"/>
                <w:szCs w:val="17"/>
                <w:color w:val="auto"/>
              </w:rPr>
            </w:pPr>
          </w:p>
        </w:tc>
        <w:tc>
          <w:tcPr>
            <w:tcW w:w="19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2019 vs 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44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399"/>
              <w:spacing w:after="0"/>
              <w:rPr>
                <w:sz w:val="20"/>
                <w:szCs w:val="20"/>
                <w:color w:val="auto"/>
              </w:rPr>
            </w:pPr>
            <w:r>
              <w:rPr>
                <w:rFonts w:ascii="Arial" w:cs="Arial" w:eastAsia="Arial" w:hAnsi="Arial"/>
                <w:sz w:val="16"/>
                <w:szCs w:val="16"/>
                <w:color w:val="auto"/>
                <w:w w:val="89"/>
              </w:rPr>
              <w:t>319</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89"/>
              </w:rPr>
              <w:t>130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 w:type="dxa"/>
            <w:vAlign w:val="bottom"/>
          </w:tcPr>
          <w:p>
            <w:pPr>
              <w:spacing w:after="0"/>
              <w:rPr>
                <w:sz w:val="20"/>
                <w:szCs w:val="20"/>
                <w:color w:val="auto"/>
              </w:rPr>
            </w:pPr>
          </w:p>
        </w:tc>
        <w:tc>
          <w:tcPr>
            <w:tcW w:w="344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center"/>
              <w:ind w:left="399"/>
              <w:spacing w:after="0"/>
              <w:rPr>
                <w:sz w:val="20"/>
                <w:szCs w:val="20"/>
                <w:color w:val="auto"/>
              </w:rPr>
            </w:pPr>
            <w:r>
              <w:rPr>
                <w:rFonts w:ascii="Arial" w:cs="Arial" w:eastAsia="Arial" w:hAnsi="Arial"/>
                <w:sz w:val="16"/>
                <w:szCs w:val="16"/>
                <w:color w:val="auto"/>
                <w:w w:val="89"/>
              </w:rPr>
              <w:t>186</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w w:val="89"/>
              </w:rPr>
              <w:t>116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344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399"/>
              <w:spacing w:after="0"/>
              <w:rPr>
                <w:sz w:val="20"/>
                <w:szCs w:val="20"/>
                <w:color w:val="auto"/>
              </w:rPr>
            </w:pPr>
            <w:r>
              <w:rPr>
                <w:rFonts w:ascii="Arial" w:cs="Arial" w:eastAsia="Arial" w:hAnsi="Arial"/>
                <w:sz w:val="16"/>
                <w:szCs w:val="16"/>
                <w:color w:val="auto"/>
                <w:w w:val="89"/>
              </w:rPr>
              <w:t>751</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399"/>
              <w:spacing w:after="0"/>
              <w:rPr>
                <w:sz w:val="20"/>
                <w:szCs w:val="20"/>
                <w:color w:val="auto"/>
              </w:rPr>
            </w:pPr>
            <w:r>
              <w:rPr>
                <w:rFonts w:ascii="Arial" w:cs="Arial" w:eastAsia="Arial" w:hAnsi="Arial"/>
                <w:sz w:val="16"/>
                <w:szCs w:val="16"/>
                <w:color w:val="auto"/>
                <w:w w:val="89"/>
              </w:rPr>
              <w:t>133</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 pts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6"/>
              </w:rPr>
              <w:t>(287)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4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3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Las Vegas segment’s net revenues and Adjusted EBITDA increased as a result of the acquisition of Former Caesars. As of December 31, 2020, all of our Las Vegas properties were reopened. All of our properties within the Las Vegas segment reopened with reduced gaming and hotel capacity with limited food and beverage offerings as well as limited capacity at a few entertainment shows. As of December 31, 2020, convention venues have not reopened due to capacity limitations.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period between properties reopening and December 31, 2020, all of our reopened properties in the Las Vegas segment experienced a significant decline in net revenues and Adjusted EBITDA compared to Former Caesars’ prior year results for the same properties due to the general weakness in the economic environment resulting from reduced visitation and travel to Las Vegas resulting from the COVID-19 public health emergency. Compared to our Regional Segment, Adjusted EBITDA margin for our Las Vegas segment experienced a more significant negative impact from declines in revenue, as well as rent expense associated with our Rio lease beginning in December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03"/>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2020 vs 2019</w:t>
            </w:r>
          </w:p>
        </w:tc>
        <w:tc>
          <w:tcPr>
            <w:tcW w:w="140" w:type="dxa"/>
            <w:vAlign w:val="bottom"/>
          </w:tcPr>
          <w:p>
            <w:pPr>
              <w:spacing w:after="0"/>
              <w:rPr>
                <w:sz w:val="17"/>
                <w:szCs w:val="17"/>
                <w:color w:val="auto"/>
              </w:rPr>
            </w:pPr>
          </w:p>
        </w:tc>
        <w:tc>
          <w:tcPr>
            <w:tcW w:w="20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2019 vs 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c>
          <w:tcPr>
            <w:tcW w:w="116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w:t>
            </w:r>
          </w:p>
        </w:tc>
        <w:tc>
          <w:tcPr>
            <w:tcW w:w="118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r>
      <w:tr>
        <w:trPr>
          <w:trHeight w:val="240"/>
        </w:trPr>
        <w:tc>
          <w:tcPr>
            <w:tcW w:w="20" w:type="dxa"/>
            <w:vAlign w:val="bottom"/>
          </w:tcPr>
          <w:p>
            <w:pPr>
              <w:spacing w:after="0"/>
              <w:rPr>
                <w:sz w:val="20"/>
                <w:szCs w:val="20"/>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1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c>
          <w:tcPr>
            <w:tcW w:w="1180" w:type="dxa"/>
            <w:vAlign w:val="bottom"/>
          </w:tcPr>
          <w:p>
            <w:pPr>
              <w:jc w:val="right"/>
              <w:spacing w:after="0"/>
              <w:rPr>
                <w:sz w:val="20"/>
                <w:szCs w:val="20"/>
                <w:color w:val="auto"/>
              </w:rPr>
            </w:pPr>
            <w:r>
              <w:rPr>
                <w:rFonts w:ascii="Arial" w:cs="Arial" w:eastAsia="Arial" w:hAnsi="Arial"/>
                <w:sz w:val="16"/>
                <w:szCs w:val="16"/>
                <w:color w:val="auto"/>
              </w:rPr>
              <w:t>63.0 %</w:t>
            </w:r>
          </w:p>
        </w:tc>
      </w:tr>
      <w:tr>
        <w:trPr>
          <w:trHeight w:val="246"/>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56.3 %</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1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180" w:type="dxa"/>
            <w:vAlign w:val="bottom"/>
          </w:tcPr>
          <w:p>
            <w:pPr>
              <w:jc w:val="right"/>
              <w:spacing w:after="0"/>
              <w:rPr>
                <w:sz w:val="20"/>
                <w:szCs w:val="20"/>
                <w:color w:val="auto"/>
              </w:rPr>
            </w:pPr>
            <w:r>
              <w:rPr>
                <w:rFonts w:ascii="Arial" w:cs="Arial" w:eastAsia="Arial" w:hAnsi="Arial"/>
                <w:sz w:val="16"/>
                <w:szCs w:val="16"/>
                <w:color w:val="auto"/>
              </w:rPr>
              <w:t>22.6 %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184</w:t>
            </w:r>
          </w:p>
        </w:tc>
        <w:tc>
          <w:tcPr>
            <w:tcW w:w="1180" w:type="dxa"/>
            <w:vAlign w:val="bottom"/>
          </w:tcPr>
          <w:p>
            <w:pPr>
              <w:jc w:val="right"/>
              <w:spacing w:after="0"/>
              <w:rPr>
                <w:sz w:val="20"/>
                <w:szCs w:val="20"/>
                <w:color w:val="auto"/>
              </w:rPr>
            </w:pPr>
            <w:r>
              <w:rPr>
                <w:rFonts w:ascii="Arial" w:cs="Arial" w:eastAsia="Arial" w:hAnsi="Arial"/>
                <w:sz w:val="16"/>
                <w:szCs w:val="16"/>
                <w:color w:val="auto"/>
              </w:rPr>
              <w:t>33.6 %</w:t>
            </w: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(2.6) pts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Regional segment’s net revenues increased as a result of our merger with Former Caesars. Adjusted EBITDA and margin decreased for the year ended December 31, 2020 compared to the same prior year period as a result of property closures due to the COVID-19 public health emergency. All of our properties in our Regional segment, with the exception of Lake Charles, Harrah’s Philadelphia and our properties in Illinois reopened as of December 31, 2020. Subsequently, Harrah’s Philadelphia and our properties in Illinois have reopened. All of our properties within the Regional segment reopened with reduced gaming and hotel capacity and with limited food and beverage offerings.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period between properties reopening and December 31, 2020, our Regional properties experienced a decline in net revenues as compared to the prior year. The majority of our Regional properties other than Atlantic City, Northern Nevada and New Orleans, Adjusted EBITDA declined slightly as compared to prior year, when including Former Caesars’ prior year, for the same properties. Adjusted EBITDA margin for these properties was higher as compared to prior year due to operating with a reduced workforce, reducing marketing costs, and limiting certain lower margin food and beverage offerings.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Properties in Atlantic City, Northern Nevada and New Orleans experienced significant declines in net revenues and Adjusted EBITDA as compared to prior year and Former Caesars’ prior year for the same properties as they were all negatively impacted by reduced visitation and limitations on capacity due to the COVID-19 public health emergency.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Managed, International &amp; CIE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Variance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r>
      <w:tr>
        <w:trPr>
          <w:trHeight w:val="203"/>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46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tcPr>
          <w:p>
            <w:pPr>
              <w:spacing w:after="0"/>
              <w:rPr>
                <w:sz w:val="17"/>
                <w:szCs w:val="17"/>
                <w:color w:val="auto"/>
              </w:rPr>
            </w:pPr>
          </w:p>
        </w:tc>
        <w:tc>
          <w:tcPr>
            <w:tcW w:w="19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2019 vs 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44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20" w:type="dxa"/>
            <w:vAlign w:val="bottom"/>
            <w:shd w:val="clear" w:color="auto" w:fill="CCEEFF"/>
          </w:tcPr>
          <w:p>
            <w:pPr>
              <w:spacing w:after="0"/>
              <w:rPr>
                <w:sz w:val="22"/>
                <w:szCs w:val="22"/>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20.9 pts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Net (loss) income attributable to Caesars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34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Managed, International, CIE segment’s net revenues and Adjusted EBITDA increased as a result of the acquisition of Former Caesars. All of our managed properties have reopened as of December 31, 2020, with the exception of Caesars Windsor. Our CIE business was not closed at any point related to the COVID-19 public health emergency.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2020, net revenues for Managed, International and CIE declined as compared to Former Caesars’ prior period related to reimbursed management costs related to Caesars Windsor remaining closed throughout the current period. Excluding that, net revenues increased primarily related to increased revenue in our CIE business. Adjusted EBITDA for Managed, International and CIE increased as compared to Former Caesars’ prior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Variance</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Variance</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03"/>
        </w:trPr>
        <w:tc>
          <w:tcPr>
            <w:tcW w:w="2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3"/>
          </w:tcPr>
          <w:p>
            <w:pPr>
              <w:ind w:left="52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tcPr>
          <w:p>
            <w:pPr>
              <w:spacing w:after="0"/>
              <w:rPr>
                <w:sz w:val="17"/>
                <w:szCs w:val="17"/>
                <w:color w:val="auto"/>
              </w:rPr>
            </w:pPr>
          </w:p>
        </w:tc>
        <w:tc>
          <w:tcPr>
            <w:tcW w:w="206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2019 vs 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87.5 %</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89"/>
              </w:rPr>
              <w:t>7</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65"/>
        </w:trPr>
        <w:tc>
          <w:tcPr>
            <w:tcW w:w="2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70"/>
        </w:trPr>
        <w:tc>
          <w:tcPr>
            <w:tcW w:w="354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3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Years Ended December 31, 2020, 2019 and 2018</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expense,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litigation awards and settlements, losses on inventory associated with properties temporarily closed as a result of the COVID-19 public health emergency, contract exit or termination costs, and regulatory settlements. Adjusted EBITDA also excludes the expense associated with certain of our leases as these transactions were accounted for as financing obligations and the associated expense is included in</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3" w:name="page44"/>
    <w:bookmarkEnd w:id="43"/>
    <w:p>
      <w:pPr>
        <w:jc w:val="both"/>
        <w:spacing w:after="0" w:line="273" w:lineRule="auto"/>
        <w:rPr>
          <w:sz w:val="20"/>
          <w:szCs w:val="20"/>
          <w:color w:val="auto"/>
        </w:rPr>
      </w:pPr>
      <w:r>
        <w:rPr>
          <w:rFonts w:ascii="Arial" w:cs="Arial" w:eastAsia="Arial" w:hAnsi="Arial"/>
          <w:sz w:val="17"/>
          <w:szCs w:val="17"/>
          <w:color w:val="auto"/>
        </w:rPr>
        <w:t>interest expense. Adjusted EBITDA is not a measure of performance or liquidity calculated in accordance with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Properties Inc.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years ended December 31, 2020, 2019 and 2018, respectively, in addition to reconciling net (loss) income to Adjusted EBITDA in accordance with US GAAP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Year Ended December 31, 2020</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4"/>
            <w:vMerge w:val="restart"/>
          </w:tcPr>
          <w:p>
            <w:pPr>
              <w:ind w:left="240"/>
              <w:spacing w:after="0"/>
              <w:rPr>
                <w:sz w:val="20"/>
                <w:szCs w:val="20"/>
                <w:color w:val="auto"/>
              </w:rPr>
            </w:pPr>
            <w:r>
              <w:rPr>
                <w:rFonts w:ascii="Arial" w:cs="Arial" w:eastAsia="Arial" w:hAnsi="Arial"/>
                <w:sz w:val="16"/>
                <w:szCs w:val="16"/>
                <w:b w:val="1"/>
                <w:bCs w:val="1"/>
                <w:color w:val="auto"/>
              </w:rPr>
              <w:t>CEI</w:t>
            </w:r>
          </w:p>
        </w:tc>
        <w:tc>
          <w:tcPr>
            <w:tcW w:w="150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Less: Divest. Add:</w:t>
            </w:r>
          </w:p>
        </w:tc>
        <w:tc>
          <w:tcPr>
            <w:tcW w:w="10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Pre-Acq. CEC </w:t>
            </w:r>
            <w:r>
              <w:rPr>
                <w:rFonts w:ascii="Arial" w:cs="Arial" w:eastAsia="Arial" w:hAnsi="Arial"/>
                <w:sz w:val="21"/>
                <w:szCs w:val="21"/>
                <w:b w:val="1"/>
                <w:bCs w:val="1"/>
                <w:i w:val="1"/>
                <w:iCs w:val="1"/>
                <w:color w:val="auto"/>
                <w:vertAlign w:val="superscript"/>
              </w:rPr>
              <w:t>(f)</w:t>
            </w:r>
          </w:p>
        </w:tc>
        <w:tc>
          <w:tcPr>
            <w:tcW w:w="240" w:type="dxa"/>
            <w:vAlign w:val="bottom"/>
          </w:tcPr>
          <w:p>
            <w:pPr>
              <w:spacing w:after="0"/>
              <w:rPr>
                <w:sz w:val="13"/>
                <w:szCs w:val="13"/>
                <w:color w:val="auto"/>
              </w:rPr>
            </w:pPr>
          </w:p>
        </w:tc>
        <w:tc>
          <w:tcPr>
            <w:tcW w:w="1160" w:type="dxa"/>
            <w:vAlign w:val="bottom"/>
            <w:vMerge w:val="restart"/>
          </w:tcPr>
          <w:p>
            <w:pPr>
              <w:jc w:val="right"/>
              <w:ind w:right="320"/>
              <w:spacing w:after="0" w:line="333" w:lineRule="exact"/>
              <w:rPr>
                <w:sz w:val="20"/>
                <w:szCs w:val="20"/>
                <w:color w:val="auto"/>
              </w:rPr>
            </w:pPr>
            <w:r>
              <w:rPr>
                <w:rFonts w:ascii="Arial" w:cs="Arial" w:eastAsia="Arial" w:hAnsi="Arial"/>
                <w:sz w:val="32"/>
                <w:szCs w:val="32"/>
                <w:b w:val="1"/>
                <w:bCs w:val="1"/>
                <w:color w:val="auto"/>
                <w:w w:val="94"/>
                <w:vertAlign w:val="subscript"/>
              </w:rPr>
              <w:t>Total</w:t>
            </w:r>
            <w:r>
              <w:rPr>
                <w:rFonts w:ascii="Arial" w:cs="Arial" w:eastAsia="Arial" w:hAnsi="Arial"/>
                <w:sz w:val="11"/>
                <w:szCs w:val="11"/>
                <w:b w:val="1"/>
                <w:bCs w:val="1"/>
                <w:i w:val="1"/>
                <w:iCs w:val="1"/>
                <w:color w:val="auto"/>
                <w:w w:val="94"/>
              </w:rPr>
              <w:t xml:space="preserve"> (g)(i)</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5"/>
                <w:szCs w:val="15"/>
                <w:b w:val="1"/>
                <w:bCs w:val="1"/>
                <w:color w:val="auto"/>
                <w:w w:val="88"/>
              </w:rPr>
              <w:t xml:space="preserve">Disc. Ops </w:t>
            </w:r>
            <w:r>
              <w:rPr>
                <w:rFonts w:ascii="Arial" w:cs="Arial" w:eastAsia="Arial" w:hAnsi="Arial"/>
                <w:sz w:val="20"/>
                <w:szCs w:val="20"/>
                <w:b w:val="1"/>
                <w:bCs w:val="1"/>
                <w:i w:val="1"/>
                <w:iCs w:val="1"/>
                <w:color w:val="auto"/>
                <w:w w:val="88"/>
                <w:vertAlign w:val="superscript"/>
              </w:rPr>
              <w:t>(e)(h)</w:t>
            </w: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loss (income) </w:t>
            </w:r>
            <w:r>
              <w:rPr>
                <w:rFonts w:ascii="Arial" w:cs="Arial" w:eastAsia="Arial" w:hAnsi="Arial"/>
                <w:sz w:val="21"/>
                <w:szCs w:val="21"/>
                <w:i w:val="1"/>
                <w:iCs w:val="1"/>
                <w:color w:val="auto"/>
                <w:vertAlign w:val="superscript"/>
              </w:rPr>
              <w:t>(a)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i w:val="1"/>
                <w:iCs w:val="1"/>
                <w:color w:val="auto"/>
                <w:vertAlign w:val="superscript"/>
              </w:rPr>
              <w:t>(b)</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3"/>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Year Ended December 31, 2019</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8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CEI</w:t>
            </w:r>
          </w:p>
        </w:tc>
        <w:tc>
          <w:tcPr>
            <w:tcW w:w="150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88"/>
              </w:rPr>
              <w:t>Less: Divestitures</w:t>
            </w:r>
          </w:p>
        </w:tc>
        <w:tc>
          <w:tcPr>
            <w:tcW w:w="10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Pre-Acq. CEC </w:t>
            </w:r>
            <w:r>
              <w:rPr>
                <w:rFonts w:ascii="Arial" w:cs="Arial" w:eastAsia="Arial" w:hAnsi="Arial"/>
                <w:sz w:val="21"/>
                <w:szCs w:val="21"/>
                <w:b w:val="1"/>
                <w:bCs w:val="1"/>
                <w:i w:val="1"/>
                <w:iCs w:val="1"/>
                <w:color w:val="auto"/>
                <w:vertAlign w:val="superscript"/>
              </w:rPr>
              <w:t>(f)</w:t>
            </w:r>
          </w:p>
        </w:tc>
        <w:tc>
          <w:tcPr>
            <w:tcW w:w="240" w:type="dxa"/>
            <w:vAlign w:val="bottom"/>
          </w:tcPr>
          <w:p>
            <w:pPr>
              <w:spacing w:after="0"/>
              <w:rPr>
                <w:sz w:val="13"/>
                <w:szCs w:val="13"/>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(i)</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tcPr>
          <w:p>
            <w:pPr>
              <w:jc w:val="center"/>
              <w:ind w:right="280"/>
              <w:spacing w:after="0" w:line="108" w:lineRule="exact"/>
              <w:rPr>
                <w:sz w:val="20"/>
                <w:szCs w:val="20"/>
                <w:color w:val="auto"/>
              </w:rPr>
            </w:pPr>
            <w:r>
              <w:rPr>
                <w:rFonts w:ascii="Arial" w:cs="Arial" w:eastAsia="Arial" w:hAnsi="Arial"/>
                <w:sz w:val="11"/>
                <w:szCs w:val="11"/>
                <w:b w:val="1"/>
                <w:bCs w:val="1"/>
                <w:i w:val="1"/>
                <w:iCs w:val="1"/>
                <w:color w:val="auto"/>
                <w:w w:val="99"/>
              </w:rPr>
              <w:t>(h)</w:t>
            </w: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Other loss (income) </w:t>
            </w:r>
            <w:r>
              <w:rPr>
                <w:rFonts w:ascii="Arial" w:cs="Arial" w:eastAsia="Arial" w:hAnsi="Arial"/>
                <w:sz w:val="21"/>
                <w:szCs w:val="21"/>
                <w:i w:val="1"/>
                <w:iCs w:val="1"/>
                <w:color w:val="auto"/>
                <w:vertAlign w:val="superscript"/>
              </w:rPr>
              <w:t>(a)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20" w:type="dxa"/>
            <w:vAlign w:val="bottom"/>
            <w:gridSpan w:val="3"/>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3"/>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6"/>
                <w:szCs w:val="16"/>
                <w:b w:val="1"/>
                <w:bCs w:val="1"/>
                <w:color w:val="auto"/>
                <w:w w:val="91"/>
              </w:rPr>
              <w:t>Year Ended December 31, 2018</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CEI</w:t>
            </w: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Less: Divestitures</w:t>
            </w:r>
          </w:p>
        </w:tc>
        <w:tc>
          <w:tcPr>
            <w:tcW w:w="100" w:type="dxa"/>
            <w:vAlign w:val="bottom"/>
          </w:tcPr>
          <w:p>
            <w:pPr>
              <w:spacing w:after="0"/>
              <w:rPr>
                <w:sz w:val="19"/>
                <w:szCs w:val="19"/>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 xml:space="preserve">Pre-Acq. CEC </w:t>
            </w:r>
            <w:r>
              <w:rPr>
                <w:rFonts w:ascii="Arial" w:cs="Arial" w:eastAsia="Arial" w:hAnsi="Arial"/>
                <w:sz w:val="21"/>
                <w:szCs w:val="21"/>
                <w:b w:val="1"/>
                <w:bCs w:val="1"/>
                <w:i w:val="1"/>
                <w:iCs w:val="1"/>
                <w:color w:val="auto"/>
                <w:w w:val="93"/>
                <w:vertAlign w:val="superscript"/>
              </w:rPr>
              <w:t>(f)</w:t>
            </w:r>
          </w:p>
        </w:tc>
        <w:tc>
          <w:tcPr>
            <w:tcW w:w="10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Pre-Acq. Trop &amp;</w:t>
            </w:r>
          </w:p>
        </w:tc>
        <w:tc>
          <w:tcPr>
            <w:tcW w:w="280" w:type="dxa"/>
            <w:vAlign w:val="bottom"/>
          </w:tcPr>
          <w:p>
            <w:pPr>
              <w:spacing w:after="0"/>
              <w:rPr>
                <w:sz w:val="19"/>
                <w:szCs w:val="19"/>
                <w:color w:val="auto"/>
              </w:rPr>
            </w:pPr>
          </w:p>
        </w:tc>
        <w:tc>
          <w:tcPr>
            <w:tcW w:w="11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(i)</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2"/>
          </w:tcPr>
          <w:p>
            <w:pPr>
              <w:ind w:left="280"/>
              <w:spacing w:after="0" w:line="108" w:lineRule="exact"/>
              <w:rPr>
                <w:sz w:val="20"/>
                <w:szCs w:val="20"/>
                <w:color w:val="auto"/>
              </w:rPr>
            </w:pPr>
            <w:r>
              <w:rPr>
                <w:rFonts w:ascii="Arial" w:cs="Arial" w:eastAsia="Arial" w:hAnsi="Arial"/>
                <w:sz w:val="11"/>
                <w:szCs w:val="11"/>
                <w:b w:val="1"/>
                <w:bCs w:val="1"/>
                <w:i w:val="1"/>
                <w:iCs w:val="1"/>
                <w:color w:val="auto"/>
              </w:rPr>
              <w:t>(h)</w:t>
            </w: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rPr>
              <w:t xml:space="preserve">Elgin </w:t>
            </w:r>
            <w:r>
              <w:rPr>
                <w:rFonts w:ascii="Arial" w:cs="Arial" w:eastAsia="Arial" w:hAnsi="Arial"/>
                <w:sz w:val="12"/>
                <w:szCs w:val="12"/>
                <w:b w:val="1"/>
                <w:bCs w:val="1"/>
                <w:i w:val="1"/>
                <w:iCs w:val="1"/>
                <w:color w:val="auto"/>
                <w:vertAlign w:val="superscript"/>
              </w:rPr>
              <w:t>(j)</w:t>
            </w: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loss (income) </w:t>
            </w:r>
            <w:r>
              <w:rPr>
                <w:rFonts w:ascii="Arial" w:cs="Arial" w:eastAsia="Arial" w:hAnsi="Arial"/>
                <w:sz w:val="21"/>
                <w:szCs w:val="21"/>
                <w:i w:val="1"/>
                <w:iCs w:val="1"/>
                <w:color w:val="auto"/>
                <w:vertAlign w:val="superscript"/>
              </w:rPr>
              <w:t>(a)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51" w:lineRule="auto"/>
        <w:tabs>
          <w:tab w:leader="none" w:pos="327" w:val="left"/>
        </w:tabs>
        <w:numPr>
          <w:ilvl w:val="0"/>
          <w:numId w:val="29"/>
        </w:numPr>
        <w:rPr>
          <w:rFonts w:ascii="Arial" w:cs="Arial" w:eastAsia="Arial" w:hAnsi="Arial"/>
          <w:sz w:val="17"/>
          <w:szCs w:val="17"/>
          <w:i w:val="1"/>
          <w:iCs w:val="1"/>
          <w:color w:val="212529"/>
          <w:vertAlign w:val="superscript"/>
        </w:rPr>
      </w:pPr>
      <w:r>
        <w:rPr>
          <w:rFonts w:ascii="Arial" w:cs="Arial" w:eastAsia="Arial" w:hAnsi="Arial"/>
          <w:sz w:val="13"/>
          <w:szCs w:val="13"/>
          <w:i w:val="1"/>
          <w:iCs w:val="1"/>
          <w:color w:val="auto"/>
        </w:rPr>
        <w:t>Other loss (income) for the year ended December 31, 2020 primarily represents gains resulting from the change in the foreign currency exchange rate associated with restricted cash held in GBP and a derivative contract associated with our expected acquisition of William Hill, gains on William Hill UK and Flutter stock held by the Company and realized gain on conversion of CEC’s 5% convertible notes. Partially offsetting these gains is a loss on the change in fair value of the derivative liability related to CEC’s 5% convertible notes. Other loss (income) for the year ended December 31, 2019 primarily represents unrealized loss on the change in fair value of the derivative liability related to CEC’s 5% convertible notes.</w:t>
      </w:r>
    </w:p>
    <w:p>
      <w:pPr>
        <w:spacing w:after="0" w:line="28" w:lineRule="exact"/>
        <w:rPr>
          <w:rFonts w:ascii="Arial" w:cs="Arial" w:eastAsia="Arial" w:hAnsi="Arial"/>
          <w:sz w:val="17"/>
          <w:szCs w:val="17"/>
          <w:i w:val="1"/>
          <w:iCs w:val="1"/>
          <w:color w:val="212529"/>
          <w:vertAlign w:val="superscript"/>
        </w:rPr>
      </w:pPr>
    </w:p>
    <w:p>
      <w:pPr>
        <w:ind w:left="340" w:hanging="332"/>
        <w:spacing w:after="0" w:line="239" w:lineRule="auto"/>
        <w:tabs>
          <w:tab w:leader="none" w:pos="327" w:val="left"/>
        </w:tabs>
        <w:numPr>
          <w:ilvl w:val="0"/>
          <w:numId w:val="2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Loss on extinguishment of debt for the year ended December 31, 2020 primarily represents loss on early repayment of debt in connection with the consummation of the Merger. Loss on extinguishment of debt for the year ended December 31, 2019 is related to the pro-rated write off of deferred financing costs associated with permanent payments on the ERI Term Loan.</w:t>
      </w:r>
    </w:p>
    <w:p>
      <w:pPr>
        <w:spacing w:after="0" w:line="34" w:lineRule="exact"/>
        <w:rPr>
          <w:rFonts w:ascii="Arial" w:cs="Arial" w:eastAsia="Arial" w:hAnsi="Arial"/>
          <w:sz w:val="17"/>
          <w:szCs w:val="17"/>
          <w:i w:val="1"/>
          <w:iCs w:val="1"/>
          <w:color w:val="auto"/>
          <w:vertAlign w:val="superscript"/>
        </w:rPr>
      </w:pPr>
    </w:p>
    <w:p>
      <w:pPr>
        <w:ind w:left="340" w:hanging="332"/>
        <w:spacing w:after="0" w:line="239" w:lineRule="auto"/>
        <w:tabs>
          <w:tab w:leader="none" w:pos="336" w:val="left"/>
        </w:tabs>
        <w:numPr>
          <w:ilvl w:val="0"/>
          <w:numId w:val="2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Transaction costs and other operating costs for the years ended December 31, 2020 and 2019 primarily represent costs related to the Merger with Former Caesars, various contract or license termination exit costs, and severance costs. Transaction costs for the year ended December 31, 2018 primarily represent costs related to the Tropicana acquisition.</w:t>
      </w:r>
    </w:p>
    <w:p>
      <w:pPr>
        <w:ind w:left="320" w:hanging="312"/>
        <w:spacing w:after="0" w:line="237" w:lineRule="auto"/>
        <w:tabs>
          <w:tab w:leader="none" w:pos="320"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include internal labor charges related to certain departed executives and contract labor and other miscellaneous items.</w:t>
      </w:r>
    </w:p>
    <w:p>
      <w:pPr>
        <w:spacing w:after="0" w:line="46" w:lineRule="exact"/>
        <w:rPr>
          <w:rFonts w:ascii="Arial" w:cs="Arial" w:eastAsia="Arial" w:hAnsi="Arial"/>
          <w:sz w:val="19"/>
          <w:szCs w:val="19"/>
          <w:i w:val="1"/>
          <w:iCs w:val="1"/>
          <w:color w:val="auto"/>
          <w:vertAlign w:val="superscript"/>
        </w:rPr>
      </w:pPr>
    </w:p>
    <w:p>
      <w:pPr>
        <w:ind w:left="340" w:hanging="332"/>
        <w:spacing w:after="0" w:line="210" w:lineRule="auto"/>
        <w:tabs>
          <w:tab w:leader="none" w:pos="336"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Discontinued operations include Horseshoe Hammond, Caesars Southern Indiana, Harrah’s Louisiana Downs, Caesars UK group including Emerald Resorts &amp; Casino, and Bally’s Atlantic City.</w:t>
      </w:r>
    </w:p>
    <w:p>
      <w:pPr>
        <w:spacing w:after="0" w:line="33" w:lineRule="exact"/>
        <w:rPr>
          <w:rFonts w:ascii="Arial" w:cs="Arial" w:eastAsia="Arial" w:hAnsi="Arial"/>
          <w:sz w:val="19"/>
          <w:szCs w:val="19"/>
          <w:i w:val="1"/>
          <w:iCs w:val="1"/>
          <w:color w:val="auto"/>
          <w:vertAlign w:val="superscript"/>
        </w:rPr>
      </w:pPr>
    </w:p>
    <w:p>
      <w:pPr>
        <w:jc w:val="both"/>
        <w:ind w:left="340" w:hanging="332"/>
        <w:spacing w:after="0" w:line="224" w:lineRule="auto"/>
        <w:tabs>
          <w:tab w:leader="none" w:pos="334"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Pre-acquisition CEC represents results of operations for Former Caesars for the period from January 1, 2020 to July 20, 2020, the date on which the Merger was consummated, for the year ended December 31, 2020, respectively, and for the years ended December 31, 2019 and 2018. Such figures are based on unaudited internal financial statements and have not been reviewed by the Company’s auditors and, for the 2020 periods, do not conform to GAAP.</w:t>
      </w:r>
    </w:p>
    <w:p>
      <w:pPr>
        <w:spacing w:after="0" w:line="35" w:lineRule="exact"/>
        <w:rPr>
          <w:rFonts w:ascii="Arial" w:cs="Arial" w:eastAsia="Arial" w:hAnsi="Arial"/>
          <w:sz w:val="19"/>
          <w:szCs w:val="19"/>
          <w:i w:val="1"/>
          <w:iCs w:val="1"/>
          <w:color w:val="auto"/>
          <w:vertAlign w:val="superscript"/>
        </w:rPr>
      </w:pPr>
    </w:p>
    <w:p>
      <w:pPr>
        <w:jc w:val="both"/>
        <w:ind w:left="340" w:hanging="332"/>
        <w:spacing w:after="0" w:line="228" w:lineRule="auto"/>
        <w:tabs>
          <w:tab w:leader="none" w:pos="327"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2020 Total for the year ended December 31, 2020 includes results of operations from discontinued operations and from Former Caesars prior to July 20, 2020, the date on which the Merger was consummated.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35" w:lineRule="exact"/>
        <w:rPr>
          <w:rFonts w:ascii="Arial" w:cs="Arial" w:eastAsia="Arial" w:hAnsi="Arial"/>
          <w:sz w:val="19"/>
          <w:szCs w:val="19"/>
          <w:i w:val="1"/>
          <w:iCs w:val="1"/>
          <w:color w:val="auto"/>
          <w:vertAlign w:val="superscript"/>
        </w:rPr>
      </w:pPr>
    </w:p>
    <w:p>
      <w:pPr>
        <w:jc w:val="both"/>
        <w:ind w:left="340" w:hanging="332"/>
        <w:spacing w:after="0" w:line="228" w:lineRule="auto"/>
        <w:tabs>
          <w:tab w:leader="none" w:pos="327"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Divestitures for the year ended December 31, 2020 include results of operations for Kansas City and Vicksburg, Eldorado Shreveport, Harrah’s Reno, and Bally’s Atlantic City. Divestitures for the year ended December 31, 2019 and 2018 include results of operations for Presque, Nemacolin, Mountaineer, Cape Girardeau, Caruthersville, Kansas City, Vicksburg, Eldorado Shreveport, Harrah’s Reno and Bally’s Atlantic City. Such figures are based on unaudited internal financial statements and have not been reviewed by the Company’s auditors and do not conform to GAAP.</w:t>
      </w:r>
    </w:p>
    <w:p>
      <w:pPr>
        <w:spacing w:after="0" w:line="35" w:lineRule="exact"/>
        <w:rPr>
          <w:rFonts w:ascii="Arial" w:cs="Arial" w:eastAsia="Arial" w:hAnsi="Arial"/>
          <w:sz w:val="19"/>
          <w:szCs w:val="19"/>
          <w:i w:val="1"/>
          <w:iCs w:val="1"/>
          <w:color w:val="auto"/>
          <w:vertAlign w:val="superscript"/>
        </w:rPr>
      </w:pPr>
    </w:p>
    <w:p>
      <w:pPr>
        <w:jc w:val="both"/>
        <w:ind w:left="340" w:hanging="332"/>
        <w:spacing w:after="0" w:line="231" w:lineRule="auto"/>
        <w:tabs>
          <w:tab w:leader="none" w:pos="334"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2020, 2019, and 2018 Totals for the years ended December 31, 2020, 2019 and 2018 exclude results of operations from divestitures as detailed in (g) and includes results of operations from discontinued operations and from Former Caesars prior to July 20, 2020, the date, on which the Merger was consummated.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33" w:lineRule="exact"/>
        <w:rPr>
          <w:rFonts w:ascii="Arial" w:cs="Arial" w:eastAsia="Arial" w:hAnsi="Arial"/>
          <w:sz w:val="19"/>
          <w:szCs w:val="19"/>
          <w:i w:val="1"/>
          <w:iCs w:val="1"/>
          <w:color w:val="auto"/>
          <w:vertAlign w:val="superscript"/>
        </w:rPr>
      </w:pPr>
    </w:p>
    <w:p>
      <w:pPr>
        <w:ind w:left="340" w:hanging="332"/>
        <w:spacing w:after="0" w:line="239" w:lineRule="auto"/>
        <w:tabs>
          <w:tab w:leader="none" w:pos="334" w:val="left"/>
        </w:tabs>
        <w:numPr>
          <w:ilvl w:val="0"/>
          <w:numId w:val="2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Pre-acquisition Trop &amp; Elgin represents results of operations for Tropicana for the nine months ended September 30, 2018 and for Elgin for the period beginning January 1, 2018 and ending August 6, 2018. Such figures are based on unaudited internal financial statements and have not been reviewed by the Company’s auditors and do not conform to GAAP.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 from our subsidiaries and our ability to raise capital. Our primary sources of liquidity and capital resources have been existing cash on hand, cash flow from operations, borrowings under our revolving credit facilities, proceeds from the issuance of debt and equity securities and proceeds from completed asset sales and sale leaseback transactions.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8"/>
          <w:szCs w:val="18"/>
          <w:color w:val="auto"/>
        </w:rPr>
        <w:t xml:space="preserve">Our cash requirements fluctuate significantly depending on our decisions with respect to business acquisitions or divestitures and strategic capital investments to maintain the quality of our properties. Our operating cash flows also significantly depend on our properties to remain open. As describe above, all of our casino properties were temporarily closed for the period from mid-March 2020 through mid-May 2020 due to orders issued by various government agencies and tribal bodies to reduce the spread of COVID-19. Beginning on May 15, 2020, we began reopening our properties and as of December 31, 2020 we have resumed operations at all of our properties, with the exception of additional temporary closures of Caesars Windsor, Harrah’s Philadelphia, and our properties in Illinois. In an effort to mitigate the impacts of COVID-19 </w:t>
      </w:r>
      <w:r>
        <w:rPr>
          <w:rFonts w:ascii="Arial" w:cs="Arial" w:eastAsia="Arial" w:hAnsi="Arial"/>
          <w:sz w:val="18"/>
          <w:szCs w:val="18"/>
          <w:color w:val="212529"/>
        </w:rPr>
        <w:t>public health emergency</w:t>
      </w:r>
      <w:r>
        <w:rPr>
          <w:rFonts w:ascii="Arial" w:cs="Arial" w:eastAsia="Arial" w:hAnsi="Arial"/>
          <w:sz w:val="18"/>
          <w:szCs w:val="18"/>
          <w:color w:val="auto"/>
        </w:rPr>
        <w:t xml:space="preserve"> on our business and maintain liquidity, we furloughed approximately 90% of our employees beginning on April 11, 2020. A portion of the workforce has returned to service as the properties have resumed with limited capacities and in compliance with operating restrictions in accordance with governmental orders, directives and guidelines. As a result of these payroll changes combined with other cost saving measures, our operating expenses and operating cash flows were reduced significantly.</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an effort to maintain liquidity and provide financial flexibility as the effects of COVID-19 </w:t>
      </w:r>
      <w:r>
        <w:rPr>
          <w:rFonts w:ascii="Arial" w:cs="Arial" w:eastAsia="Arial" w:hAnsi="Arial"/>
          <w:sz w:val="18"/>
          <w:szCs w:val="18"/>
          <w:color w:val="212529"/>
        </w:rPr>
        <w:t>public health emergency</w:t>
      </w:r>
      <w:r>
        <w:rPr>
          <w:rFonts w:ascii="Arial" w:cs="Arial" w:eastAsia="Arial" w:hAnsi="Arial"/>
          <w:sz w:val="18"/>
          <w:szCs w:val="18"/>
          <w:color w:val="auto"/>
        </w:rPr>
        <w:t xml:space="preserve"> continued to evolve and impact global financial markets, we borrowed $465 million under our revolving credit facility on March 16, 2020, which we repaid utilizing, in part, proceeds from the sale of our interests in Kansas City and Vicksburg. Additionally, on June 19, 2020, we completed a public offering of 20,700,000 shares of Company Common Stock, at an offering price of $39.00 per share, which provided $772 million of proceeds, net of fees and estimated expenses of $35 million, for general corporate purposes.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 2020, we completed the sale of Kansas City and Vicksburg for $230 million and used a portion of the proceeds to repay the outstanding balance under our revolving credit facility. In addition, we closed the sale of Harrah’s Reno on September 30, 2020 which provided additional proceeds of $8 million, net of certain closing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2020, we issued $3.4 billion aggregate principal amount of 6.25% Senior Secured Notes due 2025 (the “CEI Senior Secured Notes”), $1.8 billion aggregate principal amount of 8.125% Senior Notes due 2027 (the “CEI Senior Notes”) and $1.0 billion aggregate principal amount of 5.75% Senior Secured Notes due 2025 (the “CRC Senior Secured Notes”).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20, 2020, in connection with the Merger, we consummated certain sale leaseback transactions with VICI with respect to Harrah’s New Orleans, Harrah’s Laughlin and Harrah’s Resort Atlantic City, including the Harrah’s Atlantic City Waterfront Conference Center, for approximately $1.8 billion of net proceeds. Additionally, we received a one-time payment from VICI of approximately $1.4 billion for amendments to the VICI Leases. Furthermore, we entered into an incremental agreement to the existing CRC credit agreement, for an incremental term loan in an aggregate principal amount of $1.8 billion.</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consummation of the Merger, on July 20, 2020, our current and future liquidity significantly changed. A portion of the proceeds from our newly issued debt and proceeds we received from VICI, as well as cash on hand generated from the sale of Company Common Stock, were used</w:t>
      </w:r>
    </w:p>
    <w:p>
      <w:pPr>
        <w:jc w:val="both"/>
        <w:ind w:firstLine="8"/>
        <w:spacing w:after="0" w:line="252" w:lineRule="auto"/>
        <w:tabs>
          <w:tab w:leader="none" w:pos="2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fund a portion of the cash consideration of the Merger, (b) to prepay in full the loans outstanding and terminate all commitments under our existing credit agreement, dated as of April 17, 2017, (c) to satisfy and discharge our Senior Notes, (d) to repay $975 million of the outstanding amount under the existing CRC Revolving Credit Facility, (e) to repay in full the loans outstanding and terminate all commitments under the existing CEOC, LLC credit agreement, dated as of October 6, 2017, (f) to pay fees and expenses related to the financing arrangements, and (g) for general corporate purposes. Additionally, we entered into the CEI Revolving Credit Facility which provides for a five-year senior secured revolving credit facility in an aggregate principal amount of $1.2 billion, that matures in 2025.</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On September 18, 2020, we entered into a </w:t>
      </w:r>
      <w:r>
        <w:rPr>
          <w:rFonts w:ascii="Arial" w:cs="Arial" w:eastAsia="Arial" w:hAnsi="Arial"/>
          <w:sz w:val="17"/>
          <w:szCs w:val="17"/>
          <w:color w:val="000000"/>
        </w:rPr>
        <w:t>$400 million</w:t>
      </w:r>
      <w:r>
        <w:rPr>
          <w:rFonts w:ascii="Arial" w:cs="Arial" w:eastAsia="Arial" w:hAnsi="Arial"/>
          <w:sz w:val="17"/>
          <w:szCs w:val="17"/>
          <w:color w:val="212529"/>
        </w:rPr>
        <w:t xml:space="preserve"> loan agreement with a subsidiary of VICI for a term of five years, with such loan secured by, among other things, a first priority fee mortgage on the Caesars Forum Convention Center (the “Forum Convention Center Mortgage Loan”). The interest rate on the Forum Convention Center Mortgage Loan is initially </w:t>
      </w:r>
      <w:r>
        <w:rPr>
          <w:rFonts w:ascii="Arial" w:cs="Arial" w:eastAsia="Arial" w:hAnsi="Arial"/>
          <w:sz w:val="17"/>
          <w:szCs w:val="17"/>
          <w:color w:val="000000"/>
        </w:rPr>
        <w:t>7.7% per annum, which escalates annually to a maximum interest rate of 8.3% per annum.</w:t>
      </w:r>
      <w:r>
        <w:rPr>
          <w:rFonts w:ascii="Arial" w:cs="Arial" w:eastAsia="Arial" w:hAnsi="Arial"/>
          <w:sz w:val="17"/>
          <w:szCs w:val="17"/>
          <w:color w:val="212529"/>
        </w:rPr>
        <w:t xml:space="preserve"> After the second anniversary of the closing of the loan, we have the option of prepaying the loan, which may include a premium.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cash on hand and revolving borrowing capacity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 2020</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r>
      <w:tr>
        <w:trPr>
          <w:trHeight w:val="213"/>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Revolver capacity</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6"/>
        </w:trPr>
        <w:tc>
          <w:tcPr>
            <w:tcW w:w="20" w:type="dxa"/>
            <w:vAlign w:val="bottom"/>
          </w:tcPr>
          <w:p>
            <w:pPr>
              <w:spacing w:after="0"/>
              <w:rPr>
                <w:sz w:val="17"/>
                <w:szCs w:val="17"/>
                <w:color w:val="auto"/>
              </w:rPr>
            </w:pPr>
          </w:p>
        </w:tc>
        <w:tc>
          <w:tcPr>
            <w:tcW w:w="924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On September 30, 2020, we announced that we had reached an agreement with William Hill on the terms of a recommended cash acquisition pursuant to which we would acquire the entire issued and to be issued share capital (other than shares owned by us or held in treasury) of William Hill, in an all-cash transaction of approximately £2.9 billion, or $3.7 billion. As required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7"/>
          <w:szCs w:val="17"/>
          <w:color w:val="212529"/>
        </w:rPr>
        <w:t xml:space="preserve">by UK regulations, we were required to provide a cash confirmation of funding for our potential acquisition of William Hill. In support of the confirmation process, on September 25, 2020, we borrowed </w:t>
      </w:r>
      <w:r>
        <w:rPr>
          <w:rFonts w:ascii="Arial" w:cs="Arial" w:eastAsia="Arial" w:hAnsi="Arial"/>
          <w:sz w:val="17"/>
          <w:szCs w:val="17"/>
          <w:color w:val="000000"/>
        </w:rPr>
        <w:t>$900 million</w:t>
      </w:r>
      <w:r>
        <w:rPr>
          <w:rFonts w:ascii="Arial" w:cs="Arial" w:eastAsia="Arial" w:hAnsi="Arial"/>
          <w:sz w:val="17"/>
          <w:szCs w:val="17"/>
          <w:color w:val="212529"/>
        </w:rPr>
        <w:t xml:space="preserve"> on our CEI Revolving Credit Facility. The transaction remains conditional on, among other things, approvals from state, federal and international regulators. We entered into a foreign exchange forward contract to hedge the risk of appreciation of the GBP denominated purchase price for the proposed William Hill acquisition. Under the agreement, we have agreed to purchase £536 million at a contracted exchange rate. The forward term of the contract ends on March 31, 2021.</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On October 1, 2020, we completed a public offering of </w:t>
      </w:r>
      <w:r>
        <w:rPr>
          <w:rFonts w:ascii="Arial" w:cs="Arial" w:eastAsia="Arial" w:hAnsi="Arial"/>
          <w:sz w:val="17"/>
          <w:szCs w:val="17"/>
          <w:color w:val="000000"/>
        </w:rPr>
        <w:t>35,650,000</w:t>
      </w:r>
      <w:r>
        <w:rPr>
          <w:rFonts w:ascii="Arial" w:cs="Arial" w:eastAsia="Arial" w:hAnsi="Arial"/>
          <w:sz w:val="17"/>
          <w:szCs w:val="17"/>
          <w:color w:val="212529"/>
        </w:rPr>
        <w:t xml:space="preserve"> shares of Company Common Stock at an offering price of </w:t>
      </w:r>
      <w:r>
        <w:rPr>
          <w:rFonts w:ascii="Arial" w:cs="Arial" w:eastAsia="Arial" w:hAnsi="Arial"/>
          <w:sz w:val="17"/>
          <w:szCs w:val="17"/>
          <w:color w:val="000000"/>
        </w:rPr>
        <w:t>$56.00 per share.</w:t>
      </w:r>
      <w:r>
        <w:rPr>
          <w:rFonts w:ascii="Arial" w:cs="Arial" w:eastAsia="Arial" w:hAnsi="Arial"/>
          <w:sz w:val="17"/>
          <w:szCs w:val="17"/>
          <w:color w:val="212529"/>
        </w:rPr>
        <w:t xml:space="preserve"> Net proceeds from the offering, after deducting the underwriting discounts and commissions and estimated expenses, were approximately </w:t>
      </w:r>
      <w:r>
        <w:rPr>
          <w:rFonts w:ascii="Arial" w:cs="Arial" w:eastAsia="Arial" w:hAnsi="Arial"/>
          <w:sz w:val="17"/>
          <w:szCs w:val="17"/>
          <w:color w:val="000000"/>
        </w:rPr>
        <w:t>$1.9 billion which we</w:t>
      </w:r>
      <w:r>
        <w:rPr>
          <w:rFonts w:ascii="Arial" w:cs="Arial" w:eastAsia="Arial" w:hAnsi="Arial"/>
          <w:sz w:val="17"/>
          <w:szCs w:val="17"/>
          <w:color w:val="212529"/>
        </w:rPr>
        <w:t xml:space="preserve"> </w:t>
      </w:r>
      <w:r>
        <w:rPr>
          <w:rFonts w:ascii="Arial" w:cs="Arial" w:eastAsia="Arial" w:hAnsi="Arial"/>
          <w:sz w:val="17"/>
          <w:szCs w:val="17"/>
          <w:color w:val="000000"/>
        </w:rPr>
        <w:t xml:space="preserve">intend to use </w:t>
      </w:r>
      <w:r>
        <w:rPr>
          <w:rFonts w:ascii="Arial" w:cs="Arial" w:eastAsia="Arial" w:hAnsi="Arial"/>
          <w:sz w:val="17"/>
          <w:szCs w:val="17"/>
          <w:color w:val="212529"/>
        </w:rPr>
        <w:t>for general corporate purposes, including to finance a portion of the proposed William Hill acquisition. As of</w:t>
      </w:r>
      <w:r>
        <w:rPr>
          <w:rFonts w:ascii="Arial" w:cs="Arial" w:eastAsia="Arial" w:hAnsi="Arial"/>
          <w:sz w:val="17"/>
          <w:szCs w:val="17"/>
          <w:color w:val="000000"/>
        </w:rPr>
        <w:t xml:space="preserve"> December 31, 2020</w:t>
      </w:r>
      <w:r>
        <w:rPr>
          <w:rFonts w:ascii="Arial" w:cs="Arial" w:eastAsia="Arial" w:hAnsi="Arial"/>
          <w:sz w:val="17"/>
          <w:szCs w:val="17"/>
          <w:color w:val="212529"/>
        </w:rPr>
        <w:t>, we have</w:t>
      </w:r>
      <w:r>
        <w:rPr>
          <w:rFonts w:ascii="Arial" w:cs="Arial" w:eastAsia="Arial" w:hAnsi="Arial"/>
          <w:sz w:val="17"/>
          <w:szCs w:val="17"/>
          <w:color w:val="000000"/>
        </w:rPr>
        <w:t xml:space="preserve"> </w:t>
      </w:r>
      <w:r>
        <w:rPr>
          <w:rFonts w:ascii="Arial" w:cs="Arial" w:eastAsia="Arial" w:hAnsi="Arial"/>
          <w:sz w:val="17"/>
          <w:szCs w:val="17"/>
          <w:color w:val="212529"/>
        </w:rPr>
        <w:t>restricted cash of approximately $1.9 billion which we expect to apply to pay a portion of the purchase price of the acquisition.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 xml:space="preserve">On October 6, 2020, we entered into a </w:t>
      </w:r>
      <w:r>
        <w:rPr>
          <w:rFonts w:ascii="Arial" w:cs="Arial" w:eastAsia="Arial" w:hAnsi="Arial"/>
          <w:sz w:val="17"/>
          <w:szCs w:val="17"/>
          <w:color w:val="000000"/>
        </w:rPr>
        <w:t>£1.5 billion</w:t>
      </w:r>
      <w:r>
        <w:rPr>
          <w:rFonts w:ascii="Arial" w:cs="Arial" w:eastAsia="Arial" w:hAnsi="Arial"/>
          <w:sz w:val="17"/>
          <w:szCs w:val="17"/>
          <w:color w:val="212529"/>
        </w:rPr>
        <w:t xml:space="preserve"> Interim Facilities Agreement with Deutsche Bank AG, London Branch and JPMorgan Chase Bank, N.A. Pursuant to the Interim Facilities Agreement, such lenders have made available to the Company: (a) a 540-day </w:t>
      </w:r>
      <w:r>
        <w:rPr>
          <w:rFonts w:ascii="Arial" w:cs="Arial" w:eastAsia="Arial" w:hAnsi="Arial"/>
          <w:sz w:val="17"/>
          <w:szCs w:val="17"/>
          <w:color w:val="000000"/>
        </w:rPr>
        <w:t>£1.0 billion</w:t>
      </w:r>
      <w:r>
        <w:rPr>
          <w:rFonts w:ascii="Arial" w:cs="Arial" w:eastAsia="Arial" w:hAnsi="Arial"/>
          <w:sz w:val="17"/>
          <w:szCs w:val="17"/>
          <w:color w:val="212529"/>
        </w:rPr>
        <w:t xml:space="preserve"> asset sale bridge facility and (b) a 60-day </w:t>
      </w:r>
      <w:r>
        <w:rPr>
          <w:rFonts w:ascii="Arial" w:cs="Arial" w:eastAsia="Arial" w:hAnsi="Arial"/>
          <w:sz w:val="17"/>
          <w:szCs w:val="17"/>
          <w:color w:val="000000"/>
        </w:rPr>
        <w:t>£503 million</w:t>
      </w:r>
      <w:r>
        <w:rPr>
          <w:rFonts w:ascii="Arial" w:cs="Arial" w:eastAsia="Arial" w:hAnsi="Arial"/>
          <w:sz w:val="17"/>
          <w:szCs w:val="17"/>
          <w:color w:val="212529"/>
        </w:rPr>
        <w:t xml:space="preserve"> cash confirmation bridge facility (collectively, the “Facility”). The Facility may be used to finance the acquisition, refinance or otherwise discharge the indebtedness of William Hill and its subsidiaries, pay transaction fees and expenses related to the foregoing and for working capital and general corporate purposes, among other things. The availability of the borrowings under the Facility is subject to the satisfaction of certain customary conditions. If drawn upon, outstanding borrowings under the Facility will bear interest at a rate equal to the London interbank offered rate plus 3.50% per annum. We entered into the Interim Facilities Agreement in connection with requirement under applicable United Kingdom law to demonstrate that we have “funds certain” to pay the entirety of the cash purchase price for the proposed acquisition of William Hill. We do not intend to borrow under the Interim Facilities Agreement. Instead, we intend to negotiate long-form financing documentation pursuant to which a subsidiary will incur the Debt Financing for the acquisition.</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capital required to complete the proposed acquisition of William Hill, we expect that our primary capital requirements going forward will relate to the operation and maintenance of our properties, taxes, servicing our outstanding indebtedness, and rent payments under the GLPI Master Lease, the VICI Leases and other leases. We make capital expenditures and perform continuing refurbishment and maintenance at our properties to maintain our quality standards. Our capital expenditure requirements for 2021 are expected to significantly increase as a result of the additional properties acquired in the Merger and new development projects. We also funded $400 million to escrow as of the closing of the Merger and will utilize those funds in accordance with a three year capital expenditure plan in the state of New Jersey, and an additional $25 million was funded in the fourth quarter of 2020 for improvements at our racing properties within the state of Indiana. These amounts are currently included in restricted cash. We are also in the process of a more than $47 million renovation to the resort rooms and suites of Silver Legacy Resort Casino, projected to be completed by summer 2021. In relation to the extension of the casino operating contract and ground lease for Harrah’s New Orleans (see Note 11), we are required to make a capital investment of $325 million by July 15, 2024.</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 xml:space="preserve">Cash spent for capital expenditures totaled </w:t>
      </w:r>
      <w:r>
        <w:rPr>
          <w:rFonts w:ascii="Arial" w:cs="Arial" w:eastAsia="Arial" w:hAnsi="Arial"/>
          <w:sz w:val="17"/>
          <w:szCs w:val="17"/>
          <w:color w:val="000000"/>
        </w:rPr>
        <w:t>$163 million, $171 million, $147 million</w:t>
      </w:r>
      <w:r>
        <w:rPr>
          <w:rFonts w:ascii="Arial" w:cs="Arial" w:eastAsia="Arial" w:hAnsi="Arial"/>
          <w:sz w:val="17"/>
          <w:szCs w:val="17"/>
          <w:color w:val="212529"/>
        </w:rPr>
        <w:t xml:space="preserve"> for the years ended </w:t>
      </w:r>
      <w:r>
        <w:rPr>
          <w:rFonts w:ascii="Arial" w:cs="Arial" w:eastAsia="Arial" w:hAnsi="Arial"/>
          <w:sz w:val="17"/>
          <w:szCs w:val="17"/>
          <w:color w:val="000000"/>
        </w:rPr>
        <w:t>December 31, 2020,</w:t>
      </w:r>
      <w:r>
        <w:rPr>
          <w:rFonts w:ascii="Arial" w:cs="Arial" w:eastAsia="Arial" w:hAnsi="Arial"/>
          <w:sz w:val="17"/>
          <w:szCs w:val="17"/>
          <w:color w:val="212529"/>
        </w:rPr>
        <w:t xml:space="preserve"> 2019 and 2018, respectively, related to our growth and maintenance capital projects. The following table summarizes our estimates for 2021 capital expenditures: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6"/>
                <w:szCs w:val="16"/>
                <w:color w:val="auto"/>
              </w:rPr>
            </w:pPr>
          </w:p>
        </w:tc>
        <w:tc>
          <w:tcPr>
            <w:tcW w:w="144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400" w:type="dxa"/>
            <w:vAlign w:val="bottom"/>
          </w:tcPr>
          <w:p>
            <w:pPr>
              <w:spacing w:after="0"/>
              <w:rPr>
                <w:sz w:val="16"/>
                <w:szCs w:val="16"/>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High</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Indiana</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Lake Charles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Orleans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Other growth and maintenance projects </w:t>
            </w:r>
            <w:r>
              <w:rPr>
                <w:rFonts w:ascii="Arial" w:cs="Arial" w:eastAsia="Arial" w:hAnsi="Arial"/>
                <w:sz w:val="21"/>
                <w:szCs w:val="21"/>
                <w:i w:val="1"/>
                <w:iCs w:val="1"/>
                <w:color w:val="auto"/>
                <w:vertAlign w:val="superscript"/>
              </w:rPr>
              <w:t>(a)</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unrestricted cash and insurance proceeds</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Total estimated capital expenditures in 2021</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3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Includes capital expenditures that may be incurred at our Atlantic City, Indiana and Lake Charles properties for normal maintenance projects in addition to amounts described above.</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12529"/>
        </w:rPr>
        <w:t xml:space="preserve">On August 27, 2020, Hurricane Laura made landfall on Lake Charles as a Category 4 storm. The hurricane severely damaged the Isle of Capri Casino Lake Charles, as a result of which the Company has recorded an insurance receivable of </w:t>
      </w:r>
      <w:r>
        <w:rPr>
          <w:rFonts w:ascii="Arial" w:cs="Arial" w:eastAsia="Arial" w:hAnsi="Arial"/>
          <w:sz w:val="18"/>
          <w:szCs w:val="18"/>
          <w:color w:val="000000"/>
        </w:rPr>
        <w:t>$44 million,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 xml:space="preserve">which $15 million related to fixed asset impairments and $29 million </w:t>
      </w:r>
      <w:r>
        <w:rPr>
          <w:rFonts w:ascii="Arial" w:cs="Arial" w:eastAsia="Arial" w:hAnsi="Arial"/>
          <w:sz w:val="18"/>
          <w:szCs w:val="18"/>
          <w:color w:val="212529"/>
        </w:rPr>
        <w:t>related to remediation costs and repairs that have been incurred in</w:t>
      </w:r>
      <w:r>
        <w:rPr>
          <w:rFonts w:ascii="Arial" w:cs="Arial" w:eastAsia="Arial" w:hAnsi="Arial"/>
          <w:sz w:val="18"/>
          <w:szCs w:val="18"/>
          <w:color w:val="auto"/>
        </w:rPr>
        <w:t xml:space="preserve"> the year ended December 31, 2020</w:t>
      </w:r>
      <w:r>
        <w:rPr>
          <w:rFonts w:ascii="Arial" w:cs="Arial" w:eastAsia="Arial" w:hAnsi="Arial"/>
          <w:sz w:val="18"/>
          <w:szCs w:val="18"/>
          <w:color w:val="212529"/>
        </w:rPr>
        <w:t>. The property will remain closed</w:t>
      </w:r>
      <w:r>
        <w:rPr>
          <w:rFonts w:ascii="Arial" w:cs="Arial" w:eastAsia="Arial" w:hAnsi="Arial"/>
          <w:sz w:val="18"/>
          <w:szCs w:val="18"/>
          <w:color w:val="auto"/>
        </w:rPr>
        <w:t xml:space="preserve"> until construction of a new land-based casino is complete.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liquidity needs are for debt service and payments associated with our leases. In addition to our newly issued debt, our debt obligations increased as a result of outstanding debt of Former Caesars that remained outstanding following the consummation of the Merger. Our estimated debt service (including principal and interest) is approximately $907 million for 2021. We also lease certain real property assets from third parties, including GLPI and VICI. We estimate our lease payments to be approximately $1.1 billion for 2021.</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5% Convertible Notes (defined below) remain outstanding following the consummation of the Merger. As a result of the Merger, the 5% Convertible Notes are convertible into weighted average of the number of shares of Company Common Stock and the amount of cash actually received per share by holders of common stock of Former Caesars that made elections for consideration in the Merger. The 5% Convertible Notes are convertible at any time at the option of the holders thereof or the Company. We do not intend to exercise our option to cause the conversion of the 5% Convertible Notes prior to maturity. As of December 31, 2020, we have paid approximately $903 million and issued approximately 10.8 million shares upon conversion of $770 million in aggregate principal amount of the 5% Convertible Notes during 2020. At such time as the holders of the 5% Convertible Notes elect to cause conversion, we estimate using cash of $379 million and issuing 4.5 million shares to settle the remaining outstanding 5% Convertible Notes as of December 31, 2020.</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24, 2020, the Company entered into a definitive purchase agreement with </w:t>
      </w:r>
      <w:r>
        <w:rPr>
          <w:rFonts w:ascii="Arial" w:cs="Arial" w:eastAsia="Arial" w:hAnsi="Arial"/>
          <w:sz w:val="18"/>
          <w:szCs w:val="18"/>
          <w:color w:val="212529"/>
        </w:rPr>
        <w:t>Twin River</w:t>
      </w:r>
      <w:r>
        <w:rPr>
          <w:rFonts w:ascii="Arial" w:cs="Arial" w:eastAsia="Arial" w:hAnsi="Arial"/>
          <w:sz w:val="18"/>
          <w:szCs w:val="18"/>
          <w:color w:val="auto"/>
        </w:rPr>
        <w:t xml:space="preserve"> and certain of its affiliates for the sale of the equity interests of Eldorado Resort Casino Shreveport Joint Venture and Columbia Properties Tahoe, LLC, the entities that hold Eldorado Shreveport and MontBleu, respectively, for aggregate consideration of $155 million, subject to a customary working capital adjustment. The definitive agreement provides that the consummation of the sale is subject to satisfaction of customary conditions, including receipt of required regulatory approvals. On December 23, 2020, the Company consummated the sale of Eldorado Shreveport to Bally's Corporation for $140 million resulting in a gain of $29 million. MontBleu is expected to close in the first half of 2021.</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3, 2020, the Company and VICI entered into agreement to sell Harrah’s Louisiana Downs with Rubico Acquisition Corp. for $22 million, subject to a customary working capital adjustment, where the proceeds will be split between the Company and VICI. The sale is subject to satisfaction of customary conditions, including receipt of required regulatory approvals and is expected to close in the first half of 2021.</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We previously reached an agreement with VICI and closed the sale of Bally’s Atlantic City Hotel &amp; Casino to Bally’s Corporation for </w:t>
      </w:r>
      <w:r>
        <w:rPr>
          <w:rFonts w:ascii="Arial" w:cs="Arial" w:eastAsia="Arial" w:hAnsi="Arial"/>
          <w:sz w:val="18"/>
          <w:szCs w:val="18"/>
          <w:color w:val="000000"/>
        </w:rPr>
        <w:t>$25 million</w:t>
      </w:r>
      <w:r>
        <w:rPr>
          <w:rFonts w:ascii="Arial" w:cs="Arial" w:eastAsia="Arial" w:hAnsi="Arial"/>
          <w:sz w:val="18"/>
          <w:szCs w:val="18"/>
          <w:color w:val="212529"/>
        </w:rPr>
        <w:t xml:space="preserve"> on </w:t>
      </w:r>
      <w:r>
        <w:rPr>
          <w:rFonts w:ascii="Arial" w:cs="Arial" w:eastAsia="Arial" w:hAnsi="Arial"/>
          <w:sz w:val="18"/>
          <w:szCs w:val="18"/>
          <w:color w:val="000000"/>
        </w:rPr>
        <w:t>November 18, 2020</w:t>
      </w:r>
      <w:r>
        <w:rPr>
          <w:rFonts w:ascii="Arial" w:cs="Arial" w:eastAsia="Arial" w:hAnsi="Arial"/>
          <w:sz w:val="18"/>
          <w:szCs w:val="18"/>
          <w:color w:val="212529"/>
        </w:rPr>
        <w:t>. The proceeds from the sale were split between the Company and VICI, and the Company received</w:t>
      </w:r>
      <w:r>
        <w:rPr>
          <w:rFonts w:ascii="Arial" w:cs="Arial" w:eastAsia="Arial" w:hAnsi="Arial"/>
          <w:sz w:val="18"/>
          <w:szCs w:val="18"/>
          <w:color w:val="000000"/>
        </w:rPr>
        <w:t xml:space="preserve"> $5 million </w:t>
      </w:r>
      <w:r>
        <w:rPr>
          <w:rFonts w:ascii="Arial" w:cs="Arial" w:eastAsia="Arial" w:hAnsi="Arial"/>
          <w:sz w:val="18"/>
          <w:szCs w:val="18"/>
          <w:color w:val="212529"/>
        </w:rPr>
        <w:t>of net proceeds. In</w:t>
      </w:r>
      <w:r>
        <w:rPr>
          <w:rFonts w:ascii="Arial" w:cs="Arial" w:eastAsia="Arial" w:hAnsi="Arial"/>
          <w:sz w:val="18"/>
          <w:szCs w:val="18"/>
          <w:color w:val="000000"/>
        </w:rPr>
        <w:t xml:space="preserve"> </w:t>
      </w:r>
      <w:r>
        <w:rPr>
          <w:rFonts w:ascii="Arial" w:cs="Arial" w:eastAsia="Arial" w:hAnsi="Arial"/>
          <w:sz w:val="18"/>
          <w:szCs w:val="18"/>
          <w:color w:val="212529"/>
        </w:rPr>
        <w:t xml:space="preserve">addition, on October 9, 2020, we reached an agreement to sell the Bally’s brand to Bally’s Corporation Worldwide Holding, Inc. for </w:t>
      </w:r>
      <w:r>
        <w:rPr>
          <w:rFonts w:ascii="Arial" w:cs="Arial" w:eastAsia="Arial" w:hAnsi="Arial"/>
          <w:sz w:val="18"/>
          <w:szCs w:val="18"/>
          <w:color w:val="000000"/>
        </w:rPr>
        <w:t>$20 million</w:t>
      </w:r>
      <w:r>
        <w:rPr>
          <w:rFonts w:ascii="Arial" w:cs="Arial" w:eastAsia="Arial" w:hAnsi="Arial"/>
          <w:sz w:val="18"/>
          <w:szCs w:val="18"/>
          <w:color w:val="212529"/>
        </w:rPr>
        <w:t>, while retaining the right to use the brand within Bally’s Las Vegas into perpetuity.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2020, the Company entered into an agreement to sell Evansville to GLPI and Twin River for $480 million in cash, subject to a customary working capital adjustment. The sale is subject to satisfaction of customary conditions, including receipt of required regulatory approvals and is expected to close in mid-2021.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 2020, the Company entered into a definitive agreement with CQ Holding Company, Inc. to sell the equity interests of Baton Rouge. The definitive agreement provides that the consummation of the sale is subject to satisfaction of customary conditions, including receipt of required regulatory approvals and is expected to close in mid-2021.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an agreement to sell Caesars Southern Indiana to the EBCI for $250 million, subject to a customary working capital adjustment.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In addition to the agreements above, we also expect to enter into additional agreements to divest of Horseshoe Hammond </w:t>
      </w:r>
      <w:r>
        <w:rPr>
          <w:rFonts w:ascii="Arial" w:cs="Arial" w:eastAsia="Arial" w:hAnsi="Arial"/>
          <w:sz w:val="18"/>
          <w:szCs w:val="18"/>
          <w:color w:val="000000"/>
        </w:rPr>
        <w:t>prior to December 31, 2021</w:t>
      </w:r>
      <w:r>
        <w:rPr>
          <w:rFonts w:ascii="Arial" w:cs="Arial" w:eastAsia="Arial" w:hAnsi="Arial"/>
          <w:sz w:val="18"/>
          <w:szCs w:val="18"/>
          <w:color w:val="212529"/>
        </w:rPr>
        <w:t>. Further, we expect to enter into agreements to sell several other non-core properties including our international properties within our Caesars UK group, which includes Emerald Resorts Casino. We expect these divestitures to close by mid-year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expect that our current liquidity, cash flows from operations, borrowings under committed credit facilities and proceeds from the announced asset sales,</w:t>
      </w:r>
      <w:r>
        <w:rPr>
          <w:rFonts w:ascii="Arial" w:cs="Arial" w:eastAsia="Arial" w:hAnsi="Arial"/>
          <w:sz w:val="18"/>
          <w:szCs w:val="18"/>
          <w:color w:val="auto"/>
        </w:rPr>
        <w:t xml:space="preserve"> </w:t>
      </w:r>
      <w:r>
        <w:rPr>
          <w:rFonts w:ascii="Arial" w:cs="Arial" w:eastAsia="Arial" w:hAnsi="Arial"/>
          <w:sz w:val="18"/>
          <w:szCs w:val="18"/>
          <w:color w:val="212529"/>
        </w:rPr>
        <w:t>will be sufficient to fund our operations, capital requirements and service our outstanding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7"/>
          <w:szCs w:val="17"/>
          <w:color w:val="212529"/>
        </w:rPr>
        <w:t>indebtedness for the next twelve months. However, the COVID-19 public health emergency has had, and is expected to continue to have, an adverse effect on our business, financial condition and results of operations and has caused, and may continue to cause, disruption in the financial markets. While we have undertaken efforts to mitigate the impacts of COVID-19 on our business and maintain liquidity, the extent of the ongoing and future effects of the COVID-19 public health emergency on our business, results of operations and financial condition is uncertain and may adversely impact our liquidity in the future. Our ability to access additional capital may be adversely affected by the disruption in the financial markets caused by the COVID-19 public health emergency, restrictions on incurring additional indebtedness contained in the agreements governing our indebtedness and the impact of the public health emergency on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the CEI Revolving Credit Facility and the indentures related to the CRC Senior Notes and CEI Senior Secured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The covenants in the indenture for the 5% Convertible Notes are limited as a result of amendments that became effective in connection with the consummation of the Merger.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results of operations have been materially adversely affected by the impacts of the COVID-19 public health emergency. As a result, the current terms of the CRC Credit Agreement and the CEI Credit Agreement provide that the financial covenant measurement period is not effective through September 30, 2021 so long as CRC and the Company, respectively, comply with a minimum liquidity requirement, which includes any such availability under the applicable revolving credit facilities.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GLPI Master Lease contains certain operating, capital expenditure and financial covenants thereunder, and our ability to comply with these covenants was negatively impacted by the effects of the COVID-19 public health emergency on our results of operations. On June 15, 2020, we entered into an amendment to the GLPI Master Lease which provides certain relief under these covenants in the event of facility closures due to public health emergencies, governmental restrictions and certain other instances of unavoidable delay. On July 17, 2020, the amendment to the GLPI Master Lease became effective as the Company obtained all necessary approvals and the applicable waiting period expired. Furthermore, the Company obtained waivers from VICI with relation to annual capital expenditure requirements for 2020.</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2020, we were in compliance with all of the applicable financial covenants under the CEI Credit Agreement, CEI Senior Secured Notes, CRC Credit Agreement, CEI Senior Notes, CRC Senior Secured Notes, 5% Convertible Notes, the GLPI Leases and VICI Leases.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8, 2018, we issued a press release announcing that our Board has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have acquired 223,823 shares of common stock under the program at an aggregate value of $9 million and an average of $40.80 per share. No shares were repurchased during the years ended December 31, 2020 or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Debt Obligations and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Debt Transactions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party to a credit agreement with JPMorgan Chase Bank, N.A., as administrative agent, and the lenders party thereto dated as of April 17, 2017 (as amended, the “ERI Credit Facility”), consisting of a $1.5 billion term loan facility and a $500 million revolving credit facility.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maintain liquidity and provide financial flexibility as the effects of COVID-19 continued to evolve and impact global financial markets, we borrowed $465 million under the ERI Credit Facility on March 16, 2020, which we repaid in July 2020 utilizing, in part, proceeds from the sale of our interests in Kansas City and Vicksburg.</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2020, Colt Merger Sub, Inc., a wholly-owned subsidiary of the Company (“Escrow Issuer”) issued $3.4 billion aggregate principal amount of 6.25% Senior Secured Notes due 2025, $1.8 billion aggregate principal amount of 8.125% Senior Notes due 2027 and $1.0 billion aggregate principal amount of 5.75% Senior Secured Notes due 2025.</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in connection with the closing of the Merger, the Company entered into a new credit agreement which provides a five-year senior secured revolving credit facility in an aggregate principal amount of $1.2 billion. In addition, Caesars Resort Collection, LLC, which became a wholly-owned subsidiary of the Company as a result of the Merger (“CRC”), entered into incremental agreements to the CRC Credit Agreement (described below) for an aggregate principal amount of $1.8 billion.</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portion of the proceeds from these arrangements was used to prepay in full the loans outstanding and terminate all commitments under the ERI Credit Facility, and to satisfy and discharge the Company’s 6% Senior Notes due 2025, 6% Senior Notes due 2026, and the 7% Senior Notes due 2023.</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6% Senior Notes due 2025 were redeemed at a redemption price of 104.5%, the 7% Senior Notes due 2023 were redeemed at a redemption price of 103.5%, and $210 million aggregate principal amount of the 6% Senior Notes due 2026 was redeemed at a redemption price of 106% with the remaining balance redeemed at a redemption price of 100% of the aggregate principal amount thereof plus the Applicable Premium, as defined in the indenture for the 6% Senior Notes due 2026. The redemption of these senior notes resulted in a loss on extinguishment of $132 million during the year ended December 31, 2020, which is recorded within Loss on extinguishment of debt on the Statement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6, 2020, Escrow Issuer issued $3.4 billion in aggregate principal amount of 6.25% CEI Senior Secured Notes due 2025 pursuant to an indenture dated July 6, 2020 (the “CEI Senior Secured Notes”), by and among the Escrow Issuer, U.S. Bank National Association, as trustee, and U.S. Bank National Association, as collateral agent. In connection with the consummation of the Merger, we assumed the rights and obligations under the CEI Senior Secured Notes and the indenture governing the CEI Senior Secured Notes on July 20, 2020. The CEI Senior Secured Notes will mature on July 1, 2025 with interest payable semi-annually in cash in arrears on January 1 and July 1 of each year, commencing January 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6, 2020, Escrow Issuer issued $1.8 billion in aggregate principal amount of 8.125% Senior Notes due 2027 pursuant to an indenture, dated July 6, 2020 (the “CEI Senior Notes”), by and between the Escrow Issuer and U.S. Bank National Association, as trustee. We assumed the rights and obligations under the CEI Senior Notes and the indenture governing the CEI Senior Notes on July 20, 2020. The CEI Secured Notes will mature on July 1, 2027 with interest payable semi-annually in cash in arrears on January 1 and July 1 of each year, commencing January 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Escrow Issuer issued $1.0 billion in aggregate principal amount of 5.75% Senior Notes due 2025 pursuant to an indenture, dated July 6, 2020 (the “CRC Senior Secured Notes”), by and among the Escrow Issuer, U.S. Bank National Association, as trustee and Credit Suisse AG, Cayman Islands Branch, as collateral agent. CRC assumed the rights and obligations under the CRC Senior Secured Notes and the indenture governing the CRC Senior Secured Notes on July 20, 2020. The CRC Senior Secured Notes will mature on July 1, 2025 with interest payable semi-annually in cash in arrears on January 1 and July 1 of each year, commencing January 1,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we entered into a new credit agreement with JPMorgan Chase Bank, N.A., as administrative agent, U.S. Bank National Association, as collateral agent, and certain banks and other financial institutions and lenders party thereto, as well as an incremental amendment thereto, which provide for a five-year CEI Revolving Credit Facility for an aggregate principal amount of $1.2 billion. The CEI Revolving Credit Facility matures in 2025 and includes a letter of credit sub-facility of $250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are required to pay a commitment fee in respect of any unused commitments under CEI Revolving Credit Facility in the amount of 0.50% of principal amount of the commitments of all lenders, subject to a step-down to 0.375% based upon the Company’s total leverage ratio. We are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had $1.2 billion of available borrowing capacity, after consideration of $19 million in outstanding letters of credit under CEI Revolving Credit Facility, as of December 31, 2020. As of December 31, 2020, there were no borrowings outstanding under the CEI Revolving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we entered into a loan agreement with VICI to borrow a five-year, $400 million Forum Convention Center mortgage loan (the “Mortgage Loan”). The Mortgage Loan bears interest at a rate of, initially, 7.7% per annum, which escalates annually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Lumière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borrowed $246 million from GLPI to fund the purchase price of the real estate underlying Lumière, which was scheduled to mature on October 1, 2020. On June 24, 2020, the Company received approval from Missouri Gaming Commission to sell the real estate underlying Lumière to GLPI and leaseback the property under a long-term financing obligation. As of December 31, 2020, the Lumière loan has been satisfied in full and the real estate has been refinanced under a financing obligation. See Note 10</w:t>
      </w:r>
      <w:r>
        <w:rPr>
          <w:rFonts w:ascii="Arial" w:cs="Arial" w:eastAsia="Arial" w:hAnsi="Arial"/>
          <w:sz w:val="18"/>
          <w:szCs w:val="18"/>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Debt Activity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Former Caesars and its subsidiaries incurred the following indebtedness that remained outstanding following the consummation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Merger, we assumed the CRC senior secured credit facility (the “CRC Senior Secured Credit Facilities”),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CRC Revolving Credit Facility matures in 2022 and includes a letter of credit sub-facility. The CRC Term Loan matures in 2024. The CRC Incremental Term Loan matures in 2025. Each of the CRC Term Loan and the CRC Incremental Term Loan require scheduled quarterly principal payments in amounts equal to 0.25% of the original aggregate principal amount, with the balance due at maturity. The credit agreement for the CRC Revolving Credit Facility also includes customary voluntary and mandatory prepayment provisions, subject to certain exceptions. As of December 31, 2020, approximately $65 million was committed to outstanding letters of credit. As of December 31, 2020, there were no borrowings outstanding under the CRC Revolving Credit Facility.</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CRC Credit Agreement bear interest at a rate equal to either (a) LIBOR adjusted for certain additional costs, subject to a floor of 0% or (b) a base rate determined by reference to the highest of (i) the federal funds rate plus 0.50%,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jc w:val="both"/>
        <w:ind w:firstLine="8"/>
        <w:spacing w:after="0" w:line="287" w:lineRule="auto"/>
        <w:tabs>
          <w:tab w:leader="none" w:pos="2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(b) with respect to the CRC Incremental Term Loan,</w:t>
      </w:r>
    </w:p>
    <w:p>
      <w:pPr>
        <w:spacing w:after="0" w:line="2" w:lineRule="exact"/>
        <w:rPr>
          <w:rFonts w:ascii="Arial" w:cs="Arial" w:eastAsia="Arial" w:hAnsi="Arial"/>
          <w:sz w:val="16"/>
          <w:szCs w:val="16"/>
          <w:color w:val="auto"/>
        </w:rPr>
      </w:pPr>
    </w:p>
    <w:p>
      <w:pPr>
        <w:jc w:val="both"/>
        <w:spacing w:after="0" w:line="273" w:lineRule="auto"/>
        <w:rPr>
          <w:rFonts w:ascii="Arial" w:cs="Arial" w:eastAsia="Arial" w:hAnsi="Arial"/>
          <w:sz w:val="16"/>
          <w:szCs w:val="16"/>
          <w:color w:val="auto"/>
        </w:rPr>
      </w:pPr>
      <w:r>
        <w:rPr>
          <w:rFonts w:ascii="Arial" w:cs="Arial" w:eastAsia="Arial" w:hAnsi="Arial"/>
          <w:sz w:val="17"/>
          <w:szCs w:val="17"/>
          <w:color w:val="auto"/>
        </w:rPr>
        <w:t>4.50% per annum in the case of any LIBOR loan or 3.50% in the case of any base rate loan and (c) in the case of the CRC Revolving Credit Facility, 2.25% per annum in the case of any LIBOR loan and 1.25% per annum in the case of any base rate loan, subject in the case of the CRC Revolving Credit Facility to two 0.125% step-downs based on CRC’s senior secured leverage ratio, the ratio of first lien senior secured net debt to adjusted earnings before interest, taxes, depreciation and amortization. The CRC Revolving Credit Facility is subject to a financial covenant discussed below.</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senior secured leverage ratio.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16, 2017, CRC issued $1.7 billion aggregate principal amount of 5.25% senior notes due 2025 (the “CRC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Former Caesars 5% Convertible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6, 2017, Former Caesars issued $1.1 billion aggregate principal amount of 5.00% convertible senior notes maturing in 2024 (the “5% Convertible Notes”).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5% Convertible Notes are convertible into weighted average of the number of shares of Company Common Stock and amount of cash actually received per share by holders of common stock of Former Caesars that made elections for consideration in the Merger. As of December 31, 2020, we have paid approximately $903 million and issued approximately 10.8 million shares upon conversion of $770 million of the 5% Convertible Notes during 2020.</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determined that the 5% Convertible Notes contain derivative features that require bifurcation. The Company separately accounts for the liability component and equity conversion option of the 5% Convertible Notes. The portion of the overall fair value allocated to the liability was calculated by using a market-based approach without the conversion features included. The difference between the overall instrument value and the value of the liability component was assumed to be the value of the equity conversion option component. The value of the liability is determined based on a discounted cash flow of the debt instrument. See Note 8 for more information on the 5% Convertible Notes’ fair value measurements.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amortization of the debt issuance costs and the discount and/or premium associated with the Company’s indebtedness totaled $80 million, $8 million and $6 million for the years ended December 31, 2020, 2019 and 2018, respectively. Amortization of debt issuance costs is computed using the effective interest method and is included in interest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VICI Leases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consummation of the Merger, we assumed obligations of certain real property assets leased from VICI by Former Caesars under the following agreements: (i) for a portfolio of properties at various locations throughout the United States (the “Non-CPLV lease”), (ii) for Caesars Palace Las Vegas (the “CPLV lease”), (iii) for Harrah’s Joliet Hotel &amp; Casino (the “Joliet Lease”) and (iv) for Harrah’s Las Vegas (the “HLV Lease”). These lease agreements provided for annual fixed rent (subject to escalation) of $773 million during an initial period, then rent consisting of both base rent and variable rent elements. The lease agreements had a 15-year initial term and four five-year renewal options. The lease agreements included escalation provisions beginning in year two of the initial term and continuing through the renewal terms. The lease agreements also included provisions for variable rent payments calculated, in part, based on increases or decreases of net revenue of the underlying lease properties, commencing in year eight of the initial term and continuing through the renewal terms.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Former Caesars entered into a Golf Course Use Agreement with VICI, which has a 35-year term (inclusive of all renewal periods), pursuant to which such affiliates of the Company agreed to pay (i) an annual payment of $10 million, subject to escalation, (ii) an annual use fee of $3 million, subject to escalation beginning in the second year, and (iii) certain per-round fees, all as more particularly set forth in the Golf Course Use Agreement.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Merger on July 20, 2020, we consummated a series of transactions with VICI and certain of its affiliates in accordance with the MTA entered on June 24, 2019 and certain purchase and sales agreement entered 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jc w:val="both"/>
        <w:spacing w:after="0" w:line="269" w:lineRule="auto"/>
        <w:rPr>
          <w:sz w:val="20"/>
          <w:szCs w:val="20"/>
          <w:color w:val="auto"/>
        </w:rPr>
      </w:pPr>
      <w:r>
        <w:rPr>
          <w:rFonts w:ascii="Arial" w:cs="Arial" w:eastAsia="Arial" w:hAnsi="Arial"/>
          <w:sz w:val="17"/>
          <w:szCs w:val="17"/>
          <w:color w:val="auto"/>
        </w:rPr>
        <w:t>September 26, 2019. We consummated sale leaseback transactions related to Harrah’s New Orleans, Harrah’s Laughlin and Harrah’s Resort Atlantic City, including the Harrah’s Atlantic City Waterfront Conference Center, for approximately $1.8 billion of net proceeds. The CPLV Lease with VICI was amended, among other things, (i) add Harrah’s Las Vegas (“HLV”) to the leased premises thereunder (and in connection therewith HLV Lease was terminated), (ii) add (subject to certain adjustments) the rent payable with respect to HLV under such terminated stand-alone lease to such lease and further increase the annual rent payable with respect to HLV by approximately $15 million, (iii) increase the annual rent with respect to CPLV by approximately $84 million and (iv) extend the term of such lease so that following the amendment of such lease there will be 15 years remaining until the expiration of the initial term. In addition, Harrah’s New Orleans, Harrah’s Laughlin, and Harrah’s Resort Atlantic City, including the Harrah’s Atlantic City Waterfront Conference Center, were added to the Non-CPLV lease (as amended, the “Regional Lease”) and such lease was further amended to increase the annual rent thereunder by $154 million in the aggregate related to such added properties and extend the term of such lease so that following the amendment of such lease there will be 15 years remaining until the expiration of the initial term. Furthermore, the Joliet Lease, as well as the term of the Golf Course Use Agreement, were extended such that there will be 15 years remaining until the expiration of the initial term.</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agreement to sell Caesars Southern Indiana to the Eastern Band of Cherokee Indians (“EBCI”) for $250 million, subject to a customary working capital adjustment. Caesar’s annual payments to VICI Properties under the Regional Lease will decline by $33 million upon closing of the transaction.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VICI lease is accounted for as a financing obligation and totaled $11.0 billion as of December 31, 2020. Furthermore, we obtained waivers from VICI with relation to annual capital expenditure requirements for 2020. See Note 10 to our Consolidated Condensed Financial Statements for additional information about our VICI Lease and related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GLPI Leases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GLPI Master Lease is accounted for as a financing obligation and totaled $1.2 billion as of December 31, 2020. Additionally, our GLPI Master Lease contains certain operating, capital expenditure and financial covenants thereunder, and our ability to maintain compliance with these covenants was also negatively impacted. On June 15, 2020, we entered into an amendment to the GLPI Master Lease which, among other things, provides certain relief under these covenants in the event of facility closures due to pandemics, governmental restrictions and certain other instances of unavoidable delay. As of July 17, 2020, the amendment to the GLPI Master Lease became effective as we obtained all necessary approvals and the applicable waiting period expired. See Note 10 to our Consolidated Condensed Financial Statements for additional information about our GLPI Master Lease and related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greater detail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and Note 11 to our consolidated financial statements, both of which are included elsewhere in this Annual Report on Form 10-K. In addition, new competition may have a material adverse effect on our revenues and could have a similar adverse effect on our liquidity. See “</w:t>
      </w:r>
      <w:r>
        <w:rPr>
          <w:rFonts w:ascii="Arial" w:cs="Arial" w:eastAsia="Arial" w:hAnsi="Arial"/>
          <w:sz w:val="18"/>
          <w:szCs w:val="18"/>
          <w:i w:val="1"/>
          <w:iCs w:val="1"/>
          <w:color w:val="auto"/>
        </w:rPr>
        <w:t>Part I, Item 1A. Risk Factors—Risks Related to Our Business</w:t>
      </w:r>
      <w:r>
        <w:rPr>
          <w:rFonts w:ascii="Arial" w:cs="Arial" w:eastAsia="Arial" w:hAnsi="Arial"/>
          <w:sz w:val="18"/>
          <w:szCs w:val="18"/>
          <w:color w:val="auto"/>
        </w:rPr>
        <w:t>” which is included elsewhere in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prepare our financial statements in conformity with GAAP. In preparing our financial statements, we have made our best estimates and judgments of the amounts and disclosures included in the financial statements, giving regard to materiality. When more than one accounting principle, or method of its application, is generally accepted, we select the principle or method that we consider to be the most appropriate under specific circumstances. Application of these accounting principles requires us to make estimates about the future resolution of existing uncertainties. Certain of our accounting policies, including those in connection with business combinations, certain fair value measurements, income taxes, long-lived assets, goodwill and indefinite lived intangible assets, allowance for doubtful accounts related to certain gaming receivables, self-insurance reserves, and litigation, claims and assessments require that we apply significant judgment in defining the appropriate assumptions for calculating financial estimates.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consider accounting estimates to be critical accounting policies when:</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estimates involve matters that are highly uncertain at the time the accounting estimate is made;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estimates or changes to estimates could have a material impact on the reported financial position, changes in financial position, or results of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jc w:val="both"/>
        <w:spacing w:after="0" w:line="311" w:lineRule="auto"/>
        <w:rPr>
          <w:sz w:val="20"/>
          <w:szCs w:val="20"/>
          <w:color w:val="auto"/>
        </w:rPr>
      </w:pPr>
      <w:r>
        <w:rPr>
          <w:rFonts w:ascii="Arial" w:cs="Arial" w:eastAsia="Arial" w:hAnsi="Arial"/>
          <w:sz w:val="16"/>
          <w:szCs w:val="16"/>
          <w:color w:val="auto"/>
        </w:rPr>
        <w:t>By their nature, these judgments and estimates are subject to an inherent degree of uncertainty. Our judgments and estimates are based on our historical experience, terms of existing contracts, observance of trends in the industry, information gathered from customer behavior, and information available from other outside sources, as appropriate. Due to the inherent uncertainty involving judgments and estimates, actual results may differ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most critical accounting estimates and assumptions are in the following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applied the provisions of Accounting Standards Codification (“ASC”) Topic 805, “Business Combinations,” in the accounting for our acquisitions of Former Caesars, Tropicana, Elgin and our previous acquisitions. It required us to recognize the assets acquired and the liabilities assumed at their acquisition date fair values, which were determined using market, income, and cost approaches, or a combination. Goodwill as of the respective acquisition dates was measured as the excess of consideration transferred over the net of the acquisition date fair values of the assets acquired and the liabilities assumed. Goodwill is generally the result of expected synergies of the combined company or an assembled workforce.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Indefinite-lived intangible assets acquired primarily include trademarks, Caesars Rewards acquired in the Merger, customer relationships and gaming rights. The fair value for these intangible assets was determined using either the relief from royalty method and excess earnings method under the income approach or a replacement cost market approach.</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we would have to make a stream of payments to a brand or franchise owner in return for the right to use their name or program. By virtue of this asset, we avoid any such payments and record the related intangible value of the Company’s ownership of the brand name or program.</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were valued using the cost approach and the incremental cash flow method under the income approach. The incremental cash flow method compares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 estimates are significant to many valuations described above and may include forecasts with assumptions regarding factors such as recent and budgeted operating performance, future growth rates, and the determination of appropriate discount rates to estimate fair value. These inputs involve significant assumptions including the future effects of COVID-19 as well as the realization of synergies anticipated from a business combination, which may not be realized as projected. Certain assumptions, such as the effects of COVID-19, may be beyond our control.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5% Convertible Notes contain derivative features that require bifurcation. We estimate the fair value of the 5% Convertible Notes using a market-based approach that incorporates the value of both straight debt and conversion features of the notes. The valuation model incorporates actively traded prices of the 5% Convertible Notes as of the reporting date, the value of CEI’s equity into which these notes could convert, and assumptions regarding the incremental cost of borrowing for CEI. The fair value of the 5% Convertible Notes derivative liability is subject to interest rate and market price risk due to the conversion features of the notes and other factors. Generally, as the fair value of fixed interest rate debt increases (due to a decrease in interest rates) the derivative liability decreases and as the fair value of fixed interest rate debt decreases (due to an increase in interest rates) the derivative liability increases. The fair value of the 5% Convertible Notes derivative liability may also increase as the market price of our stock rises or due to increased volatility in our stock price which will result in a loss recognized in our Statement of Operations, and decrease as the market price of our stock falls or due to decreased volatility in our stock price which will result in income recognized in our Statement of Operations. On October 6, 2017, Former Caesars issued $1.1 billion aggregate principal amount of 5% Convertible Notes. As of December 31, 2020, the fair value of the derivative associated with the 5% Convertible Notes was $326 million when the price per share of our common stock was $74.27. During the year ended December 31, 2020, we recognized a loss of $111 million associated to the changes in fair value of the derivative as a result of fluctuations in the share price of our common stock.</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interest rate swaps, which are derivative instruments classified as hedging transactions, to limit our exposure to interest rate risk. Derivative instruments are recognized in the financial statements at fair value. The estimated fair values of our derivative instruments are based on market prices obtained from dealer quotes. Such quotes represent the estimated amounts we would receive or pay to terminate the contracts. Our derivative instruments contain a credit risk that the counterparties may be unable to meet the terms of the agreements. We minimize that risk by evaluating the creditworthiness of our counterparties, which are limited to major banks and financial institutions. The fair values of our derivative instruments are adjusted for the credit rating of the counterparty, if the derivative is an asset, or adjusted for the credit rating of the Company, if the derivative is a liability.</w:t>
      </w:r>
    </w:p>
    <w:p>
      <w:pPr>
        <w:spacing w:after="0" w:line="110"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See Note 8 for more details regarding fair value measurements and Item 7A for quantitative and qualitative disclosures about market risk. </w:t>
      </w:r>
      <w:r>
        <w:rPr>
          <w:rFonts w:ascii="Arial" w:cs="Arial" w:eastAsia="Arial" w:hAnsi="Arial"/>
          <w:sz w:val="18"/>
          <w:szCs w:val="18"/>
          <w:i w:val="1"/>
          <w:iCs w:val="1"/>
          <w:color w:val="auto"/>
        </w:rPr>
        <w:t>Income Taxes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subsidiaries file income tax returns with federal, state and foreign jurisdictions. Our income tax returns are subject to examination by the Internal Revenue Service (“IRS”) and other tax authorities. Positions taken in tax returns are sometimes subject to uncertainty in the tax laws and may not ultimately be accepted by the IRS or other tax authorities. See Note 17 in the accompanying consolidated financial statements for a discussion of the status and impact of examinations by tax authorities.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there is a recent history of operating losses and negative normalized earnings and a return to operating profitability has not yet been demonstrated, we cannot rely on projections of future taxable earnings for purposes of assessing recoverability of our deferred tax assets. In such cases, we use systematic and logical methods to estimate when deferred tax liabilities will reverse and generate taxable income and when deferred tax assets will reverse and generate tax deductions. Our most significant deferred tax asset relates to the failed sale-leaseback obligation with VICI and GLPI (see Note 10). The reversal of this deferred tax asset requires judgment and estimates and has a material impact on the determination of the amount of valuation allowance required.</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applicable accounting standards, we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de-recognition, classification, interest and penalties on income taxes, accounting in interim periods and disclosure requirements for uncertain tax positions.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Long-Lived Assets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significant capital invested in our long-lived assets, and judgments are made in determining the estimated useful lives of assets, salvage values to be assigned to assets, and if or when an asset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 We review the carrying value of our long-lived assets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planned construction and renovation projects, as well as the effect of obsolescence, demand, competition, and other economic, legal, and regulatory factors. In estimating expected future cash flows for determining whether an asset is impaired, assets are grouped at the lowest level of identifiable cash flows, which, for most of our assets, is the individual property. See Note 6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Assessing goodwill and indefinite-lived intangible assets for impairment is a process that requires significant judgment and involves detailed qualitative and quantitative business-specific analysis and many individual assumptions which fluctuate between assessments.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the estimated fair value of each reporting unit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the fair value of our indefinite-lived intangible assets using either the relief from royalty method or the excess earnings method under the income approach or replacement cost market approach. The determination of fair value of our reporting units and indefinite-lived intangible assets requires management to make significant assumptions and estimates around the forecasts as well as the selection of discount rates and valuation multiples. Changes in these estimates could have a significant impact on the fair value of our reporting units and intangible assets and the amount of goodwill or indefinite-lived intangible asset impairments, if any.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Forecasts and the determination of appropriate discount rates and valuation multiples used to determine the fair value of our reporting units and indefinite-lived intangible assets involves significant assumptions and estimates. Assumptions include those used assess future effects of COVID-19 as well as the realization of synergies anticipated from the Merger which may not be realized at the projected rate.</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declines in recent performance and the expected impact on future cash flows as a result of COVID-19, we recognized impairment charges in our Regional segment related to goodwill and trade names totaling $100 million and $16 million, respectively, during the year ended December 31, 2020.</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agreement to sell Baton Rouge, an impairment charge totaling $50 million was recorded during the year ended December 31, 2020 due to the carrying value exceeding the estimated net sales proceeds. The impairment charges resulted in a reduction to the carrying amounts of the right-of-use assets, property and equipment, goodwill and other intangibles totaling $1 million, $47 million and $2 million, respectively, recorded in the Regional segment.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agreement to sell MontBleu, an impairment charge totaling $45 million was recorded during the year ended December 31, 2020 due to the carrying value exceeding the estimated net sales proceeds. The impairment charges resulted in a reduction to the carrying amounts of the right-of-use assets, property and equipment, goodwill and other intangibles totaling $18 million, $23 million and $4 million, respectively, recorded in the Regional segment.</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acquired Former Caesars on July, 20, 2020 and allocated the total purchase consideration transferred to the identifiable assets acquired and liabilities assumed based on their respective fair values, including goodwill and indefinite-lived intangible assets, and therefore, the fair value of the Former Caesars reporting units and indefinite-lived intangible assets do not significantly exceed their respective carrying values. As of October 1, 2020, two other reporting units in the Regional Segment with goodwill totaling $208 million had fair values that did not significantly exceed their respective carrying values. To the extent gaming volumes deteriorate in the near future, discount rates increase significantly, or we do not meet our projected performance, we may recognize further impairments, and such impairments could be material. See Note 7 for additional information.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Allowance for Doubtful Accounts - Gaming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allowance for doubtful accounts. As of December 31, 2020, a 5% increase or decrease to the allowance determined based on a percentage of aged receivables would change the reserve by approximately $14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Reserves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self-insured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and workers’ compensations are included in accrued payroll and related on the consolidated balance sheets. Self-insurance reserves for general liability claims are included in accrued other liabilities on the Consolidated Balance Sheets.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Due to the novel nature of the disruption resulting from the COVID-19 public health emergency, actuarial data is limited for determining its effect. 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 Alternatively, as a result of the current work stoppages, a reduction of claims in future periods could be beneficial to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For information with respect to recent accounting pronouncements and the impact of these pronouncements on our consolidated financial statements,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in the notes to the consolidated financial statements.</w:t>
      </w:r>
    </w:p>
    <w:p>
      <w:pPr>
        <w:spacing w:after="0" w:line="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Our exposure to foreign exchange risk is primarily attributable to funds held in operating and escrow accounts which are denominated in British Pounds (GBP).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face value of our long-term debt was $15.0 billion, including variable-rate long-term borrowings of $6.4 billion. No amounts were outstanding under our revolving credit facilities.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Merger, we assumed Former Caesars’ interest rate swaps, of which seven interest rate swap agreements are currently in place to fix the interest rate on $2.3 billion of variable rate debt. As a result, net of these interest rate swaps, $4.1 billion of debt remains subject to variable interest rates, as of December 31, 2020, for the term of the agreements. See Note 12 for additional information. The difference to be paid or received under the terms of the interest rate swap agreements is accrued as interest rates change and recognized as an adjustment to interest expense as settlements occur. Changes in the variable interest rates to be received pursuant to the terms of the interest rate swap agreements will have a corresponding effect on future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purchase or hold any derivative financial instruments for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7"/>
          <w:szCs w:val="17"/>
          <w:color w:val="auto"/>
        </w:rPr>
        <w:t>The table below provides information as of December 31, 2020 about our financial instruments that are sensitive to changes in interest rates including the cash flows associated with amortization, the notional amounts of interest rate derivative instruments, and related weighted average interest rates. Principal amounts are used to calculate the payments to be exchanged under the related agreements and weighted average variable rates are based on implied forward rates in the yield curve as of December 31, 2020 and should not be considered a predictor of actual future interest rates.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6"/>
                <w:szCs w:val="16"/>
                <w:b w:val="1"/>
                <w:bCs w:val="1"/>
                <w:color w:val="auto"/>
                <w:w w:val="94"/>
              </w:rPr>
              <w:t>Expected Maturity Date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75"/>
        </w:trPr>
        <w:tc>
          <w:tcPr>
            <w:tcW w:w="4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5"/>
                <w:szCs w:val="15"/>
                <w:color w:val="auto"/>
              </w:rPr>
            </w:pPr>
          </w:p>
        </w:tc>
        <w:tc>
          <w:tcPr>
            <w:tcW w:w="80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Thereafter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860" w:type="dxa"/>
            <w:vAlign w:val="bottom"/>
          </w:tcPr>
          <w:p>
            <w:pPr>
              <w:jc w:val="right"/>
              <w:ind w:right="39"/>
              <w:spacing w:after="0" w:line="175" w:lineRule="exact"/>
              <w:rPr>
                <w:sz w:val="20"/>
                <w:szCs w:val="20"/>
                <w:color w:val="auto"/>
              </w:rPr>
            </w:pPr>
            <w:r>
              <w:rPr>
                <w:rFonts w:ascii="Arial" w:cs="Arial" w:eastAsia="Arial" w:hAnsi="Arial"/>
                <w:sz w:val="16"/>
                <w:szCs w:val="16"/>
                <w:b w:val="1"/>
                <w:bCs w:val="1"/>
                <w:color w:val="auto"/>
                <w:w w:val="94"/>
              </w:rPr>
              <w:t>Fair Value</w:t>
            </w: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3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Fixed rate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r>
      <w:tr>
        <w:trPr>
          <w:trHeight w:val="213"/>
        </w:trPr>
        <w:tc>
          <w:tcPr>
            <w:tcW w:w="40" w:type="dxa"/>
            <w:vAlign w:val="bottom"/>
          </w:tcPr>
          <w:p>
            <w:pPr>
              <w:spacing w:after="0"/>
              <w:rPr>
                <w:sz w:val="18"/>
                <w:szCs w:val="18"/>
                <w:color w:val="auto"/>
              </w:rPr>
            </w:pPr>
          </w:p>
        </w:tc>
        <w:tc>
          <w:tcPr>
            <w:tcW w:w="2320" w:type="dxa"/>
            <w:vAlign w:val="bottom"/>
            <w:gridSpan w:val="2"/>
          </w:tcPr>
          <w:p>
            <w:pPr>
              <w:ind w:left="460"/>
              <w:spacing w:after="0"/>
              <w:rPr>
                <w:sz w:val="20"/>
                <w:szCs w:val="20"/>
                <w:color w:val="auto"/>
              </w:rPr>
            </w:pPr>
            <w:r>
              <w:rPr>
                <w:rFonts w:ascii="Arial" w:cs="Arial" w:eastAsia="Arial" w:hAnsi="Arial"/>
                <w:sz w:val="16"/>
                <w:szCs w:val="16"/>
                <w:color w:val="auto"/>
              </w:rPr>
              <w:t>Average interest rate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3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Variable rate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w:t>
            </w:r>
          </w:p>
        </w:tc>
      </w:tr>
      <w:tr>
        <w:trPr>
          <w:trHeight w:val="213"/>
        </w:trPr>
        <w:tc>
          <w:tcPr>
            <w:tcW w:w="40" w:type="dxa"/>
            <w:vAlign w:val="bottom"/>
          </w:tcPr>
          <w:p>
            <w:pPr>
              <w:spacing w:after="0"/>
              <w:rPr>
                <w:sz w:val="18"/>
                <w:szCs w:val="18"/>
                <w:color w:val="auto"/>
              </w:rPr>
            </w:pPr>
          </w:p>
        </w:tc>
        <w:tc>
          <w:tcPr>
            <w:tcW w:w="2320" w:type="dxa"/>
            <w:vAlign w:val="bottom"/>
            <w:gridSpan w:val="2"/>
          </w:tcPr>
          <w:p>
            <w:pPr>
              <w:ind w:left="460"/>
              <w:spacing w:after="0"/>
              <w:rPr>
                <w:sz w:val="20"/>
                <w:szCs w:val="20"/>
                <w:color w:val="auto"/>
              </w:rPr>
            </w:pPr>
            <w:r>
              <w:rPr>
                <w:rFonts w:ascii="Arial" w:cs="Arial" w:eastAsia="Arial" w:hAnsi="Arial"/>
                <w:sz w:val="16"/>
                <w:szCs w:val="16"/>
                <w:color w:val="auto"/>
              </w:rPr>
              <w:t>Average interest rate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Rate Derivatives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32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Variable to fixed </w:t>
            </w:r>
            <w:r>
              <w:rPr>
                <w:rFonts w:ascii="Arial" w:cs="Arial" w:eastAsia="Arial" w:hAnsi="Arial"/>
                <w:sz w:val="21"/>
                <w:szCs w:val="21"/>
                <w:i w:val="1"/>
                <w:iCs w:val="1"/>
                <w:color w:val="auto"/>
                <w:vertAlign w:val="superscript"/>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2320" w:type="dxa"/>
            <w:vAlign w:val="bottom"/>
            <w:gridSpan w:val="2"/>
          </w:tcPr>
          <w:p>
            <w:pPr>
              <w:ind w:left="460"/>
              <w:spacing w:after="0"/>
              <w:rPr>
                <w:sz w:val="20"/>
                <w:szCs w:val="20"/>
                <w:color w:val="auto"/>
              </w:rPr>
            </w:pPr>
            <w:r>
              <w:rPr>
                <w:rFonts w:ascii="Arial" w:cs="Arial" w:eastAsia="Arial" w:hAnsi="Arial"/>
                <w:sz w:val="16"/>
                <w:szCs w:val="16"/>
                <w:color w:val="auto"/>
              </w:rPr>
              <w:t>Average pay rate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3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Average receive rate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ind w:left="320" w:hanging="312"/>
        <w:spacing w:after="0" w:line="223" w:lineRule="auto"/>
        <w:tabs>
          <w:tab w:leader="none" w:pos="320" w:val="left"/>
        </w:tabs>
        <w:numPr>
          <w:ilvl w:val="0"/>
          <w:numId w:val="34"/>
        </w:numPr>
        <w:rPr>
          <w:rFonts w:ascii="Arial" w:cs="Arial" w:eastAsia="Arial" w:hAnsi="Arial"/>
          <w:sz w:val="19"/>
          <w:szCs w:val="19"/>
          <w:b w:val="1"/>
          <w:bCs w:val="1"/>
          <w:i w:val="1"/>
          <w:iCs w:val="1"/>
          <w:color w:val="212529"/>
          <w:vertAlign w:val="superscript"/>
        </w:rPr>
      </w:pPr>
      <w:r>
        <w:rPr>
          <w:rFonts w:ascii="Arial" w:cs="Arial" w:eastAsia="Arial" w:hAnsi="Arial"/>
          <w:sz w:val="14"/>
          <w:szCs w:val="14"/>
          <w:i w:val="1"/>
          <w:iCs w:val="1"/>
          <w:color w:val="auto"/>
        </w:rPr>
        <w:t>These amounts represent the interest rate swap notional amounts that mature at the end of each respective year. See Note 12 for additional information.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borrowings outstanding under our credit facilities were variable-rate borrowings. Assuming a 100 basis-point increase in LIBOR, our annual interest cost would change by $41 million based on gross amounts outstanding at December 31, 2020.</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LIBOR is expected to be discontinued after 2021. The interest rate per annum applicable to loans under our credit facilities are, at our option, either LIBOR plus a margin or a base rate plus a margin. The credit facilities permit the administrative agent to select, in its reasonable discretion, an alternative base rate in the event that LIBOR is discontinued, but there can be no assurances as to what alternative base rates may be and whether such base rate will be more or less favorable than LIBOR and any other unforeseen impacts of the potential discontinuation of LIBOR.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Rate Risks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The Company entered into a foreign exchange forward contract to hedge the risk of appreciation of the GBP denominated purchase price related to William Hill. On October 9, 2020, the Company entered into a foreign exchange forward contract to purchase £536 million at a contracted exchange rate. As of </w:t>
      </w:r>
      <w:r>
        <w:rPr>
          <w:rFonts w:ascii="Arial" w:cs="Arial" w:eastAsia="Arial" w:hAnsi="Arial"/>
          <w:sz w:val="17"/>
          <w:szCs w:val="17"/>
          <w:color w:val="000000"/>
        </w:rPr>
        <w:t xml:space="preserve">December 31, 2020, the forward contract was valued at $40 million and was recorded in Other long-term assets. A corresponding </w:t>
      </w:r>
      <w:r>
        <w:rPr>
          <w:rFonts w:ascii="Arial" w:cs="Arial" w:eastAsia="Arial" w:hAnsi="Arial"/>
          <w:sz w:val="17"/>
          <w:szCs w:val="17"/>
          <w:color w:val="212529"/>
        </w:rPr>
        <w:t>unrealized gain of</w:t>
      </w:r>
      <w:r>
        <w:rPr>
          <w:rFonts w:ascii="Arial" w:cs="Arial" w:eastAsia="Arial" w:hAnsi="Arial"/>
          <w:sz w:val="17"/>
          <w:szCs w:val="17"/>
          <w:color w:val="000000"/>
        </w:rPr>
        <w:t xml:space="preserve"> </w:t>
      </w:r>
      <w:r>
        <w:rPr>
          <w:rFonts w:ascii="Arial" w:cs="Arial" w:eastAsia="Arial" w:hAnsi="Arial"/>
          <w:sz w:val="17"/>
          <w:szCs w:val="17"/>
          <w:color w:val="212529"/>
        </w:rPr>
        <w:t xml:space="preserve">$40 million related to the change in fair value was recorded in the </w:t>
      </w:r>
      <w:r>
        <w:rPr>
          <w:rFonts w:ascii="Arial" w:cs="Arial" w:eastAsia="Arial" w:hAnsi="Arial"/>
          <w:sz w:val="17"/>
          <w:szCs w:val="17"/>
          <w:color w:val="000000"/>
        </w:rPr>
        <w:t>Other (loss) income in the Statement of Operations</w:t>
      </w:r>
      <w:r>
        <w:rPr>
          <w:rFonts w:ascii="Arial" w:cs="Arial" w:eastAsia="Arial" w:hAnsi="Arial"/>
          <w:sz w:val="17"/>
          <w:szCs w:val="17"/>
          <w:color w:val="212529"/>
        </w:rPr>
        <w: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December 31, 2020</w:t>
      </w:r>
      <w:r>
        <w:rPr>
          <w:rFonts w:ascii="Arial" w:cs="Arial" w:eastAsia="Arial" w:hAnsi="Arial"/>
          <w:sz w:val="18"/>
          <w:szCs w:val="18"/>
          <w:color w:val="212529"/>
        </w:rPr>
        <w:t>, we held approximately $2.5 billion of cash, cash equivalents and restricted cash denominated in GBP. Although these funds are subject to changes in foreign exchange rates, such risk is expected to be mitigated as we anticipate using these funds for the purchase price of William Hill, which is also denominated in GBP.</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financial statements and notes to consolidated financial statements, including the reports of Deloitte &amp; Touche LLP and Ernst &amp; Young LLP thereon, are included at pages 71 through 132 of this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in our reports that we file under the Securities Exchange Act of 1934, as amended (the “Exchange Act”), is recorded,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(principal executive officer) and Chief Financial Officer (principal financial officer), evaluated the effectiveness of our disclosure controls and procedures (as defined under the Exchange Act Rules 13a-15(e) and 15d-15(e)) as of the end of the period covered by this Form 10-K Annual Report and as required by Rules 13a-15(b) and 15d-15(b) promulgated under the Exchange Act. Based on this evaluation, our Chief Executive Officer and Chief Financial Officer have concluded that our disclosure controls and procedures as of the end of the period covered by this Form 10-K Annual Report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13a-15(e) or 15d-15(e) promulgated under the Exchange Act) for Caesars Entertainment, Inc. and its subsidiaries. This system is designed to provide reasonable assurance to the Company’s management regarding the reliability of financial reporting and preparation of consolidated financial statements for external purposes.</w:t>
      </w:r>
    </w:p>
    <w:p>
      <w:pPr>
        <w:spacing w:after="0" w:line="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 of the Treadway Commission. Based on this evaluation and assessment, management believes that, as of December 31, 2020, our internal control over financial reporting was effective based on those criteria.</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completed its acquisition of Caesars Entertainment Corporation and changed its name to Caesars Entertainment, Inc. on July 20, 2020. Accordingly, the acquired assets and liabilities of Caesars Entertainment Corporation are included in our consolidated balance sheet as of December 31, 2020 and the results of its operations and cash flows are reported in our consolidated statement of operations and cash flows for the year ended December 31, 2020 from the date of acquisition. We are currently in the process of integrating policies, processes, information technology systems and other components of internal controls over financial reporting of the combined business. Management will continue to evaluate our internal control over financial reporting as we complete our integration. In accordance with SEC staff guidance permitting a company to exclude an acquired business from management’s assessment of the effectiveness of internal control over financial reporting for the year in which the acquisition is completed, management has excluded Caesars Entertainment Corporation from its internal control assessment. Caesars Entertainment Corporation represents 34% of Caesars Entertainment, Inc.’s consolidated assets as of December 31, 2020, and 59% of Caesars Entertainment, Inc’s net revenue for the year ended December 31, 2020.</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Deloitte &amp; Touche LLP, an independent registered public accounting firm, has audited our internal control over financial reporting as of December 31, 2020, as stated in its report which follows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noted below, during the quarter ended December 31, 2020, there were no significant changes in our internal control over financial reporting that have materially affected, or are reasonably likely to materially affect, our internal control over financial reporting.</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we completed the acquisition of Caesars Entertainment Corporation. See Part IV, Item 15, Notes to Consolidated Financial Statements, Note 3. Acquisitions, Purchase Price Accounting and Pro forma Information, for a discussion of the acquisition and related financial data. The Company is in the process of integrating Caesars Entertainment Corporation into our internal controls over financial reporting. As a result of these integration activities, certain controls will be evaluated and may be changed. Excluding the acquisition, there were no changes in our internal control over financial reporting that have materially affected, or are reasonable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ind w:right="3360" w:firstLine="336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Caesars Entertainment,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333333"/>
        </w:rPr>
        <w:t xml:space="preserve">We have audited the internal control over financial reporting of Caesars Entertainment, Inc. and subsidiaries (the “Company”) as of December 31, 2020, based on criteria established in </w:t>
      </w:r>
      <w:r>
        <w:rPr>
          <w:rFonts w:ascii="Arial" w:cs="Arial" w:eastAsia="Arial" w:hAnsi="Arial"/>
          <w:sz w:val="17"/>
          <w:szCs w:val="17"/>
          <w:i w:val="1"/>
          <w:iCs w:val="1"/>
          <w:color w:val="333333"/>
        </w:rPr>
        <w:t>Internal Control—Integrated Framework (2013)</w:t>
      </w:r>
      <w:r>
        <w:rPr>
          <w:rFonts w:ascii="Arial" w:cs="Arial" w:eastAsia="Arial" w:hAnsi="Arial"/>
          <w:sz w:val="17"/>
          <w:szCs w:val="17"/>
          <w:color w:val="333333"/>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333333"/>
        </w:rPr>
        <w:t>Internal Control - Integrated Framework (2013)</w:t>
      </w:r>
      <w:r>
        <w:rPr>
          <w:rFonts w:ascii="Arial" w:cs="Arial" w:eastAsia="Arial" w:hAnsi="Arial"/>
          <w:sz w:val="17"/>
          <w:szCs w:val="17"/>
          <w:color w:val="333333"/>
        </w:rPr>
        <w:t xml:space="preserve"> issued by COSO.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333333"/>
        </w:rPr>
        <w:t>We have also audited, in accordance with the standards of the Public Company Accounting Oversight Board (United States) (“PCAOB”), the consolidated financial statements as of and for the year ended December 31, 2020, of the Company and our report dated February 26, 2021, expressed an unqualified opinion on those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at Caesars Entertainment Corporation, which was acquired on July 20, 2020, and whose financial statements constitute 34% of total assets and 59% of revenues of the consolidated financial statement amounts as of and for the year ended December 31, 2020. Accordingly, our audit did not include the internal control over financial reporting at Caesars Entertainment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26,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0" w:name="page61"/>
    <w:bookmarkEnd w:id="60"/>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for our Annual Meeting of Stockholders (our “Proxy Statement”) to be filed with the Securities and Exchange Commission no later than April 30, 2021, pursuant to Regulation 14A under the Securities Act.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adopted a code of ethics and business conduct applicable to all directors and employees, including the Chief Executive Officer, Chief Financial Officer and Principal Accounting Officer. The code of business conduct and ethics is posted on our website, http://www.caesars.com/corporate (accessible through the “Governance” caption of the Investors page) and a printed copy will be delivered on request by writing to the Corporate Secretary at Caesars Entertainment, Inc., c/o Corporate Secretary, 100 West Liberty Street, 12th Floor, Reno, NV 89501. We intend to satisfy the disclosure requirement regarding certain amendments to, or waivers from, provisions of its code of business conduct and ethics by posting such information on our website.</w:t>
      </w:r>
    </w:p>
    <w:p>
      <w:pPr>
        <w:spacing w:after="0" w:line="1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2021, pursuant to Regulation 14A under the Securities Act.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2021, pursuant to Regulation 14A under the Securities Act.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2021, pursuant to Regulation 14A under the Securities Act.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2021, pursuant to Regulation 14A under the Securities Act.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151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(a)(i) Financial Statements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Included in Part II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60"/>
        <w:spacing w:after="0"/>
        <w:rPr>
          <w:rFonts w:ascii="Arial" w:cs="Arial" w:eastAsia="Arial" w:hAnsi="Arial"/>
          <w:sz w:val="16"/>
          <w:szCs w:val="16"/>
          <w:color w:val="auto"/>
        </w:rPr>
      </w:pPr>
      <w:hyperlink w:anchor="page70">
        <w:r>
          <w:rPr>
            <w:rFonts w:ascii="Arial" w:cs="Arial" w:eastAsia="Arial" w:hAnsi="Arial"/>
            <w:sz w:val="16"/>
            <w:szCs w:val="16"/>
            <w:color w:val="auto"/>
          </w:rPr>
          <w:t>Reports of Independent Registered Public Accounting Firms</w:t>
        </w:r>
      </w:hyperlink>
    </w:p>
    <w:p>
      <w:pPr>
        <w:spacing w:after="0" w:line="32" w:lineRule="exact"/>
        <w:rPr>
          <w:sz w:val="20"/>
          <w:szCs w:val="20"/>
          <w:color w:val="auto"/>
        </w:rPr>
      </w:pPr>
    </w:p>
    <w:p>
      <w:pPr>
        <w:ind w:left="460"/>
        <w:spacing w:after="0"/>
        <w:rPr>
          <w:rFonts w:ascii="Arial" w:cs="Arial" w:eastAsia="Arial" w:hAnsi="Arial"/>
          <w:sz w:val="16"/>
          <w:szCs w:val="16"/>
          <w:color w:val="auto"/>
        </w:rPr>
      </w:pPr>
      <w:hyperlink w:anchor="page74">
        <w:r>
          <w:rPr>
            <w:rFonts w:ascii="Arial" w:cs="Arial" w:eastAsia="Arial" w:hAnsi="Arial"/>
            <w:sz w:val="16"/>
            <w:szCs w:val="16"/>
            <w:color w:val="auto"/>
          </w:rPr>
          <w:t>Consolidated Balance Sheets as of December 31,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60"/>
        <w:spacing w:after="0"/>
        <w:rPr>
          <w:rFonts w:ascii="Arial" w:cs="Arial" w:eastAsia="Arial" w:hAnsi="Arial"/>
          <w:sz w:val="16"/>
          <w:szCs w:val="16"/>
          <w:color w:val="auto"/>
        </w:rPr>
      </w:pPr>
      <w:hyperlink w:anchor="page75">
        <w:r>
          <w:rPr>
            <w:rFonts w:ascii="Arial" w:cs="Arial" w:eastAsia="Arial" w:hAnsi="Arial"/>
            <w:sz w:val="16"/>
            <w:szCs w:val="16"/>
            <w:color w:val="auto"/>
          </w:rPr>
          <w:t>Consolidated Statements of Operations for the Years Ended December 31, 2020, 2019 and 2018</w:t>
        </w:r>
      </w:hyperlink>
    </w:p>
    <w:p>
      <w:pPr>
        <w:spacing w:after="0" w:line="32" w:lineRule="exact"/>
        <w:rPr>
          <w:sz w:val="20"/>
          <w:szCs w:val="20"/>
          <w:color w:val="auto"/>
        </w:rPr>
      </w:pPr>
    </w:p>
    <w:p>
      <w:pPr>
        <w:ind w:left="460"/>
        <w:spacing w:after="0"/>
        <w:rPr>
          <w:rFonts w:ascii="Arial" w:cs="Arial" w:eastAsia="Arial" w:hAnsi="Arial"/>
          <w:sz w:val="16"/>
          <w:szCs w:val="16"/>
          <w:color w:val="auto"/>
        </w:rPr>
      </w:pPr>
      <w:hyperlink w:anchor="page76">
        <w:r>
          <w:rPr>
            <w:rFonts w:ascii="Arial" w:cs="Arial" w:eastAsia="Arial" w:hAnsi="Arial"/>
            <w:sz w:val="16"/>
            <w:szCs w:val="16"/>
            <w:color w:val="auto"/>
          </w:rPr>
          <w:t>Consolidated Statements of Comprehensive (Loss) Income for the Years Ended December 31, 2020,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60"/>
        <w:spacing w:after="0"/>
        <w:rPr>
          <w:rFonts w:ascii="Arial" w:cs="Arial" w:eastAsia="Arial" w:hAnsi="Arial"/>
          <w:sz w:val="16"/>
          <w:szCs w:val="16"/>
          <w:color w:val="auto"/>
        </w:rPr>
      </w:pPr>
      <w:hyperlink w:anchor="page77">
        <w:r>
          <w:rPr>
            <w:rFonts w:ascii="Arial" w:cs="Arial" w:eastAsia="Arial" w:hAnsi="Arial"/>
            <w:sz w:val="16"/>
            <w:szCs w:val="16"/>
            <w:color w:val="auto"/>
          </w:rPr>
          <w:t>Consolidated Statements of Stockholders’ Equity for the Years Ended December 31, 2020, 2019 and 2018</w:t>
        </w:r>
      </w:hyperlink>
    </w:p>
    <w:p>
      <w:pPr>
        <w:spacing w:after="0" w:line="32" w:lineRule="exact"/>
        <w:rPr>
          <w:sz w:val="20"/>
          <w:szCs w:val="20"/>
          <w:color w:val="auto"/>
        </w:rPr>
      </w:pPr>
    </w:p>
    <w:p>
      <w:pPr>
        <w:ind w:left="460"/>
        <w:spacing w:after="0"/>
        <w:rPr>
          <w:rFonts w:ascii="Arial" w:cs="Arial" w:eastAsia="Arial" w:hAnsi="Arial"/>
          <w:sz w:val="16"/>
          <w:szCs w:val="16"/>
          <w:color w:val="auto"/>
        </w:rPr>
      </w:pPr>
      <w:hyperlink w:anchor="page78">
        <w:r>
          <w:rPr>
            <w:rFonts w:ascii="Arial" w:cs="Arial" w:eastAsia="Arial" w:hAnsi="Arial"/>
            <w:sz w:val="16"/>
            <w:szCs w:val="16"/>
            <w:color w:val="auto"/>
          </w:rPr>
          <w:t>Consolidated Statements of Cash Flows for the Years Ended December 31, 2020,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60"/>
        <w:spacing w:after="0"/>
        <w:rPr>
          <w:rFonts w:ascii="Arial" w:cs="Arial" w:eastAsia="Arial" w:hAnsi="Arial"/>
          <w:sz w:val="16"/>
          <w:szCs w:val="16"/>
          <w:color w:val="auto"/>
        </w:rPr>
      </w:pPr>
      <w:hyperlink w:anchor="page80">
        <w:r>
          <w:rPr>
            <w:rFonts w:ascii="Arial" w:cs="Arial" w:eastAsia="Arial" w:hAnsi="Arial"/>
            <w:sz w:val="16"/>
            <w:szCs w:val="16"/>
            <w:color w:val="auto"/>
          </w:rPr>
          <w:t>Notes to Consolidated Financial Statements</w:t>
        </w:r>
      </w:hyperlink>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(a)(ii) 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2" w:lineRule="exact"/>
        <w:rPr>
          <w:sz w:val="20"/>
          <w:szCs w:val="20"/>
          <w:color w:val="auto"/>
        </w:rPr>
      </w:pPr>
    </w:p>
    <w:p>
      <w:pPr>
        <w:ind w:left="460"/>
        <w:spacing w:after="0"/>
        <w:rPr>
          <w:rFonts w:ascii="Arial" w:cs="Arial" w:eastAsia="Arial" w:hAnsi="Arial"/>
          <w:sz w:val="16"/>
          <w:szCs w:val="16"/>
          <w:color w:val="auto"/>
        </w:rPr>
      </w:pPr>
      <w:hyperlink w:anchor="page132">
        <w:r>
          <w:rPr>
            <w:rFonts w:ascii="Arial" w:cs="Arial" w:eastAsia="Arial" w:hAnsi="Arial"/>
            <w:sz w:val="16"/>
            <w:szCs w:val="16"/>
            <w:color w:val="auto"/>
          </w:rPr>
          <w:t>Schedule I—Condensed Financial Information of Registrant Parent Company Only as of December 31, 2020 and 2019 and for the Years Ended December 31, 2020,</w:t>
        </w:r>
      </w:hyperlink>
      <w:r>
        <w:rPr>
          <w:rFonts w:ascii="Arial" w:cs="Arial" w:eastAsia="Arial" w:hAnsi="Arial"/>
          <w:sz w:val="16"/>
          <w:szCs w:val="16"/>
          <w:color w:val="auto"/>
        </w:rPr>
        <w:t xml:space="preserve"> </w:t>
      </w:r>
      <w:hyperlink w:anchor="page132">
        <w:r>
          <w:rPr>
            <w:rFonts w:ascii="Arial" w:cs="Arial" w:eastAsia="Arial" w:hAnsi="Arial"/>
            <w:sz w:val="16"/>
            <w:szCs w:val="16"/>
            <w:color w:val="auto"/>
          </w:rPr>
          <w:t>2019, and 2018</w:t>
        </w:r>
      </w:hyperlink>
    </w:p>
    <w:p>
      <w:pPr>
        <w:spacing w:after="0" w:line="10" w:lineRule="exact"/>
        <w:rPr>
          <w:sz w:val="20"/>
          <w:szCs w:val="20"/>
          <w:color w:val="auto"/>
        </w:rPr>
      </w:pPr>
    </w:p>
    <w:p>
      <w:pPr>
        <w:ind w:left="480" w:right="20"/>
        <w:spacing w:after="0"/>
        <w:rPr>
          <w:sz w:val="20"/>
          <w:szCs w:val="20"/>
          <w:color w:val="auto"/>
        </w:rPr>
      </w:pPr>
      <w:r>
        <w:rPr>
          <w:rFonts w:ascii="Arial" w:cs="Arial" w:eastAsia="Arial" w:hAnsi="Arial"/>
          <w:sz w:val="16"/>
          <w:szCs w:val="16"/>
          <w:color w:val="auto"/>
        </w:rPr>
        <w:t>We have omitted schedules other than the ones listed above because they are not required or are not applicable, or the required information is shown in the financial statements or 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(a)(iii) Exhibits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07" w:right="4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7"/>
          </w:tcPr>
          <w:p>
            <w:pPr>
              <w:ind w:left="5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100" w:type="dxa"/>
            <w:vAlign w:val="bottom"/>
            <w:tcBorders>
              <w:top w:val="single" w:sz="8" w:color="auto"/>
            </w:tcBorders>
            <w:gridSpan w:val="37"/>
          </w:tcPr>
          <w:p>
            <w:pPr>
              <w:spacing w:after="0"/>
              <w:rPr>
                <w:rFonts w:ascii="Arial" w:cs="Arial" w:eastAsia="Arial" w:hAnsi="Arial"/>
                <w:sz w:val="16"/>
                <w:szCs w:val="16"/>
                <w:color w:val="0000FF"/>
                <w:w w:val="94"/>
              </w:rPr>
            </w:pPr>
            <w:hyperlink r:id="rId91">
              <w:r>
                <w:rPr>
                  <w:rFonts w:ascii="Arial" w:cs="Arial" w:eastAsia="Arial" w:hAnsi="Arial"/>
                  <w:sz w:val="16"/>
                  <w:szCs w:val="16"/>
                  <w:color w:val="0000FF"/>
                  <w:w w:val="94"/>
                </w:rPr>
                <w:t>Agreement and Plan of Merger, dated as of June 24, 2019, by and among Caesars Entertainment Corporation, Eldorado</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Resorts, Inc. and Colt Merger Sub,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rPr>
            </w:pPr>
            <w:hyperlink r:id="rId92">
              <w:r>
                <w:rPr>
                  <w:rFonts w:ascii="Arial" w:cs="Arial" w:eastAsia="Arial" w:hAnsi="Arial"/>
                  <w:sz w:val="16"/>
                  <w:szCs w:val="16"/>
                  <w:color w:val="0000FF"/>
                </w:rPr>
                <w:t>Amendment No. 1 to Agreement and Plan of Merger, dated as of August 15, 2019, by and among Caesars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Entertainment Corporation, Eldorado Resorts, Inc. and Colt Merger Sub,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w w:val="98"/>
              </w:rPr>
            </w:pPr>
            <w:hyperlink r:id="rId93">
              <w:r>
                <w:rPr>
                  <w:rFonts w:ascii="Arial" w:cs="Arial" w:eastAsia="Arial" w:hAnsi="Arial"/>
                  <w:sz w:val="16"/>
                  <w:szCs w:val="16"/>
                  <w:color w:val="0000FF"/>
                  <w:w w:val="98"/>
                </w:rPr>
                <w:t>Agreement and Plan of Merger by and among Eldorado Resorts, Inc., Delta Merger Sub, Inc., GLP Capital, L.P. and</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2"/>
              </w:rPr>
            </w:pPr>
            <w:hyperlink r:id="rId93">
              <w:r>
                <w:rPr>
                  <w:rFonts w:ascii="Arial" w:cs="Arial" w:eastAsia="Arial" w:hAnsi="Arial"/>
                  <w:sz w:val="16"/>
                  <w:szCs w:val="16"/>
                  <w:color w:val="0000FF"/>
                  <w:w w:val="92"/>
                </w:rPr>
                <w:t>Tropicana Entertainment Inc., dated as of April 15, 2018.</w:t>
              </w:r>
            </w:hyperlink>
          </w:p>
        </w:tc>
        <w:tc>
          <w:tcPr>
            <w:tcW w:w="4160" w:type="dxa"/>
            <w:vAlign w:val="bottom"/>
            <w:tcBorders>
              <w:top w:val="single" w:sz="8" w:color="0000FF"/>
            </w:tcBorders>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Certificate of Incorporation of Caesars Entertainment, Inc.</w:t>
              </w:r>
            </w:hyperlink>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Bylaws of Caesars Entertainment, Inc.</w:t>
              </w:r>
            </w:hyperlink>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u w:val="single" w:color="auto"/>
                <w:color w:val="0000FF"/>
              </w:rPr>
            </w:pPr>
            <w:hyperlink w:anchor="page137">
              <w:r>
                <w:rPr>
                  <w:rFonts w:ascii="Arial" w:cs="Arial" w:eastAsia="Arial" w:hAnsi="Arial"/>
                  <w:sz w:val="16"/>
                  <w:szCs w:val="16"/>
                  <w:u w:val="single" w:color="auto"/>
                  <w:color w:val="0000FF"/>
                </w:rPr>
                <w:t>Description of Capital Stock</w:t>
              </w:r>
            </w:hyperlink>
          </w:p>
        </w:tc>
        <w:tc>
          <w:tcPr>
            <w:tcW w:w="0" w:type="dxa"/>
            <w:vAlign w:val="bottom"/>
          </w:tcPr>
          <w:p>
            <w:pPr>
              <w:spacing w:after="0"/>
              <w:rPr>
                <w:sz w:val="1"/>
                <w:szCs w:val="1"/>
                <w:color w:val="auto"/>
              </w:rPr>
            </w:pPr>
          </w:p>
        </w:tc>
      </w:tr>
      <w:tr>
        <w:trPr>
          <w:trHeight w:val="249"/>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0" w:type="dxa"/>
            <w:vAlign w:val="bottom"/>
            <w:tcBorders>
              <w:bottom w:val="single" w:sz="8" w:color="0000FF"/>
            </w:tcBorders>
            <w:gridSpan w:val="20"/>
          </w:tcPr>
          <w:p>
            <w:pPr>
              <w:spacing w:after="0"/>
              <w:rPr>
                <w:rFonts w:ascii="Arial" w:cs="Arial" w:eastAsia="Arial" w:hAnsi="Arial"/>
                <w:sz w:val="16"/>
                <w:szCs w:val="16"/>
                <w:color w:val="0000FF"/>
                <w:w w:val="93"/>
              </w:rPr>
            </w:pPr>
            <w:hyperlink r:id="rId96">
              <w:r>
                <w:rPr>
                  <w:rFonts w:ascii="Arial" w:cs="Arial" w:eastAsia="Arial" w:hAnsi="Arial"/>
                  <w:sz w:val="16"/>
                  <w:szCs w:val="16"/>
                  <w:color w:val="0000FF"/>
                  <w:w w:val="93"/>
                </w:rPr>
                <w:t>Indenture (6.25% CEI Senior Secured Notes due 2025) dated as of July 6, 2020, by and between Colt Merger Sub,</w:t>
              </w:r>
            </w:hyperlink>
          </w:p>
        </w:tc>
        <w:tc>
          <w:tcPr>
            <w:tcW w:w="5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gridSpan w:val="37"/>
          </w:tcPr>
          <w:p>
            <w:pPr>
              <w:spacing w:after="0" w:line="169" w:lineRule="exact"/>
              <w:rPr>
                <w:rFonts w:ascii="Arial" w:cs="Arial" w:eastAsia="Arial" w:hAnsi="Arial"/>
                <w:sz w:val="16"/>
                <w:szCs w:val="16"/>
                <w:color w:val="0000FF"/>
              </w:rPr>
            </w:pPr>
            <w:hyperlink r:id="rId96">
              <w:r>
                <w:rPr>
                  <w:rFonts w:ascii="Arial" w:cs="Arial" w:eastAsia="Arial" w:hAnsi="Arial"/>
                  <w:sz w:val="16"/>
                  <w:szCs w:val="16"/>
                  <w:color w:val="0000FF"/>
                </w:rPr>
                <w:t>Inc. and U.S. Bank National Association.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00" w:type="dxa"/>
            <w:vAlign w:val="bottom"/>
            <w:gridSpan w:val="37"/>
          </w:tcPr>
          <w:p>
            <w:pPr>
              <w:spacing w:after="0"/>
              <w:rPr>
                <w:rFonts w:ascii="Arial" w:cs="Arial" w:eastAsia="Arial" w:hAnsi="Arial"/>
                <w:sz w:val="16"/>
                <w:szCs w:val="16"/>
                <w:color w:val="0000FF"/>
                <w:w w:val="95"/>
              </w:rPr>
            </w:pPr>
            <w:hyperlink r:id="rId97">
              <w:r>
                <w:rPr>
                  <w:rFonts w:ascii="Arial" w:cs="Arial" w:eastAsia="Arial" w:hAnsi="Arial"/>
                  <w:sz w:val="16"/>
                  <w:szCs w:val="16"/>
                  <w:color w:val="0000FF"/>
                  <w:w w:val="95"/>
                </w:rPr>
                <w:t>Supplemental Indenture, dated as of July 20, 2020, to Indenture (6.25% CEI Senior Secured Notes due 2025), dated as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tcBorders>
            <w:gridSpan w:val="29"/>
          </w:tcPr>
          <w:p>
            <w:pPr>
              <w:spacing w:after="0" w:line="142" w:lineRule="exact"/>
              <w:rPr>
                <w:rFonts w:ascii="Arial" w:cs="Arial" w:eastAsia="Arial" w:hAnsi="Arial"/>
                <w:sz w:val="16"/>
                <w:szCs w:val="16"/>
                <w:color w:val="0000FF"/>
                <w:w w:val="96"/>
              </w:rPr>
            </w:pPr>
            <w:hyperlink r:id="rId97">
              <w:r>
                <w:rPr>
                  <w:rFonts w:ascii="Arial" w:cs="Arial" w:eastAsia="Arial" w:hAnsi="Arial"/>
                  <w:sz w:val="16"/>
                  <w:szCs w:val="16"/>
                  <w:color w:val="0000FF"/>
                  <w:w w:val="96"/>
                </w:rPr>
                <w:t>of July 6, 2020, by and among Colt Merger Sub, Inc., Eldorado Resorts, Inc., the subsidiary guarantors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and U.S. Bank National Association.</w:t>
              </w:r>
            </w:hyperlink>
          </w:p>
        </w:tc>
        <w:tc>
          <w:tcPr>
            <w:tcW w:w="54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bottom w:val="single" w:sz="8" w:color="0000FF"/>
            </w:tcBorders>
            <w:gridSpan w:val="20"/>
          </w:tcPr>
          <w:p>
            <w:pPr>
              <w:spacing w:after="0"/>
              <w:rPr>
                <w:rFonts w:ascii="Arial" w:cs="Arial" w:eastAsia="Arial" w:hAnsi="Arial"/>
                <w:sz w:val="16"/>
                <w:szCs w:val="16"/>
                <w:color w:val="0000FF"/>
                <w:w w:val="92"/>
              </w:rPr>
            </w:pPr>
            <w:hyperlink r:id="rId98">
              <w:r>
                <w:rPr>
                  <w:rFonts w:ascii="Arial" w:cs="Arial" w:eastAsia="Arial" w:hAnsi="Arial"/>
                  <w:sz w:val="16"/>
                  <w:szCs w:val="16"/>
                  <w:color w:val="0000FF"/>
                  <w:w w:val="92"/>
                </w:rPr>
                <w:t>Indenture (8.125% CEI Senior Notes due 2027) dated as of July 6, 2020, by and between Colt Merger Sub, Inc. and</w:t>
              </w:r>
            </w:hyperlink>
          </w:p>
        </w:tc>
        <w:tc>
          <w:tcPr>
            <w:tcW w:w="5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0000FF"/>
            </w:tcBorders>
            <w:gridSpan w:val="6"/>
          </w:tcPr>
          <w:p>
            <w:pPr>
              <w:spacing w:after="0" w:line="169" w:lineRule="exact"/>
              <w:rPr>
                <w:rFonts w:ascii="Arial" w:cs="Arial" w:eastAsia="Arial" w:hAnsi="Arial"/>
                <w:sz w:val="16"/>
                <w:szCs w:val="16"/>
                <w:color w:val="0000FF"/>
                <w:w w:val="92"/>
              </w:rPr>
            </w:pPr>
            <w:hyperlink r:id="rId98">
              <w:r>
                <w:rPr>
                  <w:rFonts w:ascii="Arial" w:cs="Arial" w:eastAsia="Arial" w:hAnsi="Arial"/>
                  <w:sz w:val="16"/>
                  <w:szCs w:val="16"/>
                  <w:color w:val="0000FF"/>
                  <w:w w:val="92"/>
                </w:rPr>
                <w:t>U.S. Bank National Association.</w:t>
              </w:r>
            </w:hyperlink>
          </w:p>
        </w:tc>
        <w:tc>
          <w:tcPr>
            <w:tcW w:w="5980" w:type="dxa"/>
            <w:vAlign w:val="bottom"/>
            <w:gridSpan w:val="31"/>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00" w:type="dxa"/>
            <w:vAlign w:val="bottom"/>
            <w:gridSpan w:val="37"/>
          </w:tcPr>
          <w:p>
            <w:pPr>
              <w:spacing w:after="0"/>
              <w:rPr>
                <w:rFonts w:ascii="Arial" w:cs="Arial" w:eastAsia="Arial" w:hAnsi="Arial"/>
                <w:sz w:val="16"/>
                <w:szCs w:val="16"/>
                <w:color w:val="0000FF"/>
                <w:w w:val="96"/>
              </w:rPr>
            </w:pPr>
            <w:hyperlink r:id="rId99">
              <w:r>
                <w:rPr>
                  <w:rFonts w:ascii="Arial" w:cs="Arial" w:eastAsia="Arial" w:hAnsi="Arial"/>
                  <w:sz w:val="16"/>
                  <w:szCs w:val="16"/>
                  <w:color w:val="0000FF"/>
                  <w:w w:val="96"/>
                </w:rPr>
                <w:t>Supplemental Indenture, dated as of July 20, 2020, to Indenture (8.125% CEI Senior Notes due 2027), dated as of July</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40" w:type="dxa"/>
            <w:vAlign w:val="bottom"/>
            <w:tcBorders>
              <w:top w:val="single" w:sz="8" w:color="0000FF"/>
              <w:bottom w:val="single" w:sz="8" w:color="0000FF"/>
            </w:tcBorders>
            <w:gridSpan w:val="34"/>
          </w:tcPr>
          <w:p>
            <w:pPr>
              <w:spacing w:after="0" w:line="142" w:lineRule="exact"/>
              <w:rPr>
                <w:rFonts w:ascii="Arial" w:cs="Arial" w:eastAsia="Arial" w:hAnsi="Arial"/>
                <w:sz w:val="16"/>
                <w:szCs w:val="16"/>
                <w:color w:val="0000FF"/>
                <w:w w:val="95"/>
              </w:rPr>
            </w:pPr>
            <w:hyperlink r:id="rId99">
              <w:r>
                <w:rPr>
                  <w:rFonts w:ascii="Arial" w:cs="Arial" w:eastAsia="Arial" w:hAnsi="Arial"/>
                  <w:sz w:val="16"/>
                  <w:szCs w:val="16"/>
                  <w:color w:val="0000FF"/>
                  <w:w w:val="95"/>
                </w:rPr>
                <w:t>6, 2020, by and among Colt Merger Sub, Inc., Eldorado Resorts, Inc., the subsidiary guarantors party thereto and U.S.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gridSpan w:val="35"/>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Bank National Association.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4.6</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bottom w:val="single" w:sz="8" w:color="0000FF"/>
            </w:tcBorders>
            <w:gridSpan w:val="20"/>
          </w:tcPr>
          <w:p>
            <w:pPr>
              <w:spacing w:after="0"/>
              <w:rPr>
                <w:rFonts w:ascii="Arial" w:cs="Arial" w:eastAsia="Arial" w:hAnsi="Arial"/>
                <w:sz w:val="16"/>
                <w:szCs w:val="16"/>
                <w:color w:val="0000FF"/>
                <w:w w:val="91"/>
              </w:rPr>
            </w:pPr>
            <w:hyperlink r:id="rId100">
              <w:r>
                <w:rPr>
                  <w:rFonts w:ascii="Arial" w:cs="Arial" w:eastAsia="Arial" w:hAnsi="Arial"/>
                  <w:sz w:val="16"/>
                  <w:szCs w:val="16"/>
                  <w:color w:val="0000FF"/>
                  <w:w w:val="91"/>
                </w:rPr>
                <w:t>Indenture (5.75% CRC Secured Notes due 2025) dated as of July 6, 2020, by and between Colt Merger Sub, Inc. and</w:t>
              </w:r>
            </w:hyperlink>
          </w:p>
        </w:tc>
        <w:tc>
          <w:tcPr>
            <w:tcW w:w="5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0000FF"/>
            </w:tcBorders>
            <w:gridSpan w:val="6"/>
          </w:tcPr>
          <w:p>
            <w:pPr>
              <w:spacing w:after="0" w:line="169" w:lineRule="exact"/>
              <w:rPr>
                <w:rFonts w:ascii="Arial" w:cs="Arial" w:eastAsia="Arial" w:hAnsi="Arial"/>
                <w:sz w:val="16"/>
                <w:szCs w:val="16"/>
                <w:color w:val="0000FF"/>
                <w:w w:val="92"/>
              </w:rPr>
            </w:pPr>
            <w:hyperlink r:id="rId100">
              <w:r>
                <w:rPr>
                  <w:rFonts w:ascii="Arial" w:cs="Arial" w:eastAsia="Arial" w:hAnsi="Arial"/>
                  <w:sz w:val="16"/>
                  <w:szCs w:val="16"/>
                  <w:color w:val="0000FF"/>
                  <w:w w:val="92"/>
                </w:rPr>
                <w:t>U.S. Bank National Association.</w:t>
              </w:r>
            </w:hyperlink>
          </w:p>
        </w:tc>
        <w:tc>
          <w:tcPr>
            <w:tcW w:w="5980" w:type="dxa"/>
            <w:vAlign w:val="bottom"/>
            <w:gridSpan w:val="31"/>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00" w:type="dxa"/>
            <w:vAlign w:val="bottom"/>
            <w:gridSpan w:val="37"/>
          </w:tcPr>
          <w:p>
            <w:pPr>
              <w:spacing w:after="0"/>
              <w:rPr>
                <w:rFonts w:ascii="Arial" w:cs="Arial" w:eastAsia="Arial" w:hAnsi="Arial"/>
                <w:sz w:val="16"/>
                <w:szCs w:val="16"/>
                <w:color w:val="0000FF"/>
                <w:w w:val="94"/>
              </w:rPr>
            </w:pPr>
            <w:hyperlink r:id="rId101">
              <w:r>
                <w:rPr>
                  <w:rFonts w:ascii="Arial" w:cs="Arial" w:eastAsia="Arial" w:hAnsi="Arial"/>
                  <w:sz w:val="16"/>
                  <w:szCs w:val="16"/>
                  <w:color w:val="0000FF"/>
                  <w:w w:val="94"/>
                </w:rPr>
                <w:t>Supplemental Indenture, dated as of July 20, 2020, to Indenture (5.75% CRC Secured Notes due 2025), dated as of July</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6, 2020, by and among Colt Merger Sub, Inc., CRC Finco, Inc., Caesars Resort Collection, LLC, the subsidiary</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tcBorders>
              <w:top w:val="single" w:sz="8" w:color="0000FF"/>
            </w:tcBorders>
            <w:gridSpan w:val="25"/>
          </w:tcPr>
          <w:p>
            <w:pPr>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guarantors party thereto, U.S. Bank National Association and Credit Suisse AG, Cayman Islands Branch.</w:t>
              </w:r>
            </w:hyperlink>
          </w:p>
        </w:tc>
        <w:tc>
          <w:tcPr>
            <w:tcW w:w="1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00" w:type="dxa"/>
            <w:vAlign w:val="bottom"/>
            <w:gridSpan w:val="37"/>
          </w:tcPr>
          <w:p>
            <w:pPr>
              <w:spacing w:after="0"/>
              <w:rPr>
                <w:rFonts w:ascii="Arial" w:cs="Arial" w:eastAsia="Arial" w:hAnsi="Arial"/>
                <w:sz w:val="16"/>
                <w:szCs w:val="16"/>
                <w:color w:val="0000FF"/>
                <w:w w:val="99"/>
              </w:rPr>
            </w:pPr>
            <w:hyperlink r:id="rId102">
              <w:r>
                <w:rPr>
                  <w:rFonts w:ascii="Arial" w:cs="Arial" w:eastAsia="Arial" w:hAnsi="Arial"/>
                  <w:sz w:val="16"/>
                  <w:szCs w:val="16"/>
                  <w:color w:val="0000FF"/>
                  <w:w w:val="99"/>
                </w:rPr>
                <w:t>Indenture (5.00% CEC Convertible Notes due 2024), dated as of October 6, 2017, between Caesars Entertainment</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Corporation and Delaware Trust Company, as trustee.</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color w:val="0000FF"/>
                <w:w w:val="97"/>
              </w:rPr>
            </w:pPr>
            <w:hyperlink r:id="rId103">
              <w:r>
                <w:rPr>
                  <w:rFonts w:ascii="Arial" w:cs="Arial" w:eastAsia="Arial" w:hAnsi="Arial"/>
                  <w:sz w:val="16"/>
                  <w:szCs w:val="16"/>
                  <w:color w:val="0000FF"/>
                  <w:w w:val="97"/>
                </w:rPr>
                <w:t>First Supplemental Indenture (5.00% CEC Convertible Notes due 2024), dated November 27, 2019 between Caesars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Entertainment Corporation and Delaware Trust Company, as trustee.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color w:val="0000FF"/>
                <w:w w:val="97"/>
              </w:rPr>
            </w:pPr>
            <w:hyperlink r:id="rId104">
              <w:r>
                <w:rPr>
                  <w:rFonts w:ascii="Arial" w:cs="Arial" w:eastAsia="Arial" w:hAnsi="Arial"/>
                  <w:sz w:val="16"/>
                  <w:szCs w:val="16"/>
                  <w:color w:val="0000FF"/>
                  <w:w w:val="97"/>
                </w:rPr>
                <w:t>Second Supplemental Indenture (5.00% CEC Convertible Notes due 2024), dated as of July 20, 2020, by and among</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w w:val="90"/>
              </w:rPr>
            </w:pPr>
            <w:hyperlink r:id="rId104">
              <w:r>
                <w:rPr>
                  <w:rFonts w:ascii="Arial" w:cs="Arial" w:eastAsia="Arial" w:hAnsi="Arial"/>
                  <w:sz w:val="16"/>
                  <w:szCs w:val="16"/>
                  <w:color w:val="0000FF"/>
                  <w:w w:val="90"/>
                </w:rPr>
                <w:t>Caesars Entertainment Corporation, Eldorado Resorts, Inc. and Delaware Trust Company.</w:t>
              </w:r>
            </w:hyperlink>
          </w:p>
        </w:tc>
        <w:tc>
          <w:tcPr>
            <w:tcW w:w="1980" w:type="dxa"/>
            <w:vAlign w:val="bottom"/>
            <w:tcBorders>
              <w:top w:val="single" w:sz="8" w:color="0000FF"/>
            </w:tcBorders>
            <w:gridSpan w:val="5"/>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w w:val="95"/>
              </w:rPr>
            </w:pPr>
            <w:hyperlink r:id="rId105">
              <w:r>
                <w:rPr>
                  <w:rFonts w:ascii="Arial" w:cs="Arial" w:eastAsia="Arial" w:hAnsi="Arial"/>
                  <w:sz w:val="16"/>
                  <w:szCs w:val="16"/>
                  <w:color w:val="0000FF"/>
                  <w:w w:val="95"/>
                </w:rPr>
                <w:t>Indenture (5.25% CRC Notes due 2025), dated October 16, 2017, by and among CRC Escrow Issuer, LLC, CRC Finco,</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Inc. and Deutsche Bank Trust Company Americas, as trustee.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color w:val="0000FF"/>
              </w:rPr>
            </w:pPr>
            <w:hyperlink r:id="rId106">
              <w:r>
                <w:rPr>
                  <w:rFonts w:ascii="Arial" w:cs="Arial" w:eastAsia="Arial" w:hAnsi="Arial"/>
                  <w:sz w:val="16"/>
                  <w:szCs w:val="16"/>
                  <w:color w:val="0000FF"/>
                </w:rPr>
                <w:t>Supplemental Indenture (5.25% CRC Notes due 2025), dated December 22, 2017, by and among Caesars Resort</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Collection, LLC, the subsidiary guarantors party thereto, CRC Finco, Inc. and Deutsche Bank Trust Company</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9"/>
              </w:rPr>
            </w:pPr>
            <w:hyperlink r:id="rId106">
              <w:r>
                <w:rPr>
                  <w:rFonts w:ascii="Arial" w:cs="Arial" w:eastAsia="Arial" w:hAnsi="Arial"/>
                  <w:sz w:val="16"/>
                  <w:szCs w:val="16"/>
                  <w:color w:val="0000FF"/>
                  <w:w w:val="89"/>
                </w:rPr>
                <w:t>Americas, as trustee.</w:t>
              </w:r>
            </w:hyperlink>
          </w:p>
        </w:tc>
        <w:tc>
          <w:tcPr>
            <w:tcW w:w="6540" w:type="dxa"/>
            <w:vAlign w:val="bottom"/>
            <w:tcBorders>
              <w:top w:val="single" w:sz="8" w:color="0000FF"/>
            </w:tcBorders>
            <w:gridSpan w:val="26"/>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7"/>
          </w:tcPr>
          <w:p>
            <w:pPr>
              <w:spacing w:after="0"/>
              <w:rPr>
                <w:rFonts w:ascii="Arial" w:cs="Arial" w:eastAsia="Arial" w:hAnsi="Arial"/>
                <w:sz w:val="16"/>
                <w:szCs w:val="16"/>
                <w:color w:val="0000FF"/>
                <w:w w:val="98"/>
              </w:rPr>
            </w:pPr>
            <w:hyperlink r:id="rId107">
              <w:r>
                <w:rPr>
                  <w:rFonts w:ascii="Arial" w:cs="Arial" w:eastAsia="Arial" w:hAnsi="Arial"/>
                  <w:sz w:val="16"/>
                  <w:szCs w:val="16"/>
                  <w:color w:val="0000FF"/>
                  <w:w w:val="98"/>
                </w:rPr>
                <w:t>CPLV Lease (conformed through the Second Amendment), dated as of July 20, 2020, by and among CPLV Property</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3"/>
              </w:rPr>
            </w:pPr>
            <w:hyperlink r:id="rId107">
              <w:r>
                <w:rPr>
                  <w:rFonts w:ascii="Arial" w:cs="Arial" w:eastAsia="Arial" w:hAnsi="Arial"/>
                  <w:sz w:val="16"/>
                  <w:szCs w:val="16"/>
                  <w:color w:val="0000FF"/>
                  <w:w w:val="93"/>
                </w:rPr>
                <w:t>Owner LLC, Desert Palace LLC and CEOC, LLC.</w:t>
              </w:r>
            </w:hyperlink>
          </w:p>
        </w:tc>
        <w:tc>
          <w:tcPr>
            <w:tcW w:w="4680" w:type="dxa"/>
            <w:vAlign w:val="bottom"/>
            <w:tcBorders>
              <w:top w:val="single" w:sz="8" w:color="0000FF"/>
            </w:tcBorders>
            <w:gridSpan w:val="19"/>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w w:val="96"/>
              </w:rPr>
            </w:pPr>
            <w:hyperlink r:id="rId108">
              <w:r>
                <w:rPr>
                  <w:rFonts w:ascii="Arial" w:cs="Arial" w:eastAsia="Arial" w:hAnsi="Arial"/>
                  <w:sz w:val="16"/>
                  <w:szCs w:val="16"/>
                  <w:color w:val="0000FF"/>
                  <w:w w:val="96"/>
                </w:rPr>
                <w:t>Third Amendment to CPLV Lease, dated as of September 30, 2020, by and among CPLV Property Owner LLC, Desert</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3"/>
              </w:rPr>
            </w:pPr>
            <w:hyperlink r:id="rId108">
              <w:r>
                <w:rPr>
                  <w:rFonts w:ascii="Arial" w:cs="Arial" w:eastAsia="Arial" w:hAnsi="Arial"/>
                  <w:sz w:val="16"/>
                  <w:szCs w:val="16"/>
                  <w:color w:val="0000FF"/>
                  <w:w w:val="93"/>
                </w:rPr>
                <w:t>Palace LLC and CEOC, LLC.</w:t>
              </w:r>
            </w:hyperlink>
          </w:p>
        </w:tc>
        <w:tc>
          <w:tcPr>
            <w:tcW w:w="5880" w:type="dxa"/>
            <w:vAlign w:val="bottom"/>
            <w:tcBorders>
              <w:top w:val="single" w:sz="8" w:color="0000FF"/>
            </w:tcBorders>
            <w:gridSpan w:val="20"/>
          </w:tcPr>
          <w:p>
            <w:pPr>
              <w:spacing w:after="0"/>
              <w:rPr>
                <w:sz w:val="12"/>
                <w:szCs w:val="12"/>
                <w:color w:val="auto"/>
              </w:rPr>
            </w:pPr>
          </w:p>
        </w:tc>
        <w:tc>
          <w:tcPr>
            <w:tcW w:w="24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w w:val="95"/>
              </w:rPr>
            </w:pPr>
            <w:hyperlink w:anchor="page139">
              <w:r>
                <w:rPr>
                  <w:rFonts w:ascii="Arial" w:cs="Arial" w:eastAsia="Arial" w:hAnsi="Arial"/>
                  <w:sz w:val="16"/>
                  <w:szCs w:val="16"/>
                  <w:u w:val="single" w:color="auto"/>
                  <w:color w:val="0000FF"/>
                  <w:w w:val="95"/>
                </w:rPr>
                <w:t>Fourth Amendment to CPLV Lease, dated as of November 18, 2020, by and among CPLV</w:t>
              </w:r>
              <w:r>
                <w:rPr>
                  <w:rFonts w:ascii="Arial" w:cs="Arial" w:eastAsia="Arial" w:hAnsi="Arial"/>
                  <w:sz w:val="16"/>
                  <w:szCs w:val="16"/>
                  <w:color w:val="0000FF"/>
                  <w:w w:val="95"/>
                </w:rPr>
                <w:t xml:space="preserve"> Property Owner LLC, Desert</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gridSpan w:val="19"/>
          </w:tcPr>
          <w:p>
            <w:pPr>
              <w:spacing w:after="0" w:line="142" w:lineRule="exact"/>
              <w:rPr>
                <w:rFonts w:ascii="Arial" w:cs="Arial" w:eastAsia="Arial" w:hAnsi="Arial"/>
                <w:sz w:val="16"/>
                <w:szCs w:val="16"/>
                <w:color w:val="0000FF"/>
              </w:rPr>
            </w:pPr>
            <w:hyperlink w:anchor="page139">
              <w:r>
                <w:rPr>
                  <w:rFonts w:ascii="Arial" w:cs="Arial" w:eastAsia="Arial" w:hAnsi="Arial"/>
                  <w:sz w:val="16"/>
                  <w:szCs w:val="16"/>
                  <w:color w:val="0000FF"/>
                </w:rPr>
                <w:t>Palace LLC and CEOC, LLC.</w:t>
              </w:r>
            </w:hyperlink>
          </w:p>
        </w:tc>
        <w:tc>
          <w:tcPr>
            <w:tcW w:w="188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w w:val="98"/>
              </w:rPr>
            </w:pPr>
            <w:hyperlink r:id="rId109">
              <w:r>
                <w:rPr>
                  <w:rFonts w:ascii="Arial" w:cs="Arial" w:eastAsia="Arial" w:hAnsi="Arial"/>
                  <w:sz w:val="16"/>
                  <w:szCs w:val="16"/>
                  <w:color w:val="0000FF"/>
                  <w:w w:val="98"/>
                </w:rPr>
                <w:t>Guaranty of Lease, dated as of July 20, 2020, by and among Eldorado Resorts, Inc., CPLV Property Owner LLC and</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7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Claudine Propco LLC (CPLV).</w:t>
              </w:r>
            </w:hyperlink>
          </w:p>
        </w:tc>
        <w:tc>
          <w:tcPr>
            <w:tcW w:w="20" w:type="dxa"/>
            <w:vAlign w:val="bottom"/>
          </w:tcPr>
          <w:p>
            <w:pPr>
              <w:spacing w:after="0"/>
              <w:rPr>
                <w:sz w:val="12"/>
                <w:szCs w:val="12"/>
                <w:color w:val="auto"/>
              </w:rPr>
            </w:pPr>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rPr>
            </w:pPr>
            <w:hyperlink r:id="rId110">
              <w:r>
                <w:rPr>
                  <w:rFonts w:ascii="Arial" w:cs="Arial" w:eastAsia="Arial" w:hAnsi="Arial"/>
                  <w:sz w:val="16"/>
                  <w:szCs w:val="16"/>
                  <w:color w:val="0000FF"/>
                </w:rPr>
                <w:t>Non-CPLV Lease (conformed through the Fifth Amendment), dated as of July 20, 2020, by and among the entities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1"/>
              </w:rPr>
            </w:pPr>
            <w:hyperlink r:id="rId110">
              <w:r>
                <w:rPr>
                  <w:rFonts w:ascii="Arial" w:cs="Arial" w:eastAsia="Arial" w:hAnsi="Arial"/>
                  <w:sz w:val="16"/>
                  <w:szCs w:val="16"/>
                  <w:color w:val="0000FF"/>
                  <w:w w:val="91"/>
                </w:rPr>
                <w:t>listed on Schedules A and B thereto and CEOC, LLC.</w:t>
              </w:r>
            </w:hyperlink>
          </w:p>
        </w:tc>
        <w:tc>
          <w:tcPr>
            <w:tcW w:w="4480" w:type="dxa"/>
            <w:vAlign w:val="bottom"/>
            <w:tcBorders>
              <w:top w:val="single" w:sz="8" w:color="0000FF"/>
            </w:tcBorders>
            <w:gridSpan w:val="18"/>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7"/>
          </w:tcPr>
          <w:p>
            <w:pPr>
              <w:spacing w:after="0"/>
              <w:rPr>
                <w:rFonts w:ascii="Arial" w:cs="Arial" w:eastAsia="Arial" w:hAnsi="Arial"/>
                <w:sz w:val="16"/>
                <w:szCs w:val="16"/>
                <w:color w:val="0000FF"/>
                <w:w w:val="95"/>
              </w:rPr>
            </w:pPr>
            <w:hyperlink r:id="rId111">
              <w:r>
                <w:rPr>
                  <w:rFonts w:ascii="Arial" w:cs="Arial" w:eastAsia="Arial" w:hAnsi="Arial"/>
                  <w:sz w:val="16"/>
                  <w:szCs w:val="16"/>
                  <w:color w:val="0000FF"/>
                  <w:w w:val="95"/>
                </w:rPr>
                <w:t>Sixth Amendment to Non-CPLV Lease, dated as of September 30, 2020, by and among the entities listed on Schedules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A and B thereto and CEOC, LLC.</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551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7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June 25, 2019.</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August 16, 2019.</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April 16, 2018.</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7,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7,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7,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4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Previously filed on Form 8-K filed by Caesars Holdings, Inc. on October 13, 2017.</w:t>
      </w:r>
    </w:p>
    <w:p>
      <w:pPr>
        <w:spacing w:after="0" w:line="7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Previously filed on Form 8-K filed by Caesars Holdings, Inc. on November 29, 2019.</w:t>
      </w:r>
    </w:p>
    <w:p>
      <w:pPr>
        <w:spacing w:after="0" w:line="61"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7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Previously filed on Form 8-K filed by Caesars Holdings, Inc. on October 16, 2017.</w:t>
      </w:r>
    </w:p>
    <w:p>
      <w:pPr>
        <w:spacing w:after="0" w:line="7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Previously filed on Form 8-K filed by Caesars Holdings, Inc. on December 22, 2017.</w:t>
      </w:r>
    </w:p>
    <w:p>
      <w:pPr>
        <w:spacing w:after="0" w:line="61"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9,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November 9, 2020.</w:t>
      </w:r>
    </w:p>
    <w:p>
      <w:pPr>
        <w:spacing w:after="0" w:line="200" w:lineRule="exact"/>
        <w:rPr>
          <w:sz w:val="20"/>
          <w:szCs w:val="20"/>
          <w:color w:val="auto"/>
        </w:rPr>
      </w:pPr>
    </w:p>
    <w:p>
      <w:pPr>
        <w:sectPr>
          <w:pgSz w:w="11900" w:h="16838" w:orient="portrait"/>
          <w:cols w:equalWidth="0" w:num="2">
            <w:col w:w="8700" w:space="120"/>
            <w:col w:w="2320"/>
          </w:cols>
          <w:pgMar w:left="320" w:top="1251" w:right="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60" w:type="dxa"/>
            <w:vAlign w:val="bottom"/>
            <w:gridSpan w:val="21"/>
          </w:tcPr>
          <w:p>
            <w:pPr>
              <w:ind w:left="3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5"/>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10.7</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60" w:type="dxa"/>
            <w:vAlign w:val="bottom"/>
            <w:tcBorders>
              <w:top w:val="single" w:sz="8" w:color="auto"/>
            </w:tcBorders>
            <w:gridSpan w:val="31"/>
          </w:tcPr>
          <w:p>
            <w:pPr>
              <w:spacing w:after="0"/>
              <w:rPr>
                <w:rFonts w:ascii="Arial" w:cs="Arial" w:eastAsia="Arial" w:hAnsi="Arial"/>
                <w:sz w:val="16"/>
                <w:szCs w:val="16"/>
                <w:color w:val="0000FF"/>
              </w:rPr>
            </w:pPr>
            <w:hyperlink w:anchor="page147">
              <w:r>
                <w:rPr>
                  <w:rFonts w:ascii="Arial" w:cs="Arial" w:eastAsia="Arial" w:hAnsi="Arial"/>
                  <w:sz w:val="16"/>
                  <w:szCs w:val="16"/>
                  <w:u w:val="single" w:color="auto"/>
                  <w:color w:val="0000FF"/>
                </w:rPr>
                <w:t>Seventh Amendment to Non-CPLV Lease, dated as of November 18, 2020, by and among</w:t>
              </w:r>
              <w:r>
                <w:rPr>
                  <w:rFonts w:ascii="Arial" w:cs="Arial" w:eastAsia="Arial" w:hAnsi="Arial"/>
                  <w:sz w:val="16"/>
                  <w:szCs w:val="16"/>
                  <w:color w:val="0000FF"/>
                </w:rPr>
                <w:t xml:space="preserve"> the entities listed on</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00" w:type="dxa"/>
            <w:vAlign w:val="bottom"/>
            <w:gridSpan w:val="17"/>
          </w:tcPr>
          <w:p>
            <w:pPr>
              <w:spacing w:after="0" w:line="142" w:lineRule="exact"/>
              <w:rPr>
                <w:rFonts w:ascii="Arial" w:cs="Arial" w:eastAsia="Arial" w:hAnsi="Arial"/>
                <w:sz w:val="16"/>
                <w:szCs w:val="16"/>
                <w:color w:val="0000FF"/>
              </w:rPr>
            </w:pPr>
            <w:hyperlink w:anchor="page147">
              <w:r>
                <w:rPr>
                  <w:rFonts w:ascii="Arial" w:cs="Arial" w:eastAsia="Arial" w:hAnsi="Arial"/>
                  <w:sz w:val="16"/>
                  <w:szCs w:val="16"/>
                  <w:color w:val="0000FF"/>
                </w:rPr>
                <w:t>Schedules A and B thereto and CEOC, LLC.</w:t>
              </w:r>
            </w:hyperlink>
          </w:p>
        </w:tc>
        <w:tc>
          <w:tcPr>
            <w:tcW w:w="14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5"/>
              </w:rPr>
            </w:pPr>
            <w:hyperlink r:id="rId114">
              <w:r>
                <w:rPr>
                  <w:rFonts w:ascii="Arial" w:cs="Arial" w:eastAsia="Arial" w:hAnsi="Arial"/>
                  <w:sz w:val="16"/>
                  <w:szCs w:val="16"/>
                  <w:color w:val="0000FF"/>
                  <w:w w:val="95"/>
                </w:rPr>
                <w:t>Guaranty of Lease, dated as of July 20, 2020, by and among Eldorado Resorts, Inc. and the entities listed on Schedule</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4"/>
              </w:rPr>
            </w:pPr>
            <w:hyperlink r:id="rId114">
              <w:r>
                <w:rPr>
                  <w:rFonts w:ascii="Arial" w:cs="Arial" w:eastAsia="Arial" w:hAnsi="Arial"/>
                  <w:sz w:val="16"/>
                  <w:szCs w:val="16"/>
                  <w:color w:val="0000FF"/>
                  <w:w w:val="94"/>
                </w:rPr>
                <w:t>A thereto (Non-CPLV).</w:t>
              </w:r>
            </w:hyperlink>
          </w:p>
        </w:tc>
        <w:tc>
          <w:tcPr>
            <w:tcW w:w="63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4"/>
              </w:rPr>
            </w:pPr>
            <w:hyperlink r:id="rId115">
              <w:r>
                <w:rPr>
                  <w:rFonts w:ascii="Arial" w:cs="Arial" w:eastAsia="Arial" w:hAnsi="Arial"/>
                  <w:sz w:val="16"/>
                  <w:szCs w:val="16"/>
                  <w:color w:val="0000FF"/>
                  <w:w w:val="94"/>
                </w:rPr>
                <w:t>Second Amendment, dated as of July 20, 2020, to Lease (Joliet), dated as of October 7, 2017, by and between Harrah’s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Joliet Landco LLC and Des Plaines Development Limited Partnership.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8"/>
              </w:rPr>
              <w:t>10.10**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5"/>
              </w:rPr>
            </w:pPr>
            <w:hyperlink r:id="rId116">
              <w:r>
                <w:rPr>
                  <w:rFonts w:ascii="Arial" w:cs="Arial" w:eastAsia="Arial" w:hAnsi="Arial"/>
                  <w:sz w:val="16"/>
                  <w:szCs w:val="16"/>
                  <w:color w:val="0000FF"/>
                  <w:w w:val="95"/>
                </w:rPr>
                <w:t>Third Amendment to Lease (Joliet), dated as of September 30, 2020, to Lease (Joliet), dated as of October 7, 2017, by</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and between Harrah’s Joliet Landco LLC and Des Plaines Development Limited Partnership.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5"/>
              </w:rPr>
            </w:pPr>
            <w:hyperlink w:anchor="page189">
              <w:r>
                <w:rPr>
                  <w:rFonts w:ascii="Arial" w:cs="Arial" w:eastAsia="Arial" w:hAnsi="Arial"/>
                  <w:sz w:val="16"/>
                  <w:szCs w:val="16"/>
                  <w:u w:val="single" w:color="auto"/>
                  <w:color w:val="0000FF"/>
                  <w:w w:val="95"/>
                </w:rPr>
                <w:t>Fourth Amendment to Lease (Joliet), dated as of November 18, 2020, to Lease (Joliet),</w:t>
              </w:r>
              <w:r>
                <w:rPr>
                  <w:rFonts w:ascii="Arial" w:cs="Arial" w:eastAsia="Arial" w:hAnsi="Arial"/>
                  <w:sz w:val="16"/>
                  <w:szCs w:val="16"/>
                  <w:color w:val="0000FF"/>
                  <w:w w:val="95"/>
                </w:rPr>
                <w:t xml:space="preserve"> dated as of October 7, 2017, by</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gridSpan w:val="27"/>
          </w:tcPr>
          <w:p>
            <w:pPr>
              <w:spacing w:after="0" w:line="142" w:lineRule="exact"/>
              <w:rPr>
                <w:rFonts w:ascii="Arial" w:cs="Arial" w:eastAsia="Arial" w:hAnsi="Arial"/>
                <w:sz w:val="16"/>
                <w:szCs w:val="16"/>
                <w:color w:val="0000FF"/>
              </w:rPr>
            </w:pPr>
            <w:hyperlink w:anchor="page189">
              <w:r>
                <w:rPr>
                  <w:rFonts w:ascii="Arial" w:cs="Arial" w:eastAsia="Arial" w:hAnsi="Arial"/>
                  <w:sz w:val="16"/>
                  <w:szCs w:val="16"/>
                  <w:color w:val="0000FF"/>
                </w:rPr>
                <w:t xml:space="preserve">and between Harrah’s Joliet Landco LLC and Des Plaines </w:t>
              </w:r>
              <w:r>
                <w:rPr>
                  <w:rFonts w:ascii="Arial" w:cs="Arial" w:eastAsia="Arial" w:hAnsi="Arial"/>
                  <w:sz w:val="16"/>
                  <w:szCs w:val="16"/>
                  <w:u w:val="single" w:color="auto"/>
                  <w:color w:val="0000FF"/>
                </w:rPr>
                <w:t>Development Limited Partnership.</w:t>
              </w:r>
            </w:hyperlink>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6"/>
              </w:rPr>
            </w:pPr>
            <w:hyperlink r:id="rId117">
              <w:r>
                <w:rPr>
                  <w:rFonts w:ascii="Arial" w:cs="Arial" w:eastAsia="Arial" w:hAnsi="Arial"/>
                  <w:sz w:val="16"/>
                  <w:szCs w:val="16"/>
                  <w:color w:val="0000FF"/>
                  <w:w w:val="96"/>
                </w:rPr>
                <w:t>Guaranty of Lease, dated as of July 20, 2020, by and between Eldorado Resorts, Inc. and Harrah’s Joliet Landco LLC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(Joliet).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rPr>
            </w:pPr>
            <w:hyperlink r:id="rId118">
              <w:r>
                <w:rPr>
                  <w:rFonts w:ascii="Arial" w:cs="Arial" w:eastAsia="Arial" w:hAnsi="Arial"/>
                  <w:sz w:val="16"/>
                  <w:szCs w:val="16"/>
                  <w:color w:val="0000FF"/>
                </w:rPr>
                <w:t>Right of First Refusal Agreement, dated as of July 20, 2020, by and between Eldorado Resorts, Inc. and VICI</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89"/>
              </w:rPr>
            </w:pPr>
            <w:hyperlink r:id="rId118">
              <w:r>
                <w:rPr>
                  <w:rFonts w:ascii="Arial" w:cs="Arial" w:eastAsia="Arial" w:hAnsi="Arial"/>
                  <w:sz w:val="16"/>
                  <w:szCs w:val="16"/>
                  <w:color w:val="0000FF"/>
                  <w:w w:val="89"/>
                </w:rPr>
                <w:t>Properties L.P. (Las Vegas Strip).</w:t>
              </w:r>
            </w:hyperlink>
          </w:p>
        </w:tc>
        <w:tc>
          <w:tcPr>
            <w:tcW w:w="588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rPr>
            </w:pPr>
            <w:hyperlink r:id="rId119">
              <w:r>
                <w:rPr>
                  <w:rFonts w:ascii="Arial" w:cs="Arial" w:eastAsia="Arial" w:hAnsi="Arial"/>
                  <w:sz w:val="16"/>
                  <w:szCs w:val="16"/>
                  <w:color w:val="0000FF"/>
                </w:rPr>
                <w:t>Right of First Refusal Agreement, dated as of July 20, 2020, by and between Eldorado Resorts, Inc. and VICI</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0"/>
              </w:rPr>
            </w:pPr>
            <w:hyperlink r:id="rId119">
              <w:r>
                <w:rPr>
                  <w:rFonts w:ascii="Arial" w:cs="Arial" w:eastAsia="Arial" w:hAnsi="Arial"/>
                  <w:sz w:val="16"/>
                  <w:szCs w:val="16"/>
                  <w:color w:val="0000FF"/>
                  <w:w w:val="90"/>
                </w:rPr>
                <w:t>Properties L.P. (Horseshoe Baltimore).</w:t>
              </w:r>
            </w:hyperlink>
          </w:p>
        </w:tc>
        <w:tc>
          <w:tcPr>
            <w:tcW w:w="552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7"/>
              </w:rPr>
            </w:pPr>
            <w:hyperlink r:id="rId120">
              <w:r>
                <w:rPr>
                  <w:rFonts w:ascii="Arial" w:cs="Arial" w:eastAsia="Arial" w:hAnsi="Arial"/>
                  <w:sz w:val="16"/>
                  <w:szCs w:val="16"/>
                  <w:color w:val="0000FF"/>
                  <w:w w:val="97"/>
                </w:rPr>
                <w:t>Second Amendment, dated as of July 20, 2020, to Golf Course Use Agreement, dated as of October 6, 2017, by and</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w w:val="96"/>
              </w:rPr>
            </w:pPr>
            <w:hyperlink r:id="rId120">
              <w:r>
                <w:rPr>
                  <w:rFonts w:ascii="Arial" w:cs="Arial" w:eastAsia="Arial" w:hAnsi="Arial"/>
                  <w:sz w:val="16"/>
                  <w:szCs w:val="16"/>
                  <w:color w:val="0000FF"/>
                  <w:w w:val="96"/>
                </w:rPr>
                <w:t>among Rio Secco LLC, Cascata LLC, Chariot Run LLC, Grand Bear LLC, Caesars Enterprise Services, LLC, CEOC,</w:t>
              </w:r>
            </w:hyperlink>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40" w:type="dxa"/>
            <w:vAlign w:val="bottom"/>
            <w:tcBorders>
              <w:bottom w:val="single" w:sz="8" w:color="0000FF"/>
            </w:tcBorders>
            <w:gridSpan w:val="15"/>
          </w:tcPr>
          <w:p>
            <w:pPr>
              <w:spacing w:after="0" w:line="142" w:lineRule="exact"/>
              <w:rPr>
                <w:rFonts w:ascii="Arial" w:cs="Arial" w:eastAsia="Arial" w:hAnsi="Arial"/>
                <w:sz w:val="16"/>
                <w:szCs w:val="16"/>
                <w:color w:val="0000FF"/>
                <w:w w:val="91"/>
              </w:rPr>
            </w:pPr>
            <w:hyperlink r:id="rId120">
              <w:r>
                <w:rPr>
                  <w:rFonts w:ascii="Arial" w:cs="Arial" w:eastAsia="Arial" w:hAnsi="Arial"/>
                  <w:sz w:val="16"/>
                  <w:szCs w:val="16"/>
                  <w:color w:val="0000FF"/>
                  <w:w w:val="91"/>
                </w:rPr>
                <w:t>LLC and, solely for purposes of Section 2.1(c) thereof, Caesars License Company, LLC.</w:t>
              </w:r>
            </w:hyperlink>
          </w:p>
        </w:tc>
        <w:tc>
          <w:tcPr>
            <w:tcW w:w="2280" w:type="dxa"/>
            <w:vAlign w:val="bottom"/>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5"/>
              </w:rPr>
            </w:pPr>
            <w:hyperlink r:id="rId121">
              <w:r>
                <w:rPr>
                  <w:rFonts w:ascii="Arial" w:cs="Arial" w:eastAsia="Arial" w:hAnsi="Arial"/>
                  <w:sz w:val="16"/>
                  <w:szCs w:val="16"/>
                  <w:color w:val="0000FF"/>
                  <w:w w:val="95"/>
                </w:rPr>
                <w:t>Amended and Restated Put-Call Right Agreement, dated as of July 20, 2020, by and among Claudine Propco, LLC and</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1"/>
              </w:rPr>
            </w:pPr>
            <w:hyperlink r:id="rId121">
              <w:r>
                <w:rPr>
                  <w:rFonts w:ascii="Arial" w:cs="Arial" w:eastAsia="Arial" w:hAnsi="Arial"/>
                  <w:sz w:val="16"/>
                  <w:szCs w:val="16"/>
                  <w:color w:val="0000FF"/>
                  <w:w w:val="91"/>
                </w:rPr>
                <w:t>Eastside Convention Center, LLC.</w:t>
              </w:r>
            </w:hyperlink>
          </w:p>
        </w:tc>
        <w:tc>
          <w:tcPr>
            <w:tcW w:w="562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rPr>
            </w:pPr>
            <w:hyperlink r:id="rId122">
              <w:r>
                <w:rPr>
                  <w:rFonts w:ascii="Arial" w:cs="Arial" w:eastAsia="Arial" w:hAnsi="Arial"/>
                  <w:sz w:val="16"/>
                  <w:szCs w:val="16"/>
                  <w:color w:val="0000FF"/>
                </w:rPr>
                <w:t>Second Amended and Restated Put-Call Right Agreement entered into as of September 18, 2020 by and among</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Claudine Propco LLC and Caesars Convention Center Owner, LLC.</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20" w:type="dxa"/>
            <w:vAlign w:val="bottom"/>
            <w:gridSpan w:val="7"/>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7"/>
              </w:rPr>
            </w:pPr>
            <w:hyperlink r:id="rId123">
              <w:r>
                <w:rPr>
                  <w:rFonts w:ascii="Arial" w:cs="Arial" w:eastAsia="Arial" w:hAnsi="Arial"/>
                  <w:sz w:val="16"/>
                  <w:szCs w:val="16"/>
                  <w:color w:val="0000FF"/>
                  <w:w w:val="97"/>
                </w:rPr>
                <w:t>Put-Call Right Agreement entered into as of July 20, 2020 by and between Centaur Propco LLC and Caesars Resort</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Collection, LLC.</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7"/>
              </w:rPr>
            </w:pPr>
            <w:hyperlink r:id="rId124">
              <w:r>
                <w:rPr>
                  <w:rFonts w:ascii="Arial" w:cs="Arial" w:eastAsia="Arial" w:hAnsi="Arial"/>
                  <w:sz w:val="16"/>
                  <w:szCs w:val="16"/>
                  <w:color w:val="0000FF"/>
                  <w:w w:val="97"/>
                </w:rPr>
                <w:t>First Amendment to Third Amended and Restated Omnibus License and Enterprise Services Agreement, dated as of</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2"/>
              </w:rPr>
            </w:pPr>
            <w:hyperlink r:id="rId124">
              <w:r>
                <w:rPr>
                  <w:rFonts w:ascii="Arial" w:cs="Arial" w:eastAsia="Arial" w:hAnsi="Arial"/>
                  <w:sz w:val="16"/>
                  <w:szCs w:val="16"/>
                  <w:color w:val="0000FF"/>
                  <w:w w:val="92"/>
                </w:rPr>
                <w:t>July 20, 2020, by and among Caesars Enterprise Services, LLC, CEOC, LLC, Caesars Resort Collection LLC, Caesars</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40" w:type="dxa"/>
            <w:vAlign w:val="bottom"/>
            <w:gridSpan w:val="30"/>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License Company, LLC and Caesars World LLC (including as Exhibit A thereto a conformed copy of the Third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780" w:type="dxa"/>
            <w:vAlign w:val="bottom"/>
            <w:tcBorders>
              <w:top w:val="single" w:sz="8" w:color="0000FF"/>
            </w:tcBorders>
            <w:gridSpan w:val="18"/>
          </w:tcPr>
          <w:p>
            <w:pPr>
              <w:spacing w:after="0" w:line="132" w:lineRule="exact"/>
              <w:rPr>
                <w:rFonts w:ascii="Arial" w:cs="Arial" w:eastAsia="Arial" w:hAnsi="Arial"/>
                <w:sz w:val="15"/>
                <w:szCs w:val="15"/>
                <w:u w:val="single" w:color="auto"/>
                <w:color w:val="0000FF"/>
              </w:rPr>
            </w:pPr>
            <w:hyperlink r:id="rId124">
              <w:r>
                <w:rPr>
                  <w:rFonts w:ascii="Arial" w:cs="Arial" w:eastAsia="Arial" w:hAnsi="Arial"/>
                  <w:sz w:val="15"/>
                  <w:szCs w:val="15"/>
                  <w:u w:val="single" w:color="auto"/>
                  <w:color w:val="0000FF"/>
                </w:rPr>
                <w:t>Amended and Restated Omnibus License and Enterprise Services Agreement, dated as of December 26, 2018, as</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gridSpan w:val="31"/>
          </w:tcPr>
          <w:p>
            <w:pPr>
              <w:spacing w:after="0"/>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amended).</w:t>
              </w:r>
            </w:hyperlink>
          </w:p>
        </w:tc>
        <w:tc>
          <w:tcPr>
            <w:tcW w:w="0" w:type="dxa"/>
            <w:vAlign w:val="bottom"/>
          </w:tcPr>
          <w:p>
            <w:pPr>
              <w:spacing w:after="0"/>
              <w:rPr>
                <w:sz w:val="1"/>
                <w:szCs w:val="1"/>
                <w:color w:val="auto"/>
              </w:rPr>
            </w:pPr>
          </w:p>
        </w:tc>
      </w:tr>
      <w:tr>
        <w:trPr>
          <w:trHeight w:val="235"/>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60" w:type="dxa"/>
            <w:vAlign w:val="bottom"/>
            <w:gridSpan w:val="31"/>
          </w:tcPr>
          <w:p>
            <w:pPr>
              <w:spacing w:after="0"/>
              <w:rPr>
                <w:rFonts w:ascii="Arial" w:cs="Arial" w:eastAsia="Arial" w:hAnsi="Arial"/>
                <w:sz w:val="16"/>
                <w:szCs w:val="16"/>
                <w:color w:val="0000FF"/>
                <w:w w:val="95"/>
              </w:rPr>
            </w:pPr>
            <w:hyperlink r:id="rId125">
              <w:r>
                <w:rPr>
                  <w:rFonts w:ascii="Arial" w:cs="Arial" w:eastAsia="Arial" w:hAnsi="Arial"/>
                  <w:sz w:val="16"/>
                  <w:szCs w:val="16"/>
                  <w:color w:val="0000FF"/>
                  <w:w w:val="95"/>
                </w:rPr>
                <w:t>Credit Agreement, dated as of July 20, 2020, by and among Eldorado Resorts, Inc., the lenders party thereto from time</w:t>
              </w:r>
            </w:hyperlink>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top w:val="single" w:sz="8" w:color="0000FF"/>
            </w:tcBorders>
            <w:gridSpan w:val="21"/>
          </w:tcPr>
          <w:p>
            <w:pPr>
              <w:spacing w:after="0"/>
              <w:rPr>
                <w:rFonts w:ascii="Arial" w:cs="Arial" w:eastAsia="Arial" w:hAnsi="Arial"/>
                <w:sz w:val="16"/>
                <w:szCs w:val="16"/>
                <w:u w:val="single" w:color="auto"/>
                <w:color w:val="0000FF"/>
                <w:w w:val="93"/>
              </w:rPr>
            </w:pPr>
            <w:hyperlink r:id="rId125">
              <w:r>
                <w:rPr>
                  <w:rFonts w:ascii="Arial" w:cs="Arial" w:eastAsia="Arial" w:hAnsi="Arial"/>
                  <w:sz w:val="16"/>
                  <w:szCs w:val="16"/>
                  <w:u w:val="single" w:color="auto"/>
                  <w:color w:val="0000FF"/>
                  <w:w w:val="93"/>
                </w:rPr>
                <w:t>to time, JPMorgan Chase Bank, N.A., as administrative agent, and U.S. Bank National Association, as collateral agent.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gridSpan w:val="31"/>
          </w:tcPr>
          <w:p>
            <w:pPr>
              <w:spacing w:after="0"/>
              <w:rPr>
                <w:rFonts w:ascii="Arial" w:cs="Arial" w:eastAsia="Arial" w:hAnsi="Arial"/>
                <w:sz w:val="16"/>
                <w:szCs w:val="16"/>
                <w:color w:val="0000FF"/>
              </w:rPr>
            </w:pPr>
            <w:hyperlink r:id="rId126">
              <w:r>
                <w:rPr>
                  <w:rFonts w:ascii="Arial" w:cs="Arial" w:eastAsia="Arial" w:hAnsi="Arial"/>
                  <w:sz w:val="16"/>
                  <w:szCs w:val="16"/>
                  <w:color w:val="0000FF"/>
                </w:rPr>
                <w:t>Incremental Assumption Agreement No. 1, dated as of July 20, 2020, by and among Eldorado Resorts, Inc., the</w:t>
              </w:r>
            </w:hyperlink>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top w:val="single" w:sz="8" w:color="0000FF"/>
            </w:tcBorders>
            <w:gridSpan w:val="30"/>
          </w:tcPr>
          <w:p>
            <w:pPr>
              <w:spacing w:after="0"/>
              <w:rPr>
                <w:rFonts w:ascii="Arial" w:cs="Arial" w:eastAsia="Arial" w:hAnsi="Arial"/>
                <w:sz w:val="16"/>
                <w:szCs w:val="16"/>
                <w:u w:val="single" w:color="auto"/>
                <w:color w:val="0000FF"/>
                <w:w w:val="94"/>
              </w:rPr>
            </w:pPr>
            <w:hyperlink r:id="rId126">
              <w:r>
                <w:rPr>
                  <w:rFonts w:ascii="Arial" w:cs="Arial" w:eastAsia="Arial" w:hAnsi="Arial"/>
                  <w:sz w:val="16"/>
                  <w:szCs w:val="16"/>
                  <w:u w:val="single" w:color="auto"/>
                  <w:color w:val="0000FF"/>
                  <w:w w:val="94"/>
                </w:rPr>
                <w:t>subsidiary guarantors party thereto, the lenders party thereto and JPMorgan Chase Bank, N.A., as administrative agent.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00" w:type="dxa"/>
            <w:vAlign w:val="bottom"/>
            <w:tcBorders>
              <w:bottom w:val="single" w:sz="8" w:color="0000FF"/>
            </w:tcBorders>
            <w:gridSpan w:val="24"/>
          </w:tcPr>
          <w:p>
            <w:pPr>
              <w:spacing w:after="0"/>
              <w:rPr>
                <w:rFonts w:ascii="Arial" w:cs="Arial" w:eastAsia="Arial" w:hAnsi="Arial"/>
                <w:sz w:val="16"/>
                <w:szCs w:val="16"/>
                <w:color w:val="0000FF"/>
                <w:w w:val="93"/>
              </w:rPr>
            </w:pPr>
            <w:hyperlink r:id="rId127">
              <w:r>
                <w:rPr>
                  <w:rFonts w:ascii="Arial" w:cs="Arial" w:eastAsia="Arial" w:hAnsi="Arial"/>
                  <w:sz w:val="16"/>
                  <w:szCs w:val="16"/>
                  <w:color w:val="0000FF"/>
                  <w:w w:val="93"/>
                </w:rPr>
                <w:t>Credit Agreement, dated as of December 22, 2017, by and among Caesars Resort Collection, LLC, the other borrowers</w:t>
              </w:r>
            </w:hyperlink>
          </w:p>
        </w:tc>
        <w:tc>
          <w:tcPr>
            <w:tcW w:w="1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8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127">
              <w:r>
                <w:rPr>
                  <w:rFonts w:ascii="Arial" w:cs="Arial" w:eastAsia="Arial" w:hAnsi="Arial"/>
                  <w:sz w:val="16"/>
                  <w:szCs w:val="16"/>
                  <w:color w:val="0000FF"/>
                </w:rPr>
                <w:t>from time to time party thereto, the lenders party thereto, and Credit Suisse, AG, Cayman Islands Branch, as</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0000FF"/>
            </w:tcBorders>
            <w:gridSpan w:val="5"/>
          </w:tcPr>
          <w:p>
            <w:pPr>
              <w:spacing w:after="0" w:line="169" w:lineRule="exact"/>
              <w:rPr>
                <w:rFonts w:ascii="Arial" w:cs="Arial" w:eastAsia="Arial" w:hAnsi="Arial"/>
                <w:sz w:val="16"/>
                <w:szCs w:val="16"/>
                <w:color w:val="0000FF"/>
                <w:w w:val="93"/>
              </w:rPr>
            </w:pPr>
            <w:hyperlink r:id="rId127">
              <w:r>
                <w:rPr>
                  <w:rFonts w:ascii="Arial" w:cs="Arial" w:eastAsia="Arial" w:hAnsi="Arial"/>
                  <w:sz w:val="16"/>
                  <w:szCs w:val="16"/>
                  <w:color w:val="0000FF"/>
                  <w:w w:val="93"/>
                </w:rPr>
                <w:t>administrative agent.</w:t>
              </w:r>
            </w:hyperlink>
          </w:p>
        </w:tc>
        <w:tc>
          <w:tcPr>
            <w:tcW w:w="666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31"/>
            <w:vMerge w:val="restart"/>
          </w:tcPr>
          <w:p>
            <w:pPr>
              <w:spacing w:after="0"/>
              <w:rPr>
                <w:rFonts w:ascii="Arial" w:cs="Arial" w:eastAsia="Arial" w:hAnsi="Arial"/>
                <w:sz w:val="16"/>
                <w:szCs w:val="16"/>
                <w:color w:val="0000FF"/>
                <w:w w:val="96"/>
              </w:rPr>
            </w:pPr>
            <w:hyperlink r:id="rId128">
              <w:r>
                <w:rPr>
                  <w:rFonts w:ascii="Arial" w:cs="Arial" w:eastAsia="Arial" w:hAnsi="Arial"/>
                  <w:sz w:val="16"/>
                  <w:szCs w:val="16"/>
                  <w:color w:val="0000FF"/>
                  <w:w w:val="96"/>
                </w:rPr>
                <w:t>First Amendment to Credit Agreement, dated as of June 15, 2020, by and among Caesars Resort Collection, LLC, the</w:t>
              </w:r>
            </w:hyperlink>
          </w:p>
        </w:tc>
        <w:tc>
          <w:tcPr>
            <w:tcW w:w="0" w:type="dxa"/>
            <w:vAlign w:val="bottom"/>
          </w:tcPr>
          <w:p>
            <w:pPr>
              <w:spacing w:after="0"/>
              <w:rPr>
                <w:sz w:val="1"/>
                <w:szCs w:val="1"/>
                <w:color w:val="auto"/>
              </w:rPr>
            </w:pPr>
          </w:p>
        </w:tc>
      </w:tr>
      <w:tr>
        <w:trPr>
          <w:trHeight w:val="47"/>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6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w w:val="99"/>
              </w:rPr>
            </w:pPr>
            <w:hyperlink r:id="rId128">
              <w:r>
                <w:rPr>
                  <w:rFonts w:ascii="Arial" w:cs="Arial" w:eastAsia="Arial" w:hAnsi="Arial"/>
                  <w:sz w:val="16"/>
                  <w:szCs w:val="16"/>
                  <w:color w:val="0000FF"/>
                  <w:w w:val="99"/>
                </w:rPr>
                <w:t>subsidiary loan parties party thereto, the lenders party thereto and Credit Suisse AG, Cayman Islands Branch, as</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bottom w:val="single" w:sz="8" w:color="0000FF"/>
            </w:tcBorders>
            <w:gridSpan w:val="5"/>
          </w:tcPr>
          <w:p>
            <w:pPr>
              <w:spacing w:after="0" w:line="142" w:lineRule="exact"/>
              <w:rPr>
                <w:rFonts w:ascii="Arial" w:cs="Arial" w:eastAsia="Arial" w:hAnsi="Arial"/>
                <w:sz w:val="16"/>
                <w:szCs w:val="16"/>
                <w:color w:val="0000FF"/>
                <w:w w:val="93"/>
              </w:rPr>
            </w:pPr>
            <w:hyperlink r:id="rId128">
              <w:r>
                <w:rPr>
                  <w:rFonts w:ascii="Arial" w:cs="Arial" w:eastAsia="Arial" w:hAnsi="Arial"/>
                  <w:sz w:val="16"/>
                  <w:szCs w:val="16"/>
                  <w:color w:val="0000FF"/>
                  <w:w w:val="93"/>
                </w:rPr>
                <w:t>administrative agent.</w:t>
              </w:r>
            </w:hyperlink>
          </w:p>
        </w:tc>
        <w:tc>
          <w:tcPr>
            <w:tcW w:w="6600" w:type="dxa"/>
            <w:vAlign w:val="bottom"/>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gridSpan w:val="31"/>
          </w:tcPr>
          <w:p>
            <w:pPr>
              <w:spacing w:after="0"/>
              <w:rPr>
                <w:rFonts w:ascii="Arial" w:cs="Arial" w:eastAsia="Arial" w:hAnsi="Arial"/>
                <w:sz w:val="16"/>
                <w:szCs w:val="16"/>
                <w:color w:val="0000FF"/>
                <w:w w:val="97"/>
              </w:rPr>
            </w:pPr>
            <w:hyperlink r:id="rId129">
              <w:r>
                <w:rPr>
                  <w:rFonts w:ascii="Arial" w:cs="Arial" w:eastAsia="Arial" w:hAnsi="Arial"/>
                  <w:sz w:val="16"/>
                  <w:szCs w:val="16"/>
                  <w:color w:val="0000FF"/>
                  <w:w w:val="97"/>
                </w:rPr>
                <w:t>Incremental Assumption Agreement No. 1, dated as of July 20, 2020, by and among Caesars Resort Collection, LLC,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8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5"/>
              </w:rPr>
            </w:pPr>
            <w:hyperlink r:id="rId129">
              <w:r>
                <w:rPr>
                  <w:rFonts w:ascii="Arial" w:cs="Arial" w:eastAsia="Arial" w:hAnsi="Arial"/>
                  <w:sz w:val="16"/>
                  <w:szCs w:val="16"/>
                  <w:color w:val="0000FF"/>
                  <w:w w:val="95"/>
                </w:rPr>
                <w:t>the subsidiary guarantors party thereto, the lenders party thereto and Credit Suisse AG, Cayman Islands Branch, as</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gridSpan w:val="24"/>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administrative agent.</w:t>
              </w:r>
            </w:hyperlink>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320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31"/>
          </w:tcPr>
          <w:p>
            <w:pPr>
              <w:spacing w:after="0"/>
              <w:rPr>
                <w:rFonts w:ascii="Arial" w:cs="Arial" w:eastAsia="Arial" w:hAnsi="Arial"/>
                <w:sz w:val="16"/>
                <w:szCs w:val="16"/>
                <w:color w:val="0000FF"/>
                <w:w w:val="97"/>
              </w:rPr>
            </w:pPr>
            <w:hyperlink r:id="rId130">
              <w:r>
                <w:rPr>
                  <w:rFonts w:ascii="Arial" w:cs="Arial" w:eastAsia="Arial" w:hAnsi="Arial"/>
                  <w:sz w:val="16"/>
                  <w:szCs w:val="16"/>
                  <w:color w:val="0000FF"/>
                  <w:w w:val="97"/>
                </w:rPr>
                <w:t>Incremental Assumption Agreement No. 2, dated as of July 20, 2020, by and among Caesars Resort Collection, LLC,</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80" w:type="dxa"/>
            <w:vAlign w:val="bottom"/>
            <w:tcBorders>
              <w:top w:val="single" w:sz="8" w:color="0000FF"/>
            </w:tcBorders>
            <w:gridSpan w:val="23"/>
          </w:tcPr>
          <w:p>
            <w:pPr>
              <w:spacing w:after="0" w:line="142" w:lineRule="exact"/>
              <w:rPr>
                <w:rFonts w:ascii="Arial" w:cs="Arial" w:eastAsia="Arial" w:hAnsi="Arial"/>
                <w:sz w:val="16"/>
                <w:szCs w:val="16"/>
                <w:color w:val="0000FF"/>
                <w:w w:val="96"/>
              </w:rPr>
            </w:pPr>
            <w:hyperlink r:id="rId130">
              <w:r>
                <w:rPr>
                  <w:rFonts w:ascii="Arial" w:cs="Arial" w:eastAsia="Arial" w:hAnsi="Arial"/>
                  <w:sz w:val="16"/>
                  <w:szCs w:val="16"/>
                  <w:color w:val="0000FF"/>
                  <w:w w:val="96"/>
                </w:rPr>
                <w:t>the subsidiary guarantors party thereto, the lender party thereto and Credit Suisse AG, Cayman Islands Branch, as</w:t>
              </w:r>
            </w:hyperlink>
          </w:p>
        </w:tc>
        <w:tc>
          <w:tcPr>
            <w:tcW w:w="10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administrative agent.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10.26</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320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60" w:type="dxa"/>
            <w:vAlign w:val="bottom"/>
            <w:tcBorders>
              <w:bottom w:val="single" w:sz="8" w:color="0000FF"/>
            </w:tcBorders>
            <w:gridSpan w:val="31"/>
          </w:tcPr>
          <w:p>
            <w:pPr>
              <w:spacing w:after="0"/>
              <w:rPr>
                <w:rFonts w:ascii="Arial" w:cs="Arial" w:eastAsia="Arial" w:hAnsi="Arial"/>
                <w:sz w:val="16"/>
                <w:szCs w:val="16"/>
                <w:color w:val="0000FF"/>
              </w:rPr>
            </w:pPr>
            <w:hyperlink r:id="rId131">
              <w:r>
                <w:rPr>
                  <w:rFonts w:ascii="Arial" w:cs="Arial" w:eastAsia="Arial" w:hAnsi="Arial"/>
                  <w:sz w:val="16"/>
                  <w:szCs w:val="16"/>
                  <w:color w:val="0000FF"/>
                </w:rPr>
                <w:t>Caesars Entertainment Corporation Amended and Restated Escrow Agreement, dated as of December 12, 2016,</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bottom w:val="single" w:sz="8" w:color="0000FF"/>
            </w:tcBorders>
            <w:gridSpan w:val="14"/>
          </w:tcPr>
          <w:p>
            <w:pPr>
              <w:spacing w:after="0" w:line="169" w:lineRule="exact"/>
              <w:rPr>
                <w:rFonts w:ascii="Arial" w:cs="Arial" w:eastAsia="Arial" w:hAnsi="Arial"/>
                <w:sz w:val="16"/>
                <w:szCs w:val="16"/>
                <w:color w:val="0000FF"/>
                <w:w w:val="91"/>
              </w:rPr>
            </w:pPr>
            <w:hyperlink r:id="rId131">
              <w:r>
                <w:rPr>
                  <w:rFonts w:ascii="Arial" w:cs="Arial" w:eastAsia="Arial" w:hAnsi="Arial"/>
                  <w:sz w:val="16"/>
                  <w:szCs w:val="16"/>
                  <w:color w:val="0000FF"/>
                  <w:w w:val="91"/>
                </w:rPr>
                <w:t>between Caesars Entertainment Corporation and Wells Fargo Bank, N.A.</w:t>
              </w:r>
            </w:hyperlink>
          </w:p>
        </w:tc>
        <w:tc>
          <w:tcPr>
            <w:tcW w:w="32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10.27†</w:t>
            </w:r>
          </w:p>
        </w:tc>
        <w:tc>
          <w:tcPr>
            <w:tcW w:w="20" w:type="dxa"/>
            <w:vAlign w:val="bottom"/>
          </w:tcPr>
          <w:p>
            <w:pPr>
              <w:spacing w:after="0"/>
              <w:rPr>
                <w:sz w:val="24"/>
                <w:szCs w:val="24"/>
                <w:color w:val="auto"/>
              </w:rPr>
            </w:pPr>
          </w:p>
        </w:tc>
        <w:tc>
          <w:tcPr>
            <w:tcW w:w="8060" w:type="dxa"/>
            <w:vAlign w:val="bottom"/>
            <w:tcBorders>
              <w:bottom w:val="single" w:sz="8" w:color="0000FF"/>
            </w:tcBorders>
            <w:gridSpan w:val="31"/>
          </w:tcPr>
          <w:p>
            <w:pPr>
              <w:spacing w:after="0"/>
              <w:rPr>
                <w:rFonts w:ascii="Arial" w:cs="Arial" w:eastAsia="Arial" w:hAnsi="Arial"/>
                <w:sz w:val="16"/>
                <w:szCs w:val="16"/>
                <w:color w:val="0000FF"/>
                <w:w w:val="95"/>
              </w:rPr>
            </w:pPr>
            <w:hyperlink r:id="rId132">
              <w:r>
                <w:rPr>
                  <w:rFonts w:ascii="Arial" w:cs="Arial" w:eastAsia="Arial" w:hAnsi="Arial"/>
                  <w:sz w:val="16"/>
                  <w:szCs w:val="16"/>
                  <w:color w:val="0000FF"/>
                  <w:w w:val="95"/>
                </w:rPr>
                <w:t>Amendment and Restatement of Harrah’s Entertainment, Inc. Executive Deferred Compensation Plan, effective August</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2"/>
          </w:tcPr>
          <w:p>
            <w:pPr>
              <w:spacing w:after="0" w:line="169" w:lineRule="exact"/>
              <w:rPr>
                <w:rFonts w:ascii="Arial" w:cs="Arial" w:eastAsia="Arial" w:hAnsi="Arial"/>
                <w:sz w:val="16"/>
                <w:szCs w:val="16"/>
                <w:color w:val="0000FF"/>
                <w:w w:val="96"/>
              </w:rPr>
            </w:pPr>
            <w:hyperlink r:id="rId132">
              <w:r>
                <w:rPr>
                  <w:rFonts w:ascii="Arial" w:cs="Arial" w:eastAsia="Arial" w:hAnsi="Arial"/>
                  <w:sz w:val="16"/>
                  <w:szCs w:val="16"/>
                  <w:color w:val="0000FF"/>
                  <w:w w:val="96"/>
                </w:rPr>
                <w:t>3, 2007.</w:t>
              </w:r>
            </w:hyperlink>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551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8"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10-Q filed on November 9,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8"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September 18,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July 21, 2020.</w:t>
      </w:r>
    </w:p>
    <w:p>
      <w:pPr>
        <w:spacing w:after="0" w:line="389"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December 22, 2017.</w:t>
      </w:r>
    </w:p>
    <w:p>
      <w:pPr>
        <w:spacing w:after="0" w:line="146"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June 12, 2020.</w:t>
      </w:r>
    </w:p>
    <w:p>
      <w:pPr>
        <w:spacing w:after="0" w:line="241"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jc w:val="both"/>
        <w:ind w:right="140"/>
        <w:spacing w:after="0"/>
        <w:rPr>
          <w:sz w:val="20"/>
          <w:szCs w:val="20"/>
          <w:color w:val="auto"/>
        </w:rPr>
      </w:pPr>
      <w:r>
        <w:rPr>
          <w:rFonts w:ascii="Arial" w:cs="Arial" w:eastAsia="Arial" w:hAnsi="Arial"/>
          <w:sz w:val="16"/>
          <w:szCs w:val="16"/>
          <w:color w:val="auto"/>
        </w:rPr>
        <w:t>Previously filed on Form 8-K filed on July 21, 2020.</w:t>
      </w:r>
    </w:p>
    <w:p>
      <w:pPr>
        <w:spacing w:after="0" w:line="226"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October 13, 2017.</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Previously filed on Form 10-Q filed by Caesars Holdings, Inc. on August 9, 2007.</w:t>
      </w:r>
    </w:p>
    <w:p>
      <w:pPr>
        <w:spacing w:after="0" w:line="200" w:lineRule="exact"/>
        <w:rPr>
          <w:sz w:val="20"/>
          <w:szCs w:val="20"/>
          <w:color w:val="auto"/>
        </w:rPr>
      </w:pPr>
    </w:p>
    <w:p>
      <w:pPr>
        <w:sectPr>
          <w:pgSz w:w="11900" w:h="16838" w:orient="portrait"/>
          <w:cols w:equalWidth="0" w:num="2">
            <w:col w:w="8700" w:space="120"/>
            <w:col w:w="2380"/>
          </w:cols>
          <w:pgMar w:left="320" w:top="1251" w:right="3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Description of Exhibit</w:t>
            </w:r>
          </w:p>
        </w:tc>
      </w:tr>
      <w:tr>
        <w:trPr>
          <w:trHeight w:val="189"/>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10.28†</w:t>
            </w:r>
          </w:p>
        </w:tc>
        <w:tc>
          <w:tcPr>
            <w:tcW w:w="20" w:type="dxa"/>
            <w:vAlign w:val="bottom"/>
          </w:tcPr>
          <w:p>
            <w:pPr>
              <w:spacing w:after="0"/>
              <w:rPr>
                <w:sz w:val="16"/>
                <w:szCs w:val="16"/>
                <w:color w:val="auto"/>
              </w:rPr>
            </w:pPr>
          </w:p>
        </w:tc>
        <w:tc>
          <w:tcPr>
            <w:tcW w:w="7840" w:type="dxa"/>
            <w:vAlign w:val="bottom"/>
            <w:tcBorders>
              <w:bottom w:val="single" w:sz="8" w:color="0000FF"/>
            </w:tcBorders>
            <w:gridSpan w:val="11"/>
          </w:tcPr>
          <w:p>
            <w:pPr>
              <w:spacing w:after="0"/>
              <w:rPr>
                <w:rFonts w:ascii="Arial" w:cs="Arial" w:eastAsia="Arial" w:hAnsi="Arial"/>
                <w:sz w:val="16"/>
                <w:szCs w:val="16"/>
                <w:color w:val="0000FF"/>
                <w:w w:val="98"/>
              </w:rPr>
            </w:pPr>
            <w:hyperlink r:id="rId135">
              <w:r>
                <w:rPr>
                  <w:rFonts w:ascii="Arial" w:cs="Arial" w:eastAsia="Arial" w:hAnsi="Arial"/>
                  <w:sz w:val="16"/>
                  <w:szCs w:val="16"/>
                  <w:color w:val="0000FF"/>
                  <w:w w:val="98"/>
                </w:rPr>
                <w:t>Amendment and Restatement of Park Place Entertainment Corporation Executive Deferred Compensation Plan,</w:t>
              </w:r>
            </w:hyperlink>
          </w:p>
        </w:tc>
        <w:tc>
          <w:tcPr>
            <w:tcW w:w="20" w:type="dxa"/>
            <w:vAlign w:val="bottom"/>
          </w:tcPr>
          <w:p>
            <w:pPr>
              <w:spacing w:after="0"/>
              <w:rPr>
                <w:sz w:val="16"/>
                <w:szCs w:val="16"/>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FF"/>
            </w:tcBorders>
            <w:gridSpan w:val="4"/>
          </w:tcPr>
          <w:p>
            <w:pPr>
              <w:spacing w:after="0" w:line="169" w:lineRule="exact"/>
              <w:rPr>
                <w:rFonts w:ascii="Arial" w:cs="Arial" w:eastAsia="Arial" w:hAnsi="Arial"/>
                <w:sz w:val="16"/>
                <w:szCs w:val="16"/>
                <w:color w:val="0000FF"/>
                <w:w w:val="93"/>
              </w:rPr>
            </w:pPr>
            <w:hyperlink r:id="rId135">
              <w:r>
                <w:rPr>
                  <w:rFonts w:ascii="Arial" w:cs="Arial" w:eastAsia="Arial" w:hAnsi="Arial"/>
                  <w:sz w:val="16"/>
                  <w:szCs w:val="16"/>
                  <w:color w:val="0000FF"/>
                  <w:w w:val="93"/>
                </w:rPr>
                <w:t>effective as of August 3, 2007.</w:t>
              </w:r>
            </w:hyperlink>
          </w:p>
        </w:tc>
        <w:tc>
          <w:tcPr>
            <w:tcW w:w="5820" w:type="dxa"/>
            <w:vAlign w:val="bottom"/>
            <w:gridSpan w:val="8"/>
          </w:tcPr>
          <w:p>
            <w:pPr>
              <w:spacing w:after="0"/>
              <w:rPr>
                <w:sz w:val="14"/>
                <w:szCs w:val="14"/>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10.29†</w:t>
            </w:r>
          </w:p>
        </w:tc>
        <w:tc>
          <w:tcPr>
            <w:tcW w:w="20" w:type="dxa"/>
            <w:vAlign w:val="bottom"/>
          </w:tcPr>
          <w:p>
            <w:pPr>
              <w:spacing w:after="0"/>
              <w:rPr>
                <w:sz w:val="24"/>
                <w:szCs w:val="24"/>
                <w:color w:val="auto"/>
              </w:rPr>
            </w:pPr>
          </w:p>
        </w:tc>
        <w:tc>
          <w:tcPr>
            <w:tcW w:w="7800" w:type="dxa"/>
            <w:vAlign w:val="bottom"/>
            <w:tcBorders>
              <w:bottom w:val="single" w:sz="8" w:color="0000FF"/>
            </w:tcBorders>
            <w:gridSpan w:val="9"/>
          </w:tcPr>
          <w:p>
            <w:pPr>
              <w:spacing w:after="0"/>
              <w:rPr>
                <w:rFonts w:ascii="Arial" w:cs="Arial" w:eastAsia="Arial" w:hAnsi="Arial"/>
                <w:sz w:val="16"/>
                <w:szCs w:val="16"/>
                <w:color w:val="0000FF"/>
                <w:w w:val="95"/>
              </w:rPr>
            </w:pPr>
            <w:hyperlink r:id="rId136">
              <w:r>
                <w:rPr>
                  <w:rFonts w:ascii="Arial" w:cs="Arial" w:eastAsia="Arial" w:hAnsi="Arial"/>
                  <w:sz w:val="16"/>
                  <w:szCs w:val="16"/>
                  <w:color w:val="0000FF"/>
                  <w:w w:val="95"/>
                </w:rPr>
                <w:t>Amendment and Restatement of Harrah’s Entertainment, Inc. Executive Supplemental Savings Plan, effective as of</w:t>
              </w:r>
            </w:hyperlink>
          </w:p>
        </w:tc>
        <w:tc>
          <w:tcPr>
            <w:tcW w:w="60" w:type="dxa"/>
            <w:vAlign w:val="bottom"/>
            <w:gridSpan w:val="3"/>
          </w:tcPr>
          <w:p>
            <w:pPr>
              <w:spacing w:after="0"/>
              <w:rPr>
                <w:sz w:val="24"/>
                <w:szCs w:val="24"/>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0000FF"/>
            </w:tcBorders>
            <w:gridSpan w:val="2"/>
          </w:tcPr>
          <w:p>
            <w:pPr>
              <w:spacing w:after="0" w:line="169" w:lineRule="exact"/>
              <w:rPr>
                <w:rFonts w:ascii="Arial" w:cs="Arial" w:eastAsia="Arial" w:hAnsi="Arial"/>
                <w:sz w:val="16"/>
                <w:szCs w:val="16"/>
                <w:color w:val="0000FF"/>
                <w:w w:val="94"/>
              </w:rPr>
            </w:pPr>
            <w:hyperlink r:id="rId136">
              <w:r>
                <w:rPr>
                  <w:rFonts w:ascii="Arial" w:cs="Arial" w:eastAsia="Arial" w:hAnsi="Arial"/>
                  <w:sz w:val="16"/>
                  <w:szCs w:val="16"/>
                  <w:color w:val="0000FF"/>
                  <w:w w:val="94"/>
                </w:rPr>
                <w:t>August 3, 2007.</w:t>
              </w:r>
            </w:hyperlink>
          </w:p>
        </w:tc>
        <w:tc>
          <w:tcPr>
            <w:tcW w:w="6780" w:type="dxa"/>
            <w:vAlign w:val="bottom"/>
            <w:gridSpan w:val="10"/>
          </w:tcPr>
          <w:p>
            <w:pPr>
              <w:spacing w:after="0"/>
              <w:rPr>
                <w:sz w:val="14"/>
                <w:szCs w:val="14"/>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10.30†</w:t>
            </w:r>
          </w:p>
        </w:tc>
        <w:tc>
          <w:tcPr>
            <w:tcW w:w="20" w:type="dxa"/>
            <w:vAlign w:val="bottom"/>
          </w:tcPr>
          <w:p>
            <w:pPr>
              <w:spacing w:after="0"/>
              <w:rPr>
                <w:sz w:val="24"/>
                <w:szCs w:val="24"/>
                <w:color w:val="auto"/>
              </w:rPr>
            </w:pPr>
          </w:p>
        </w:tc>
        <w:tc>
          <w:tcPr>
            <w:tcW w:w="7800" w:type="dxa"/>
            <w:vAlign w:val="bottom"/>
            <w:tcBorders>
              <w:bottom w:val="single" w:sz="8" w:color="0000FF"/>
            </w:tcBorders>
            <w:gridSpan w:val="9"/>
          </w:tcPr>
          <w:p>
            <w:pPr>
              <w:spacing w:after="0"/>
              <w:rPr>
                <w:rFonts w:ascii="Arial" w:cs="Arial" w:eastAsia="Arial" w:hAnsi="Arial"/>
                <w:sz w:val="16"/>
                <w:szCs w:val="16"/>
                <w:color w:val="0000FF"/>
                <w:w w:val="93"/>
              </w:rPr>
            </w:pPr>
            <w:hyperlink r:id="rId137">
              <w:r>
                <w:rPr>
                  <w:rFonts w:ascii="Arial" w:cs="Arial" w:eastAsia="Arial" w:hAnsi="Arial"/>
                  <w:sz w:val="16"/>
                  <w:szCs w:val="16"/>
                  <w:color w:val="0000FF"/>
                  <w:w w:val="93"/>
                </w:rPr>
                <w:t>Amendment and Restatement of Harrah’s Entertainment, Inc. Executive Supplemental Savings Plan II, effective as of</w:t>
              </w:r>
            </w:hyperlink>
          </w:p>
        </w:tc>
        <w:tc>
          <w:tcPr>
            <w:tcW w:w="60" w:type="dxa"/>
            <w:vAlign w:val="bottom"/>
            <w:gridSpan w:val="3"/>
          </w:tcPr>
          <w:p>
            <w:pPr>
              <w:spacing w:after="0"/>
              <w:rPr>
                <w:sz w:val="24"/>
                <w:szCs w:val="24"/>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0000FF"/>
            </w:tcBorders>
            <w:gridSpan w:val="2"/>
          </w:tcPr>
          <w:p>
            <w:pPr>
              <w:spacing w:after="0" w:line="169" w:lineRule="exact"/>
              <w:rPr>
                <w:rFonts w:ascii="Arial" w:cs="Arial" w:eastAsia="Arial" w:hAnsi="Arial"/>
                <w:sz w:val="16"/>
                <w:szCs w:val="16"/>
                <w:color w:val="0000FF"/>
                <w:w w:val="94"/>
              </w:rPr>
            </w:pPr>
            <w:hyperlink r:id="rId137">
              <w:r>
                <w:rPr>
                  <w:rFonts w:ascii="Arial" w:cs="Arial" w:eastAsia="Arial" w:hAnsi="Arial"/>
                  <w:sz w:val="16"/>
                  <w:szCs w:val="16"/>
                  <w:color w:val="0000FF"/>
                  <w:w w:val="94"/>
                </w:rPr>
                <w:t>August 3, 2007.</w:t>
              </w:r>
            </w:hyperlink>
          </w:p>
        </w:tc>
        <w:tc>
          <w:tcPr>
            <w:tcW w:w="6780" w:type="dxa"/>
            <w:vAlign w:val="bottom"/>
            <w:gridSpan w:val="10"/>
          </w:tcPr>
          <w:p>
            <w:pPr>
              <w:spacing w:after="0"/>
              <w:rPr>
                <w:sz w:val="14"/>
                <w:szCs w:val="14"/>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10.31†</w:t>
            </w:r>
          </w:p>
        </w:tc>
        <w:tc>
          <w:tcPr>
            <w:tcW w:w="20" w:type="dxa"/>
            <w:vAlign w:val="bottom"/>
          </w:tcPr>
          <w:p>
            <w:pPr>
              <w:spacing w:after="0"/>
              <w:rPr>
                <w:sz w:val="24"/>
                <w:szCs w:val="24"/>
                <w:color w:val="auto"/>
              </w:rPr>
            </w:pPr>
          </w:p>
        </w:tc>
        <w:tc>
          <w:tcPr>
            <w:tcW w:w="7800" w:type="dxa"/>
            <w:vAlign w:val="bottom"/>
            <w:tcBorders>
              <w:bottom w:val="single" w:sz="8" w:color="0000FF"/>
            </w:tcBorders>
            <w:gridSpan w:val="9"/>
          </w:tcPr>
          <w:p>
            <w:pPr>
              <w:spacing w:after="0"/>
              <w:rPr>
                <w:rFonts w:ascii="Arial" w:cs="Arial" w:eastAsia="Arial" w:hAnsi="Arial"/>
                <w:sz w:val="16"/>
                <w:szCs w:val="16"/>
                <w:color w:val="0000FF"/>
                <w:w w:val="92"/>
              </w:rPr>
            </w:pPr>
            <w:hyperlink r:id="rId138">
              <w:r>
                <w:rPr>
                  <w:rFonts w:ascii="Arial" w:cs="Arial" w:eastAsia="Arial" w:hAnsi="Arial"/>
                  <w:sz w:val="16"/>
                  <w:szCs w:val="16"/>
                  <w:color w:val="0000FF"/>
                  <w:w w:val="92"/>
                </w:rPr>
                <w:t>First Amendment to the Amendment and Restatement of Harrah’s Entertainment, Inc. Executive Supplemental Savings</w:t>
              </w:r>
            </w:hyperlink>
          </w:p>
        </w:tc>
        <w:tc>
          <w:tcPr>
            <w:tcW w:w="60" w:type="dxa"/>
            <w:vAlign w:val="bottom"/>
            <w:gridSpan w:val="3"/>
          </w:tcPr>
          <w:p>
            <w:pPr>
              <w:spacing w:after="0"/>
              <w:rPr>
                <w:sz w:val="24"/>
                <w:szCs w:val="24"/>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0000FF"/>
            </w:tcBorders>
            <w:gridSpan w:val="5"/>
          </w:tcPr>
          <w:p>
            <w:pPr>
              <w:spacing w:after="0" w:line="169" w:lineRule="exact"/>
              <w:rPr>
                <w:rFonts w:ascii="Arial" w:cs="Arial" w:eastAsia="Arial" w:hAnsi="Arial"/>
                <w:sz w:val="16"/>
                <w:szCs w:val="16"/>
                <w:color w:val="0000FF"/>
                <w:w w:val="93"/>
              </w:rPr>
            </w:pPr>
            <w:hyperlink r:id="rId138">
              <w:r>
                <w:rPr>
                  <w:rFonts w:ascii="Arial" w:cs="Arial" w:eastAsia="Arial" w:hAnsi="Arial"/>
                  <w:sz w:val="16"/>
                  <w:szCs w:val="16"/>
                  <w:color w:val="0000FF"/>
                  <w:w w:val="93"/>
                </w:rPr>
                <w:t>Plan II, effective as of February 9, 2009.</w:t>
              </w:r>
            </w:hyperlink>
          </w:p>
        </w:tc>
        <w:tc>
          <w:tcPr>
            <w:tcW w:w="5200" w:type="dxa"/>
            <w:vAlign w:val="bottom"/>
            <w:gridSpan w:val="7"/>
          </w:tcPr>
          <w:p>
            <w:pPr>
              <w:spacing w:after="0"/>
              <w:rPr>
                <w:sz w:val="14"/>
                <w:szCs w:val="14"/>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10.32†</w:t>
            </w:r>
          </w:p>
        </w:tc>
        <w:tc>
          <w:tcPr>
            <w:tcW w:w="20" w:type="dxa"/>
            <w:vAlign w:val="bottom"/>
          </w:tcPr>
          <w:p>
            <w:pPr>
              <w:spacing w:after="0"/>
              <w:rPr>
                <w:sz w:val="24"/>
                <w:szCs w:val="24"/>
                <w:color w:val="auto"/>
              </w:rPr>
            </w:pPr>
          </w:p>
        </w:tc>
        <w:tc>
          <w:tcPr>
            <w:tcW w:w="7820" w:type="dxa"/>
            <w:vAlign w:val="bottom"/>
            <w:tcBorders>
              <w:bottom w:val="single" w:sz="8" w:color="0000FF"/>
            </w:tcBorders>
            <w:gridSpan w:val="10"/>
          </w:tcPr>
          <w:p>
            <w:pPr>
              <w:spacing w:after="0"/>
              <w:rPr>
                <w:rFonts w:ascii="Arial" w:cs="Arial" w:eastAsia="Arial" w:hAnsi="Arial"/>
                <w:sz w:val="16"/>
                <w:szCs w:val="16"/>
                <w:color w:val="0000FF"/>
                <w:w w:val="99"/>
              </w:rPr>
            </w:pPr>
            <w:hyperlink r:id="rId139">
              <w:r>
                <w:rPr>
                  <w:rFonts w:ascii="Arial" w:cs="Arial" w:eastAsia="Arial" w:hAnsi="Arial"/>
                  <w:sz w:val="16"/>
                  <w:szCs w:val="16"/>
                  <w:color w:val="0000FF"/>
                  <w:w w:val="99"/>
                </w:rPr>
                <w:t>Second Amendment to the Amendment and Restatement of the Caesars Entertainment Corporation Executive</w:t>
              </w:r>
            </w:hyperlink>
          </w:p>
        </w:tc>
        <w:tc>
          <w:tcPr>
            <w:tcW w:w="40" w:type="dxa"/>
            <w:vAlign w:val="bottom"/>
            <w:gridSpan w:val="2"/>
          </w:tcPr>
          <w:p>
            <w:pPr>
              <w:spacing w:after="0"/>
              <w:rPr>
                <w:sz w:val="24"/>
                <w:szCs w:val="24"/>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60" w:type="dxa"/>
            <w:vAlign w:val="bottom"/>
            <w:tcBorders>
              <w:bottom w:val="single" w:sz="8" w:color="0000FF"/>
            </w:tcBorders>
            <w:gridSpan w:val="12"/>
          </w:tcPr>
          <w:p>
            <w:pPr>
              <w:spacing w:after="0" w:line="169" w:lineRule="exact"/>
              <w:rPr>
                <w:rFonts w:ascii="Arial" w:cs="Arial" w:eastAsia="Arial" w:hAnsi="Arial"/>
                <w:sz w:val="16"/>
                <w:szCs w:val="16"/>
                <w:color w:val="0000FF"/>
                <w:w w:val="94"/>
              </w:rPr>
            </w:pPr>
            <w:hyperlink r:id="rId139">
              <w:r>
                <w:rPr>
                  <w:rFonts w:ascii="Arial" w:cs="Arial" w:eastAsia="Arial" w:hAnsi="Arial"/>
                  <w:sz w:val="16"/>
                  <w:szCs w:val="16"/>
                  <w:color w:val="0000FF"/>
                  <w:w w:val="94"/>
                </w:rPr>
                <w:t>Supplemental Savings Plan II (fka Harrah’s Entertainment, Inc. Executive Supplemental Savings Plan II), effective as</w:t>
              </w:r>
            </w:hyperlink>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0000FF"/>
            </w:tcBorders>
            <w:gridSpan w:val="3"/>
          </w:tcPr>
          <w:p>
            <w:pPr>
              <w:spacing w:after="0" w:line="169" w:lineRule="exact"/>
              <w:rPr>
                <w:rFonts w:ascii="Arial" w:cs="Arial" w:eastAsia="Arial" w:hAnsi="Arial"/>
                <w:sz w:val="16"/>
                <w:szCs w:val="16"/>
                <w:color w:val="0000FF"/>
                <w:w w:val="94"/>
              </w:rPr>
            </w:pPr>
            <w:hyperlink r:id="rId139">
              <w:r>
                <w:rPr>
                  <w:rFonts w:ascii="Arial" w:cs="Arial" w:eastAsia="Arial" w:hAnsi="Arial"/>
                  <w:sz w:val="16"/>
                  <w:szCs w:val="16"/>
                  <w:color w:val="0000FF"/>
                  <w:w w:val="94"/>
                </w:rPr>
                <w:t>of November 5, 2014.</w:t>
              </w:r>
            </w:hyperlink>
          </w:p>
        </w:tc>
        <w:tc>
          <w:tcPr>
            <w:tcW w:w="6380" w:type="dxa"/>
            <w:vAlign w:val="bottom"/>
            <w:gridSpan w:val="9"/>
          </w:tcPr>
          <w:p>
            <w:pPr>
              <w:spacing w:after="0"/>
              <w:rPr>
                <w:sz w:val="14"/>
                <w:szCs w:val="14"/>
                <w:color w:val="auto"/>
              </w:rPr>
            </w:pPr>
          </w:p>
        </w:tc>
      </w:tr>
      <w:tr>
        <w:trPr>
          <w:trHeight w:val="277"/>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10.33†</w:t>
            </w:r>
          </w:p>
        </w:tc>
        <w:tc>
          <w:tcPr>
            <w:tcW w:w="20" w:type="dxa"/>
            <w:vAlign w:val="bottom"/>
          </w:tcPr>
          <w:p>
            <w:pPr>
              <w:spacing w:after="0"/>
              <w:rPr>
                <w:sz w:val="24"/>
                <w:szCs w:val="24"/>
                <w:color w:val="auto"/>
              </w:rPr>
            </w:pPr>
          </w:p>
        </w:tc>
        <w:tc>
          <w:tcPr>
            <w:tcW w:w="7820" w:type="dxa"/>
            <w:vAlign w:val="bottom"/>
            <w:tcBorders>
              <w:bottom w:val="single" w:sz="8" w:color="0000FF"/>
            </w:tcBorders>
            <w:gridSpan w:val="10"/>
          </w:tcPr>
          <w:p>
            <w:pPr>
              <w:spacing w:after="0"/>
              <w:rPr>
                <w:rFonts w:ascii="Arial" w:cs="Arial" w:eastAsia="Arial" w:hAnsi="Arial"/>
                <w:sz w:val="16"/>
                <w:szCs w:val="16"/>
                <w:color w:val="0000FF"/>
                <w:w w:val="95"/>
              </w:rPr>
            </w:pPr>
            <w:hyperlink r:id="rId140">
              <w:r>
                <w:rPr>
                  <w:rFonts w:ascii="Arial" w:cs="Arial" w:eastAsia="Arial" w:hAnsi="Arial"/>
                  <w:sz w:val="16"/>
                  <w:szCs w:val="16"/>
                  <w:color w:val="0000FF"/>
                  <w:w w:val="95"/>
                </w:rPr>
                <w:t>Caesars  Entertainment  Corporation  Second  Amended  and  Restated  Executive  Deferred  Compensation  Trust</w:t>
              </w:r>
            </w:hyperlink>
          </w:p>
        </w:tc>
        <w:tc>
          <w:tcPr>
            <w:tcW w:w="40" w:type="dxa"/>
            <w:vAlign w:val="bottom"/>
            <w:gridSpan w:val="2"/>
          </w:tcPr>
          <w:p>
            <w:pPr>
              <w:spacing w:after="0"/>
              <w:rPr>
                <w:sz w:val="24"/>
                <w:szCs w:val="24"/>
                <w:color w:val="auto"/>
              </w:rPr>
            </w:pPr>
          </w:p>
        </w:tc>
      </w:tr>
      <w:tr>
        <w:trPr>
          <w:trHeight w:val="204"/>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gridSpan w:val="12"/>
          </w:tcPr>
          <w:p>
            <w:pPr>
              <w:spacing w:after="0"/>
              <w:rPr>
                <w:rFonts w:ascii="Arial" w:cs="Arial" w:eastAsia="Arial" w:hAnsi="Arial"/>
                <w:sz w:val="16"/>
                <w:szCs w:val="16"/>
                <w:u w:val="single" w:color="auto"/>
                <w:color w:val="0000FF"/>
                <w:w w:val="93"/>
              </w:rPr>
            </w:pPr>
            <w:hyperlink r:id="rId140">
              <w:r>
                <w:rPr>
                  <w:rFonts w:ascii="Arial" w:cs="Arial" w:eastAsia="Arial" w:hAnsi="Arial"/>
                  <w:sz w:val="16"/>
                  <w:szCs w:val="16"/>
                  <w:u w:val="single" w:color="auto"/>
                  <w:color w:val="0000FF"/>
                  <w:w w:val="93"/>
                </w:rPr>
                <w:t>Agreement, dated as of December 12, 2016, between Caesars Entertainment Corporation and Wells Fargo Bank, N.A.</w:t>
              </w:r>
            </w:hyperlink>
          </w:p>
        </w:tc>
      </w:tr>
      <w:tr>
        <w:trPr>
          <w:trHeight w:val="35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color w:val="0000FF"/>
                <w:w w:val="96"/>
              </w:rPr>
            </w:pPr>
            <w:hyperlink r:id="rId141">
              <w:r>
                <w:rPr>
                  <w:rFonts w:ascii="Arial" w:cs="Arial" w:eastAsia="Arial" w:hAnsi="Arial"/>
                  <w:sz w:val="16"/>
                  <w:szCs w:val="16"/>
                  <w:color w:val="0000FF"/>
                  <w:w w:val="96"/>
                </w:rPr>
                <w:t>Trademark License Agreement, dated as of October 6, 2017, between Caesars License Company, LLC and Desert</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141">
              <w:r>
                <w:rPr>
                  <w:rFonts w:ascii="Arial" w:cs="Arial" w:eastAsia="Arial" w:hAnsi="Arial"/>
                  <w:sz w:val="16"/>
                  <w:szCs w:val="16"/>
                  <w:color w:val="0000FF"/>
                  <w:w w:val="91"/>
                </w:rPr>
                <w:t>Palace LLC.</w:t>
              </w:r>
            </w:hyperlink>
          </w:p>
        </w:tc>
        <w:tc>
          <w:tcPr>
            <w:tcW w:w="70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color w:val="0000FF"/>
                <w:w w:val="92"/>
              </w:rPr>
            </w:pPr>
            <w:hyperlink r:id="rId142">
              <w:r>
                <w:rPr>
                  <w:rFonts w:ascii="Arial" w:cs="Arial" w:eastAsia="Arial" w:hAnsi="Arial"/>
                  <w:sz w:val="16"/>
                  <w:szCs w:val="16"/>
                  <w:color w:val="0000FF"/>
                  <w:w w:val="92"/>
                </w:rPr>
                <w:t>Amended and Restated Casino Operating Contract, dated April 1, 2020, by and between Jazz Casino Company, L.L.C.</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2"/>
              </w:rPr>
            </w:pPr>
            <w:hyperlink r:id="rId142">
              <w:r>
                <w:rPr>
                  <w:rFonts w:ascii="Arial" w:cs="Arial" w:eastAsia="Arial" w:hAnsi="Arial"/>
                  <w:sz w:val="16"/>
                  <w:szCs w:val="16"/>
                  <w:color w:val="0000FF"/>
                  <w:w w:val="92"/>
                </w:rPr>
                <w:t>and the State of Louisiana, by and through the Louisiana Gaming Control Board.</w:t>
              </w:r>
            </w:hyperlink>
          </w:p>
        </w:tc>
        <w:tc>
          <w:tcPr>
            <w:tcW w:w="2560" w:type="dxa"/>
            <w:vAlign w:val="bottom"/>
            <w:tcBorders>
              <w:top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color w:val="0000FF"/>
                <w:w w:val="93"/>
              </w:rPr>
            </w:pPr>
            <w:hyperlink r:id="rId143">
              <w:r>
                <w:rPr>
                  <w:rFonts w:ascii="Arial" w:cs="Arial" w:eastAsia="Arial" w:hAnsi="Arial"/>
                  <w:sz w:val="16"/>
                  <w:szCs w:val="16"/>
                  <w:color w:val="0000FF"/>
                  <w:w w:val="93"/>
                </w:rPr>
                <w:t>First Amendment to the Amended and Restated Casino Operating Contract, made and entered into as of April 9, 2020,</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tcBorders>
            <w:gridSpan w:val="9"/>
          </w:tcPr>
          <w:p>
            <w:pPr>
              <w:spacing w:after="0" w:line="142" w:lineRule="exact"/>
              <w:rPr>
                <w:rFonts w:ascii="Arial" w:cs="Arial" w:eastAsia="Arial" w:hAnsi="Arial"/>
                <w:sz w:val="16"/>
                <w:szCs w:val="16"/>
                <w:color w:val="0000FF"/>
                <w:w w:val="94"/>
              </w:rPr>
            </w:pPr>
            <w:hyperlink r:id="rId143">
              <w:r>
                <w:rPr>
                  <w:rFonts w:ascii="Arial" w:cs="Arial" w:eastAsia="Arial" w:hAnsi="Arial"/>
                  <w:sz w:val="16"/>
                  <w:szCs w:val="16"/>
                  <w:color w:val="0000FF"/>
                  <w:w w:val="94"/>
                </w:rPr>
                <w:t>and made effective as of April 1, 2020, by and between Jazz Casino Company, L.L.C. and the State of Louisiana, by</w:t>
              </w:r>
            </w:hyperlink>
          </w:p>
        </w:tc>
        <w:tc>
          <w:tcPr>
            <w:tcW w:w="60" w:type="dxa"/>
            <w:vAlign w:val="bottom"/>
            <w:gridSpan w:val="3"/>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43">
              <w:r>
                <w:rPr>
                  <w:rFonts w:ascii="Arial" w:cs="Arial" w:eastAsia="Arial" w:hAnsi="Arial"/>
                  <w:sz w:val="16"/>
                  <w:szCs w:val="16"/>
                  <w:color w:val="0000FF"/>
                  <w:w w:val="92"/>
                </w:rPr>
                <w:t>and through the Louisiana Gaming Control Board.</w:t>
              </w:r>
            </w:hyperlink>
          </w:p>
        </w:tc>
        <w:tc>
          <w:tcPr>
            <w:tcW w:w="450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10.37†</w:t>
            </w: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u w:val="single" w:color="auto"/>
                <w:color w:val="0000FF"/>
              </w:rPr>
            </w:pPr>
            <w:hyperlink r:id="rId144">
              <w:r>
                <w:rPr>
                  <w:rFonts w:ascii="Arial" w:cs="Arial" w:eastAsia="Arial" w:hAnsi="Arial"/>
                  <w:sz w:val="16"/>
                  <w:szCs w:val="16"/>
                  <w:u w:val="single" w:color="auto"/>
                  <w:color w:val="0000FF"/>
                </w:rPr>
                <w:t>Caesars Entertainment Corporation 2012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10.38†</w:t>
            </w: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Amendment No. 1 to the Caesars Entertainment Corporation 2012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10.39†</w:t>
            </w: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Amendment No. 2 to the Caesars Entertainment Corporation 2012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10.40†</w:t>
            </w: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Amendment No. 3 to the Caesars Entertainment Corporation 2012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10.41†</w:t>
            </w: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Amendment No. 4 to the Caesars Entertainment Corporation 2012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10.42†</w:t>
            </w:r>
          </w:p>
        </w:tc>
        <w:tc>
          <w:tcPr>
            <w:tcW w:w="2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2010 Long-Term Incentive Plan.</w:t>
              </w:r>
            </w:hyperlink>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551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4"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10-Q filed by Caesars Holdings, Inc. on August 9, 2007.</w:t>
      </w:r>
    </w:p>
    <w:p>
      <w:pPr>
        <w:spacing w:after="0" w:line="6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10-Q filed by Caesars Holdings, Inc. on August 9, 2007.</w:t>
      </w:r>
    </w:p>
    <w:p>
      <w:pPr>
        <w:spacing w:after="0" w:line="6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10-Q filed by Caesars Holdings, Inc. on August 9, 2007.</w:t>
      </w:r>
    </w:p>
    <w:p>
      <w:pPr>
        <w:spacing w:after="0" w:line="65"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February 13, 2009.</w:t>
      </w:r>
    </w:p>
    <w:p>
      <w:pPr>
        <w:spacing w:after="0" w:line="65" w:lineRule="exact"/>
        <w:rPr>
          <w:sz w:val="20"/>
          <w:szCs w:val="20"/>
          <w:color w:val="auto"/>
        </w:rPr>
      </w:pPr>
    </w:p>
    <w:p>
      <w:pPr>
        <w:jc w:val="both"/>
        <w:ind w:right="60"/>
        <w:spacing w:after="0" w:line="230" w:lineRule="auto"/>
        <w:rPr>
          <w:sz w:val="20"/>
          <w:szCs w:val="20"/>
          <w:color w:val="auto"/>
        </w:rPr>
      </w:pPr>
      <w:r>
        <w:rPr>
          <w:rFonts w:ascii="Arial" w:cs="Arial" w:eastAsia="Arial" w:hAnsi="Arial"/>
          <w:sz w:val="16"/>
          <w:szCs w:val="16"/>
          <w:color w:val="auto"/>
        </w:rPr>
        <w:t>Previously filed on Form 10-K filed by Caesars Holdings, Inc. on March 16, 2015.</w:t>
      </w:r>
    </w:p>
    <w:p>
      <w:pPr>
        <w:spacing w:after="0" w:line="146"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October 13, 2017.</w:t>
      </w:r>
    </w:p>
    <w:p>
      <w:pPr>
        <w:spacing w:after="0" w:line="65"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October 13, 2017.</w:t>
      </w:r>
    </w:p>
    <w:p>
      <w:pPr>
        <w:spacing w:after="0" w:line="65"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April 6, 2020.</w:t>
      </w:r>
    </w:p>
    <w:p>
      <w:pPr>
        <w:spacing w:after="0" w:line="65" w:lineRule="exact"/>
        <w:rPr>
          <w:sz w:val="20"/>
          <w:szCs w:val="20"/>
          <w:color w:val="auto"/>
        </w:rPr>
      </w:pPr>
    </w:p>
    <w:p>
      <w:pPr>
        <w:ind w:right="180"/>
        <w:spacing w:after="0" w:line="230" w:lineRule="auto"/>
        <w:rPr>
          <w:sz w:val="20"/>
          <w:szCs w:val="20"/>
          <w:color w:val="auto"/>
        </w:rPr>
      </w:pPr>
      <w:r>
        <w:rPr>
          <w:rFonts w:ascii="Arial" w:cs="Arial" w:eastAsia="Arial" w:hAnsi="Arial"/>
          <w:sz w:val="16"/>
          <w:szCs w:val="16"/>
          <w:color w:val="auto"/>
        </w:rPr>
        <w:t>Previously filed on Form 8-K/A filed by Caesars Holdings, Inc. on April 14, 2020.</w:t>
      </w:r>
    </w:p>
    <w:p>
      <w:pPr>
        <w:spacing w:after="0" w:line="65"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Previously filed on Form S-1/A filed by Caesars Holdings, Inc. on February 2, 2012.</w:t>
      </w:r>
    </w:p>
    <w:p>
      <w:pPr>
        <w:spacing w:after="0" w:line="65"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July 25, 2012.</w:t>
      </w:r>
    </w:p>
    <w:p>
      <w:pPr>
        <w:spacing w:after="0" w:line="65"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May 20, 2015.</w:t>
      </w:r>
    </w:p>
    <w:p>
      <w:pPr>
        <w:spacing w:after="0" w:line="65"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May 20, 2016.</w:t>
      </w:r>
    </w:p>
    <w:p>
      <w:pPr>
        <w:spacing w:after="0" w:line="6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10-Q filed by Caesars Holdings, Inc. on August 2, 2016.</w:t>
      </w:r>
    </w:p>
    <w:p>
      <w:pPr>
        <w:spacing w:after="0" w:line="65" w:lineRule="exact"/>
        <w:rPr>
          <w:sz w:val="20"/>
          <w:szCs w:val="20"/>
          <w:color w:val="auto"/>
        </w:rPr>
      </w:pPr>
    </w:p>
    <w:p>
      <w:pPr>
        <w:ind w:right="60"/>
        <w:spacing w:after="0" w:line="230" w:lineRule="auto"/>
        <w:rPr>
          <w:sz w:val="20"/>
          <w:szCs w:val="20"/>
          <w:color w:val="auto"/>
        </w:rPr>
      </w:pPr>
      <w:r>
        <w:rPr>
          <w:rFonts w:ascii="Arial" w:cs="Arial" w:eastAsia="Arial" w:hAnsi="Arial"/>
          <w:sz w:val="16"/>
          <w:szCs w:val="16"/>
          <w:color w:val="auto"/>
        </w:rPr>
        <w:t>Previously filed on Form 10-Q filed by MTR Gaming Group, Inc. on August 9, 2010.</w:t>
      </w:r>
    </w:p>
    <w:p>
      <w:pPr>
        <w:spacing w:after="0" w:line="93" w:lineRule="exact"/>
        <w:rPr>
          <w:sz w:val="20"/>
          <w:szCs w:val="20"/>
          <w:color w:val="auto"/>
        </w:rPr>
      </w:pPr>
    </w:p>
    <w:p>
      <w:pPr>
        <w:sectPr>
          <w:pgSz w:w="11900" w:h="16838" w:orient="portrait"/>
          <w:cols w:equalWidth="0" w:num="2">
            <w:col w:w="8700" w:space="120"/>
            <w:col w:w="2380"/>
          </w:cols>
          <w:pgMar w:left="320" w:top="1251" w:right="379" w:bottom="1440" w:gutter="0" w:footer="0" w:header="0"/>
        </w:sectPr>
      </w:pPr>
    </w:p>
    <w:tbl>
      <w:tblPr>
        <w:tblLayout w:type="fixed"/>
        <w:tblInd w:w="18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Arial" w:cs="Arial" w:eastAsia="Arial" w:hAnsi="Arial"/>
                <w:sz w:val="16"/>
                <w:szCs w:val="16"/>
                <w:color w:val="auto"/>
              </w:rPr>
              <w:t>10.43†</w:t>
            </w:r>
          </w:p>
        </w:tc>
        <w:tc>
          <w:tcPr>
            <w:tcW w:w="7260" w:type="dxa"/>
            <w:vAlign w:val="bottom"/>
            <w:gridSpan w:val="3"/>
          </w:tcPr>
          <w:p>
            <w:pPr>
              <w:ind w:left="140"/>
              <w:spacing w:after="0"/>
              <w:rPr>
                <w:rFonts w:ascii="Arial" w:cs="Arial" w:eastAsia="Arial" w:hAnsi="Arial"/>
                <w:sz w:val="16"/>
                <w:szCs w:val="16"/>
                <w:color w:val="0000FF"/>
              </w:rPr>
            </w:pPr>
            <w:hyperlink r:id="rId151">
              <w:r>
                <w:rPr>
                  <w:rFonts w:ascii="Arial" w:cs="Arial" w:eastAsia="Arial" w:hAnsi="Arial"/>
                  <w:sz w:val="16"/>
                  <w:szCs w:val="16"/>
                  <w:u w:val="single" w:color="auto"/>
                  <w:color w:val="0000FF"/>
                </w:rPr>
                <w:t>Isle of Capri Casinos, Inc. Second Amended and Restated 2009 Long-Term Stock Incentive</w:t>
              </w:r>
              <w:r>
                <w:rPr>
                  <w:rFonts w:ascii="Arial" w:cs="Arial" w:eastAsia="Arial" w:hAnsi="Arial"/>
                  <w:sz w:val="16"/>
                  <w:szCs w:val="16"/>
                  <w:color w:val="0000FF"/>
                </w:rPr>
                <w:t xml:space="preserve"> Plan.</w:t>
              </w:r>
            </w:hyperlink>
          </w:p>
        </w:tc>
        <w:tc>
          <w:tcPr>
            <w:tcW w:w="3120" w:type="dxa"/>
            <w:vAlign w:val="bottom"/>
          </w:tcPr>
          <w:p>
            <w:pPr>
              <w:ind w:left="800"/>
              <w:spacing w:after="0"/>
              <w:rPr>
                <w:sz w:val="20"/>
                <w:szCs w:val="20"/>
                <w:color w:val="auto"/>
              </w:rPr>
            </w:pPr>
            <w:r>
              <w:rPr>
                <w:rFonts w:ascii="Arial" w:cs="Arial" w:eastAsia="Arial" w:hAnsi="Arial"/>
                <w:sz w:val="16"/>
                <w:szCs w:val="16"/>
                <w:color w:val="auto"/>
                <w:w w:val="97"/>
              </w:rPr>
              <w:t>Previously filed on Form 8-K filed</w:t>
            </w:r>
          </w:p>
        </w:tc>
      </w:tr>
      <w:tr>
        <w:trPr>
          <w:trHeight w:val="132"/>
        </w:trPr>
        <w:tc>
          <w:tcPr>
            <w:tcW w:w="58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00" w:type="dxa"/>
            <w:vAlign w:val="bottom"/>
          </w:tcPr>
          <w:p>
            <w:pPr>
              <w:spacing w:after="0"/>
              <w:rPr>
                <w:sz w:val="11"/>
                <w:szCs w:val="11"/>
                <w:color w:val="auto"/>
              </w:rPr>
            </w:pPr>
          </w:p>
        </w:tc>
        <w:tc>
          <w:tcPr>
            <w:tcW w:w="3120" w:type="dxa"/>
            <w:vAlign w:val="bottom"/>
          </w:tcPr>
          <w:p>
            <w:pPr>
              <w:ind w:left="800"/>
              <w:spacing w:after="0" w:line="132" w:lineRule="exact"/>
              <w:rPr>
                <w:sz w:val="20"/>
                <w:szCs w:val="20"/>
                <w:color w:val="auto"/>
              </w:rPr>
            </w:pPr>
            <w:r>
              <w:rPr>
                <w:rFonts w:ascii="Arial" w:cs="Arial" w:eastAsia="Arial" w:hAnsi="Arial"/>
                <w:sz w:val="15"/>
                <w:szCs w:val="15"/>
                <w:color w:val="auto"/>
              </w:rPr>
              <w:t>by Isle of Capri Casinos, Inc. on</w:t>
            </w:r>
          </w:p>
        </w:tc>
      </w:tr>
      <w:tr>
        <w:trPr>
          <w:trHeight w:val="206"/>
        </w:trPr>
        <w:tc>
          <w:tcPr>
            <w:tcW w:w="5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20" w:type="dxa"/>
            <w:vAlign w:val="bottom"/>
          </w:tcPr>
          <w:p>
            <w:pPr>
              <w:ind w:left="800"/>
              <w:spacing w:after="0"/>
              <w:rPr>
                <w:sz w:val="20"/>
                <w:szCs w:val="20"/>
                <w:color w:val="auto"/>
              </w:rPr>
            </w:pPr>
            <w:r>
              <w:rPr>
                <w:rFonts w:ascii="Arial" w:cs="Arial" w:eastAsia="Arial" w:hAnsi="Arial"/>
                <w:sz w:val="16"/>
                <w:szCs w:val="16"/>
                <w:color w:val="auto"/>
              </w:rPr>
              <w:t>October 9, 2015.</w:t>
            </w:r>
          </w:p>
        </w:tc>
      </w:tr>
      <w:tr>
        <w:trPr>
          <w:trHeight w:val="226"/>
        </w:trPr>
        <w:tc>
          <w:tcPr>
            <w:tcW w:w="580" w:type="dxa"/>
            <w:vAlign w:val="bottom"/>
          </w:tcPr>
          <w:p>
            <w:pPr>
              <w:spacing w:after="0"/>
              <w:rPr>
                <w:sz w:val="20"/>
                <w:szCs w:val="20"/>
                <w:color w:val="auto"/>
              </w:rPr>
            </w:pPr>
            <w:r>
              <w:rPr>
                <w:rFonts w:ascii="Arial" w:cs="Arial" w:eastAsia="Arial" w:hAnsi="Arial"/>
                <w:sz w:val="16"/>
                <w:szCs w:val="16"/>
                <w:color w:val="auto"/>
              </w:rPr>
              <w:t>10.44†</w:t>
            </w:r>
          </w:p>
        </w:tc>
        <w:tc>
          <w:tcPr>
            <w:tcW w:w="7260" w:type="dxa"/>
            <w:vAlign w:val="bottom"/>
            <w:gridSpan w:val="3"/>
          </w:tcPr>
          <w:p>
            <w:pPr>
              <w:ind w:left="140"/>
              <w:spacing w:after="0"/>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Isle of Capri Casino, Inc. Form of Non-Qualified Stock Option Agreement.</w:t>
              </w:r>
            </w:hyperlink>
          </w:p>
        </w:tc>
        <w:tc>
          <w:tcPr>
            <w:tcW w:w="3120" w:type="dxa"/>
            <w:vAlign w:val="bottom"/>
          </w:tcPr>
          <w:p>
            <w:pPr>
              <w:ind w:left="800"/>
              <w:spacing w:after="0"/>
              <w:rPr>
                <w:sz w:val="20"/>
                <w:szCs w:val="20"/>
                <w:color w:val="auto"/>
              </w:rPr>
            </w:pPr>
            <w:r>
              <w:rPr>
                <w:rFonts w:ascii="Arial" w:cs="Arial" w:eastAsia="Arial" w:hAnsi="Arial"/>
                <w:sz w:val="16"/>
                <w:szCs w:val="16"/>
                <w:color w:val="auto"/>
                <w:w w:val="94"/>
              </w:rPr>
              <w:t>Previously filed on Form 10-K filed</w:t>
            </w:r>
          </w:p>
        </w:tc>
      </w:tr>
      <w:tr>
        <w:trPr>
          <w:trHeight w:val="162"/>
        </w:trPr>
        <w:tc>
          <w:tcPr>
            <w:tcW w:w="5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20" w:type="dxa"/>
            <w:vAlign w:val="bottom"/>
          </w:tcPr>
          <w:p>
            <w:pPr>
              <w:ind w:left="800"/>
              <w:spacing w:after="0" w:line="162" w:lineRule="exact"/>
              <w:rPr>
                <w:sz w:val="20"/>
                <w:szCs w:val="20"/>
                <w:color w:val="auto"/>
              </w:rPr>
            </w:pPr>
            <w:r>
              <w:rPr>
                <w:rFonts w:ascii="Arial" w:cs="Arial" w:eastAsia="Arial" w:hAnsi="Arial"/>
                <w:sz w:val="16"/>
                <w:szCs w:val="16"/>
                <w:color w:val="auto"/>
              </w:rPr>
              <w:t>by Isle of Capri Casinos, Inc. on</w:t>
            </w:r>
          </w:p>
        </w:tc>
      </w:tr>
      <w:tr>
        <w:trPr>
          <w:trHeight w:val="206"/>
        </w:trPr>
        <w:tc>
          <w:tcPr>
            <w:tcW w:w="5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20" w:type="dxa"/>
            <w:vAlign w:val="bottom"/>
          </w:tcPr>
          <w:p>
            <w:pPr>
              <w:ind w:left="800"/>
              <w:spacing w:after="0"/>
              <w:rPr>
                <w:sz w:val="20"/>
                <w:szCs w:val="20"/>
                <w:color w:val="auto"/>
              </w:rPr>
            </w:pPr>
            <w:r>
              <w:rPr>
                <w:rFonts w:ascii="Arial" w:cs="Arial" w:eastAsia="Arial" w:hAnsi="Arial"/>
                <w:sz w:val="16"/>
                <w:szCs w:val="16"/>
                <w:color w:val="auto"/>
              </w:rPr>
              <w:t>June 17, 2015.</w:t>
            </w:r>
          </w:p>
        </w:tc>
      </w:tr>
      <w:tr>
        <w:trPr>
          <w:trHeight w:val="226"/>
        </w:trPr>
        <w:tc>
          <w:tcPr>
            <w:tcW w:w="580" w:type="dxa"/>
            <w:vAlign w:val="bottom"/>
          </w:tcPr>
          <w:p>
            <w:pPr>
              <w:spacing w:after="0"/>
              <w:rPr>
                <w:sz w:val="20"/>
                <w:szCs w:val="20"/>
                <w:color w:val="auto"/>
              </w:rPr>
            </w:pPr>
            <w:r>
              <w:rPr>
                <w:rFonts w:ascii="Arial" w:cs="Arial" w:eastAsia="Arial" w:hAnsi="Arial"/>
                <w:sz w:val="16"/>
                <w:szCs w:val="16"/>
                <w:color w:val="auto"/>
              </w:rPr>
              <w:t>10.45†</w:t>
            </w:r>
          </w:p>
        </w:tc>
        <w:tc>
          <w:tcPr>
            <w:tcW w:w="7260" w:type="dxa"/>
            <w:vAlign w:val="bottom"/>
            <w:gridSpan w:val="3"/>
          </w:tcPr>
          <w:p>
            <w:pPr>
              <w:ind w:left="140"/>
              <w:spacing w:after="0"/>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Caesars Entertainment Corporation 2017 Performance Incentive Plan.</w:t>
              </w:r>
            </w:hyperlink>
          </w:p>
        </w:tc>
        <w:tc>
          <w:tcPr>
            <w:tcW w:w="3120" w:type="dxa"/>
            <w:vAlign w:val="bottom"/>
          </w:tcPr>
          <w:p>
            <w:pPr>
              <w:ind w:left="800"/>
              <w:spacing w:after="0"/>
              <w:rPr>
                <w:sz w:val="20"/>
                <w:szCs w:val="20"/>
                <w:color w:val="auto"/>
              </w:rPr>
            </w:pPr>
            <w:r>
              <w:rPr>
                <w:rFonts w:ascii="Arial" w:cs="Arial" w:eastAsia="Arial" w:hAnsi="Arial"/>
                <w:sz w:val="16"/>
                <w:szCs w:val="16"/>
                <w:color w:val="auto"/>
                <w:w w:val="97"/>
              </w:rPr>
              <w:t>Previously filed on Form S-8 filed</w:t>
            </w:r>
          </w:p>
        </w:tc>
      </w:tr>
      <w:tr>
        <w:trPr>
          <w:trHeight w:val="162"/>
        </w:trPr>
        <w:tc>
          <w:tcPr>
            <w:tcW w:w="5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20" w:type="dxa"/>
            <w:vAlign w:val="bottom"/>
          </w:tcPr>
          <w:p>
            <w:pPr>
              <w:ind w:left="800"/>
              <w:spacing w:after="0" w:line="162" w:lineRule="exact"/>
              <w:rPr>
                <w:sz w:val="20"/>
                <w:szCs w:val="20"/>
                <w:color w:val="auto"/>
              </w:rPr>
            </w:pPr>
            <w:r>
              <w:rPr>
                <w:rFonts w:ascii="Arial" w:cs="Arial" w:eastAsia="Arial" w:hAnsi="Arial"/>
                <w:sz w:val="16"/>
                <w:szCs w:val="16"/>
                <w:color w:val="auto"/>
              </w:rPr>
              <w:t>by Caesars Holdings, Inc. on</w:t>
            </w:r>
          </w:p>
        </w:tc>
      </w:tr>
      <w:tr>
        <w:trPr>
          <w:trHeight w:val="206"/>
        </w:trPr>
        <w:tc>
          <w:tcPr>
            <w:tcW w:w="5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20" w:type="dxa"/>
            <w:vAlign w:val="bottom"/>
          </w:tcPr>
          <w:p>
            <w:pPr>
              <w:ind w:left="800"/>
              <w:spacing w:after="0"/>
              <w:rPr>
                <w:sz w:val="20"/>
                <w:szCs w:val="20"/>
                <w:color w:val="auto"/>
              </w:rPr>
            </w:pPr>
            <w:r>
              <w:rPr>
                <w:rFonts w:ascii="Arial" w:cs="Arial" w:eastAsia="Arial" w:hAnsi="Arial"/>
                <w:sz w:val="16"/>
                <w:szCs w:val="16"/>
                <w:color w:val="auto"/>
              </w:rPr>
              <w:t>October 6, 2017.</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12"/>
          </w:tcPr>
          <w:p>
            <w:pPr>
              <w:ind w:left="420"/>
              <w:spacing w:after="0"/>
              <w:rPr>
                <w:sz w:val="20"/>
                <w:szCs w:val="20"/>
                <w:color w:val="auto"/>
              </w:rPr>
            </w:pPr>
            <w:r>
              <w:rPr>
                <w:rFonts w:ascii="Arial" w:cs="Arial" w:eastAsia="Arial" w:hAnsi="Arial"/>
                <w:sz w:val="14"/>
                <w:szCs w:val="14"/>
                <w:b w:val="1"/>
                <w:bCs w:val="1"/>
                <w:color w:val="auto"/>
              </w:rPr>
              <w:t>Description of Exhibit</w:t>
            </w:r>
          </w:p>
        </w:tc>
      </w:tr>
      <w:tr>
        <w:trPr>
          <w:trHeight w:val="21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10.46†</w:t>
            </w:r>
          </w:p>
        </w:tc>
        <w:tc>
          <w:tcPr>
            <w:tcW w:w="20" w:type="dxa"/>
            <w:vAlign w:val="bottom"/>
          </w:tcPr>
          <w:p>
            <w:pPr>
              <w:spacing w:after="0"/>
              <w:rPr>
                <w:sz w:val="18"/>
                <w:szCs w:val="18"/>
                <w:color w:val="auto"/>
              </w:rPr>
            </w:pPr>
          </w:p>
        </w:tc>
        <w:tc>
          <w:tcPr>
            <w:tcW w:w="7960" w:type="dxa"/>
            <w:vAlign w:val="bottom"/>
            <w:gridSpan w:val="25"/>
          </w:tcPr>
          <w:p>
            <w:pPr>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Amendment No. 1 to Caesars Entertainment Corporation 2017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10.47†</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Caesars Entertainment Corporation Executive Supplemental Savings Plan III.</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10.48†</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Caesars Entertainment Corporation Outside Director Deferred Compensation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10.49†</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Caesars Acquisition Company 2014 Performance Incentive Plan.</w:t>
              </w:r>
            </w:hyperlink>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10.50†</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Eldorado Resorts, Inc. Amended and Restated 2015 Equity Incentive Plan</w:t>
              </w:r>
            </w:hyperlink>
          </w:p>
        </w:tc>
      </w:tr>
      <w:tr>
        <w:trPr>
          <w:trHeight w:val="47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10.51†</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Form of Director Indemnification Agreement.</w:t>
              </w:r>
            </w:hyperlink>
          </w:p>
        </w:tc>
      </w:tr>
      <w:tr>
        <w:trPr>
          <w:trHeight w:val="397"/>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10.52†</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color w:val="0000FF"/>
                <w:w w:val="97"/>
              </w:rPr>
            </w:pPr>
            <w:hyperlink r:id="rId161">
              <w:r>
                <w:rPr>
                  <w:rFonts w:ascii="Arial" w:cs="Arial" w:eastAsia="Arial" w:hAnsi="Arial"/>
                  <w:sz w:val="16"/>
                  <w:szCs w:val="16"/>
                  <w:color w:val="0000FF"/>
                  <w:w w:val="97"/>
                </w:rPr>
                <w:t>Form of Director Non-Deferred Restricted Stock Unit Award Agreement pursuant to the Eldorado Resorts, Inc. 2015</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3"/>
              </w:rPr>
            </w:pPr>
            <w:hyperlink r:id="rId161">
              <w:r>
                <w:rPr>
                  <w:rFonts w:ascii="Arial" w:cs="Arial" w:eastAsia="Arial" w:hAnsi="Arial"/>
                  <w:sz w:val="16"/>
                  <w:szCs w:val="16"/>
                  <w:color w:val="0000FF"/>
                  <w:w w:val="93"/>
                </w:rPr>
                <w:t>Equity Incentive</w:t>
              </w:r>
            </w:hyperlink>
          </w:p>
        </w:tc>
        <w:tc>
          <w:tcPr>
            <w:tcW w:w="68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10.53†</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w w:val="98"/>
              </w:rPr>
            </w:pPr>
            <w:hyperlink w:anchor="page200">
              <w:r>
                <w:rPr>
                  <w:rFonts w:ascii="Arial" w:cs="Arial" w:eastAsia="Arial" w:hAnsi="Arial"/>
                  <w:sz w:val="16"/>
                  <w:szCs w:val="16"/>
                  <w:u w:val="single" w:color="auto"/>
                  <w:color w:val="0000FF"/>
                  <w:w w:val="98"/>
                </w:rPr>
                <w:t>Form of Restricted Stock Unit Award Agreement pursuant to the Amended &amp; Restated 2015 Equity Incentive Plan.</w:t>
              </w:r>
            </w:hyperlink>
          </w:p>
        </w:tc>
      </w:tr>
      <w:tr>
        <w:trPr>
          <w:trHeight w:val="289"/>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10.54†</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color w:val="0000FF"/>
                <w:w w:val="94"/>
              </w:rPr>
            </w:pPr>
            <w:hyperlink w:anchor="page207">
              <w:r>
                <w:rPr>
                  <w:rFonts w:ascii="Arial" w:cs="Arial" w:eastAsia="Arial" w:hAnsi="Arial"/>
                  <w:sz w:val="16"/>
                  <w:szCs w:val="16"/>
                  <w:color w:val="0000FF"/>
                  <w:w w:val="94"/>
                </w:rPr>
                <w:t xml:space="preserve">Form of Restricted </w:t>
              </w:r>
              <w:r>
                <w:rPr>
                  <w:rFonts w:ascii="Arial" w:cs="Arial" w:eastAsia="Arial" w:hAnsi="Arial"/>
                  <w:sz w:val="16"/>
                  <w:szCs w:val="16"/>
                  <w:u w:val="single" w:color="auto"/>
                  <w:color w:val="0000FF"/>
                  <w:w w:val="94"/>
                </w:rPr>
                <w:t>Stock Unit Award Agreement Performance-Based (TSR) pursuant to the</w:t>
              </w:r>
              <w:r>
                <w:rPr>
                  <w:rFonts w:ascii="Arial" w:cs="Arial" w:eastAsia="Arial" w:hAnsi="Arial"/>
                  <w:sz w:val="16"/>
                  <w:szCs w:val="16"/>
                  <w:color w:val="0000FF"/>
                  <w:w w:val="94"/>
                </w:rPr>
                <w:t xml:space="preserve"> Amended &amp; Restated 2015</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60" w:type="dxa"/>
            <w:vAlign w:val="bottom"/>
            <w:gridSpan w:val="25"/>
          </w:tcPr>
          <w:p>
            <w:pPr>
              <w:spacing w:after="0" w:line="142" w:lineRule="exact"/>
              <w:rPr>
                <w:rFonts w:ascii="Arial" w:cs="Arial" w:eastAsia="Arial" w:hAnsi="Arial"/>
                <w:sz w:val="16"/>
                <w:szCs w:val="16"/>
                <w:color w:val="0000FF"/>
              </w:rPr>
            </w:pPr>
            <w:hyperlink w:anchor="page207">
              <w:r>
                <w:rPr>
                  <w:rFonts w:ascii="Arial" w:cs="Arial" w:eastAsia="Arial" w:hAnsi="Arial"/>
                  <w:sz w:val="16"/>
                  <w:szCs w:val="16"/>
                  <w:color w:val="0000FF"/>
                </w:rPr>
                <w:t>Equity Incentive Plan.</w:t>
              </w:r>
            </w:hyperlink>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10.55†</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color w:val="0000FF"/>
                <w:w w:val="99"/>
              </w:rPr>
            </w:pPr>
            <w:hyperlink r:id="rId162">
              <w:r>
                <w:rPr>
                  <w:rFonts w:ascii="Arial" w:cs="Arial" w:eastAsia="Arial" w:hAnsi="Arial"/>
                  <w:sz w:val="16"/>
                  <w:szCs w:val="16"/>
                  <w:color w:val="0000FF"/>
                  <w:w w:val="99"/>
                </w:rPr>
                <w:t>Form of Restricted Stock Unit Time-Based Award Agreement pursuant to the Eldorado Resorts, Inc. 2015 Equity</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1"/>
              </w:rPr>
            </w:pPr>
            <w:hyperlink r:id="rId162">
              <w:r>
                <w:rPr>
                  <w:rFonts w:ascii="Arial" w:cs="Arial" w:eastAsia="Arial" w:hAnsi="Arial"/>
                  <w:sz w:val="16"/>
                  <w:szCs w:val="16"/>
                  <w:color w:val="0000FF"/>
                  <w:w w:val="91"/>
                </w:rPr>
                <w:t>Incentive Plan.</w:t>
              </w:r>
            </w:hyperlink>
          </w:p>
        </w:tc>
        <w:tc>
          <w:tcPr>
            <w:tcW w:w="688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10.56†</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5"/>
              </w:rPr>
            </w:pPr>
            <w:hyperlink r:id="rId163">
              <w:r>
                <w:rPr>
                  <w:rFonts w:ascii="Arial" w:cs="Arial" w:eastAsia="Arial" w:hAnsi="Arial"/>
                  <w:sz w:val="16"/>
                  <w:szCs w:val="16"/>
                  <w:color w:val="0000FF"/>
                  <w:w w:val="95"/>
                </w:rPr>
                <w:t>Form of Director Restricted Stock Unit Award Agreement pursuant to the Eldorado Resorts, Inc. 2015 Equity Incentive</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7"/>
              </w:rPr>
            </w:pPr>
            <w:hyperlink r:id="rId163">
              <w:r>
                <w:rPr>
                  <w:rFonts w:ascii="Arial" w:cs="Arial" w:eastAsia="Arial" w:hAnsi="Arial"/>
                  <w:sz w:val="16"/>
                  <w:szCs w:val="16"/>
                  <w:color w:val="0000FF"/>
                  <w:w w:val="87"/>
                </w:rPr>
                <w:t>Plan.</w:t>
              </w:r>
            </w:hyperlink>
          </w:p>
        </w:tc>
        <w:tc>
          <w:tcPr>
            <w:tcW w:w="744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49"/>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10.57†</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u w:val="single" w:color="auto"/>
                <w:color w:val="0000FF"/>
                <w:w w:val="95"/>
              </w:rPr>
            </w:pPr>
            <w:hyperlink r:id="rId164">
              <w:r>
                <w:rPr>
                  <w:rFonts w:ascii="Arial" w:cs="Arial" w:eastAsia="Arial" w:hAnsi="Arial"/>
                  <w:sz w:val="16"/>
                  <w:szCs w:val="16"/>
                  <w:u w:val="single" w:color="auto"/>
                  <w:color w:val="0000FF"/>
                  <w:w w:val="95"/>
                </w:rPr>
                <w:t>Form of Performance Stock Unit Award Agreement pursuant to the Eldorado Resorts, Inc. 2015 Equity Incentive Plan.</w:t>
              </w:r>
            </w:hyperlink>
          </w:p>
        </w:tc>
      </w:tr>
      <w:tr>
        <w:trPr>
          <w:trHeight w:val="398"/>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10.58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color w:val="0000FF"/>
              </w:rPr>
            </w:pPr>
            <w:hyperlink r:id="rId165">
              <w:r>
                <w:rPr>
                  <w:rFonts w:ascii="Arial" w:cs="Arial" w:eastAsia="Arial" w:hAnsi="Arial"/>
                  <w:sz w:val="16"/>
                  <w:szCs w:val="16"/>
                  <w:color w:val="0000FF"/>
                </w:rPr>
                <w:t>Registration Rights Agreement, dated as of May 1, 2017, by and among Eldorado Resorts, Inc., Recreational</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4"/>
              </w:rPr>
            </w:pPr>
            <w:hyperlink r:id="rId165">
              <w:r>
                <w:rPr>
                  <w:rFonts w:ascii="Arial" w:cs="Arial" w:eastAsia="Arial" w:hAnsi="Arial"/>
                  <w:sz w:val="16"/>
                  <w:szCs w:val="16"/>
                  <w:color w:val="0000FF"/>
                  <w:w w:val="94"/>
                </w:rPr>
                <w:t>Enterprises, Inc., GFIL Holdings, LLC and certain of its affiliates.</w:t>
              </w:r>
            </w:hyperlink>
          </w:p>
        </w:tc>
        <w:tc>
          <w:tcPr>
            <w:tcW w:w="36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10.59†</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8"/>
              </w:rPr>
            </w:pPr>
            <w:hyperlink r:id="rId166">
              <w:r>
                <w:rPr>
                  <w:rFonts w:ascii="Arial" w:cs="Arial" w:eastAsia="Arial" w:hAnsi="Arial"/>
                  <w:sz w:val="16"/>
                  <w:szCs w:val="16"/>
                  <w:color w:val="0000FF"/>
                  <w:w w:val="98"/>
                </w:rPr>
                <w:t>Executive Employment Agreement, dated as of February 1, 2019, by and between Eldorado Resorts, Inc. and Bret</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0"/>
              </w:rPr>
            </w:pPr>
            <w:hyperlink r:id="rId166">
              <w:r>
                <w:rPr>
                  <w:rFonts w:ascii="Arial" w:cs="Arial" w:eastAsia="Arial" w:hAnsi="Arial"/>
                  <w:sz w:val="16"/>
                  <w:szCs w:val="16"/>
                  <w:color w:val="0000FF"/>
                  <w:w w:val="90"/>
                </w:rPr>
                <w:t>Yunker.</w:t>
              </w:r>
            </w:hyperlink>
          </w:p>
        </w:tc>
        <w:tc>
          <w:tcPr>
            <w:tcW w:w="740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10.60†</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6"/>
              </w:rPr>
            </w:pPr>
            <w:hyperlink r:id="rId167">
              <w:r>
                <w:rPr>
                  <w:rFonts w:ascii="Arial" w:cs="Arial" w:eastAsia="Arial" w:hAnsi="Arial"/>
                  <w:sz w:val="16"/>
                  <w:szCs w:val="16"/>
                  <w:color w:val="0000FF"/>
                  <w:w w:val="96"/>
                </w:rPr>
                <w:t>Amended and Restated Executive Employment Agreement, dated as of January 17, 2018, by and between Eldorado</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Resorts, Inc. and Gary Carano</w:t>
              </w:r>
            </w:hyperlink>
          </w:p>
        </w:tc>
        <w:tc>
          <w:tcPr>
            <w:tcW w:w="60" w:type="dxa"/>
            <w:vAlign w:val="bottom"/>
            <w:gridSpan w:val="3"/>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10.61†</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7"/>
              </w:rPr>
            </w:pPr>
            <w:hyperlink r:id="rId168">
              <w:r>
                <w:rPr>
                  <w:rFonts w:ascii="Arial" w:cs="Arial" w:eastAsia="Arial" w:hAnsi="Arial"/>
                  <w:sz w:val="16"/>
                  <w:szCs w:val="16"/>
                  <w:color w:val="0000FF"/>
                  <w:w w:val="97"/>
                </w:rPr>
                <w:t>Amendment No. 1 to Amended and Restated Employment Agreement, dated September 28, 2018, by and between</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0"/>
              </w:rPr>
            </w:pPr>
            <w:hyperlink r:id="rId168">
              <w:r>
                <w:rPr>
                  <w:rFonts w:ascii="Arial" w:cs="Arial" w:eastAsia="Arial" w:hAnsi="Arial"/>
                  <w:sz w:val="16"/>
                  <w:szCs w:val="16"/>
                  <w:color w:val="0000FF"/>
                  <w:w w:val="90"/>
                </w:rPr>
                <w:t>Gary Carano and Eldorado Resorts, Inc.</w:t>
              </w:r>
            </w:hyperlink>
          </w:p>
        </w:tc>
        <w:tc>
          <w:tcPr>
            <w:tcW w:w="520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10.62†</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6"/>
              </w:rPr>
            </w:pPr>
            <w:hyperlink r:id="rId169">
              <w:r>
                <w:rPr>
                  <w:rFonts w:ascii="Arial" w:cs="Arial" w:eastAsia="Arial" w:hAnsi="Arial"/>
                  <w:sz w:val="16"/>
                  <w:szCs w:val="16"/>
                  <w:color w:val="0000FF"/>
                  <w:w w:val="96"/>
                </w:rPr>
                <w:t>Amended and Restated Executive Employment Agreement, dated as of January 17, 2018, by and between Eldorado</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Resorts, Inc. and Thomas Reeg</w:t>
              </w:r>
            </w:hyperlink>
          </w:p>
        </w:tc>
        <w:tc>
          <w:tcPr>
            <w:tcW w:w="60" w:type="dxa"/>
            <w:vAlign w:val="bottom"/>
            <w:gridSpan w:val="3"/>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10.63†</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7"/>
              </w:rPr>
            </w:pPr>
            <w:hyperlink r:id="rId170">
              <w:r>
                <w:rPr>
                  <w:rFonts w:ascii="Arial" w:cs="Arial" w:eastAsia="Arial" w:hAnsi="Arial"/>
                  <w:sz w:val="16"/>
                  <w:szCs w:val="16"/>
                  <w:color w:val="0000FF"/>
                  <w:w w:val="97"/>
                </w:rPr>
                <w:t>Amendment No. 1 to Amended and Restated Employment Agreement, dated September 28, 2018, by and between</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Thomas Reeg and Eldorado Resorts,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91"/>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10.64†</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color w:val="0000FF"/>
                <w:w w:val="96"/>
              </w:rPr>
            </w:pPr>
            <w:hyperlink r:id="rId171">
              <w:r>
                <w:rPr>
                  <w:rFonts w:ascii="Arial" w:cs="Arial" w:eastAsia="Arial" w:hAnsi="Arial"/>
                  <w:sz w:val="16"/>
                  <w:szCs w:val="16"/>
                  <w:color w:val="0000FF"/>
                  <w:w w:val="96"/>
                </w:rPr>
                <w:t>Amended and Restated Executive Employment Agreement, dated as of January 17, 2018, by and between Eldorado</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Resorts, Inc. and Anthony Carano</w:t>
              </w:r>
            </w:hyperlink>
          </w:p>
        </w:tc>
        <w:tc>
          <w:tcPr>
            <w:tcW w:w="60" w:type="dxa"/>
            <w:vAlign w:val="bottom"/>
            <w:gridSpan w:val="3"/>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10.65†</w:t>
            </w: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7"/>
              </w:rPr>
            </w:pPr>
            <w:hyperlink r:id="rId172">
              <w:r>
                <w:rPr>
                  <w:rFonts w:ascii="Arial" w:cs="Arial" w:eastAsia="Arial" w:hAnsi="Arial"/>
                  <w:sz w:val="16"/>
                  <w:szCs w:val="16"/>
                  <w:color w:val="0000FF"/>
                  <w:w w:val="97"/>
                </w:rPr>
                <w:t>Amendment No. 1 to Amended and Restated Employment Agreement, dated September 28, 2018, by and between</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Anthony Carano and Eldorado Resorts,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502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9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10.66†</w:t>
            </w:r>
          </w:p>
        </w:tc>
        <w:tc>
          <w:tcPr>
            <w:tcW w:w="20" w:type="dxa"/>
            <w:vAlign w:val="bottom"/>
          </w:tcPr>
          <w:p>
            <w:pPr>
              <w:spacing w:after="0"/>
              <w:rPr>
                <w:sz w:val="24"/>
                <w:szCs w:val="24"/>
                <w:color w:val="auto"/>
              </w:rPr>
            </w:pPr>
          </w:p>
        </w:tc>
        <w:tc>
          <w:tcPr>
            <w:tcW w:w="7960" w:type="dxa"/>
            <w:vAlign w:val="bottom"/>
            <w:gridSpan w:val="25"/>
          </w:tcPr>
          <w:p>
            <w:pPr>
              <w:spacing w:after="0"/>
              <w:rPr>
                <w:rFonts w:ascii="Arial" w:cs="Arial" w:eastAsia="Arial" w:hAnsi="Arial"/>
                <w:sz w:val="16"/>
                <w:szCs w:val="16"/>
                <w:color w:val="0000FF"/>
                <w:w w:val="96"/>
              </w:rPr>
            </w:pPr>
            <w:hyperlink r:id="rId173">
              <w:r>
                <w:rPr>
                  <w:rFonts w:ascii="Arial" w:cs="Arial" w:eastAsia="Arial" w:hAnsi="Arial"/>
                  <w:sz w:val="16"/>
                  <w:szCs w:val="16"/>
                  <w:color w:val="0000FF"/>
                  <w:w w:val="96"/>
                </w:rPr>
                <w:t>Amended and Restated Executive Employment Agreement, dated as of January 17, 2018, by and between Eldorado</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Resorts, Inc. and Edmund L. Quatmann, Jr.</w:t>
              </w:r>
            </w:hyperlink>
          </w:p>
        </w:tc>
        <w:tc>
          <w:tcPr>
            <w:tcW w:w="60" w:type="dxa"/>
            <w:vAlign w:val="bottom"/>
            <w:gridSpan w:val="3"/>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5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60" w:type="dxa"/>
            <w:vAlign w:val="bottom"/>
            <w:gridSpan w:val="25"/>
          </w:tcPr>
          <w:p>
            <w:pPr>
              <w:spacing w:after="0"/>
              <w:rPr>
                <w:rFonts w:ascii="Arial" w:cs="Arial" w:eastAsia="Arial" w:hAnsi="Arial"/>
                <w:sz w:val="16"/>
                <w:szCs w:val="16"/>
                <w:color w:val="0000FF"/>
                <w:w w:val="93"/>
              </w:rPr>
            </w:pPr>
            <w:hyperlink r:id="rId174">
              <w:r>
                <w:rPr>
                  <w:rFonts w:ascii="Arial" w:cs="Arial" w:eastAsia="Arial" w:hAnsi="Arial"/>
                  <w:sz w:val="16"/>
                  <w:szCs w:val="16"/>
                  <w:color w:val="0000FF"/>
                  <w:w w:val="93"/>
                </w:rPr>
                <w:t>Amended and Restated Omnibus Amendment to Leases, dated as of October 27, 2020, by and among the entities listed</w:t>
              </w:r>
            </w:hyperlink>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2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w w:val="95"/>
              </w:rPr>
            </w:pPr>
            <w:hyperlink r:id="rId174">
              <w:r>
                <w:rPr>
                  <w:rFonts w:ascii="Arial" w:cs="Arial" w:eastAsia="Arial" w:hAnsi="Arial"/>
                  <w:sz w:val="16"/>
                  <w:szCs w:val="16"/>
                  <w:color w:val="0000FF"/>
                  <w:w w:val="95"/>
                </w:rPr>
                <w:t>on schedule A thereto, CPLV Property Owner LLC, Claudine Propco LLC, Harrah’s Joliet Landco LLC, CEOC, LLC,</w:t>
              </w:r>
            </w:hyperlink>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40" w:type="dxa"/>
            <w:vAlign w:val="bottom"/>
            <w:gridSpan w:val="19"/>
          </w:tcPr>
          <w:p>
            <w:pPr>
              <w:spacing w:after="0" w:line="142" w:lineRule="exact"/>
              <w:rPr>
                <w:rFonts w:ascii="Arial" w:cs="Arial" w:eastAsia="Arial" w:hAnsi="Arial"/>
                <w:sz w:val="16"/>
                <w:szCs w:val="16"/>
                <w:color w:val="0000FF"/>
                <w:w w:val="94"/>
              </w:rPr>
            </w:pPr>
            <w:hyperlink r:id="rId174">
              <w:r>
                <w:rPr>
                  <w:rFonts w:ascii="Arial" w:cs="Arial" w:eastAsia="Arial" w:hAnsi="Arial"/>
                  <w:sz w:val="16"/>
                  <w:szCs w:val="16"/>
                  <w:color w:val="0000FF"/>
                  <w:w w:val="94"/>
                </w:rPr>
                <w:t>the entities listed on schedule B thereto, Desert Palace LLC, Harrah’s Las Vegas, LLC and Des Plaines Development</w:t>
              </w:r>
            </w:hyperlink>
          </w:p>
        </w:tc>
        <w:tc>
          <w:tcPr>
            <w:tcW w:w="120" w:type="dxa"/>
            <w:vAlign w:val="bottom"/>
            <w:gridSpan w:val="6"/>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74">
              <w:r>
                <w:rPr>
                  <w:rFonts w:ascii="Arial" w:cs="Arial" w:eastAsia="Arial" w:hAnsi="Arial"/>
                  <w:sz w:val="16"/>
                  <w:szCs w:val="16"/>
                  <w:color w:val="0000FF"/>
                  <w:w w:val="92"/>
                </w:rPr>
                <w:t>Limited Partnership.</w:t>
              </w:r>
            </w:hyperlink>
          </w:p>
        </w:tc>
        <w:tc>
          <w:tcPr>
            <w:tcW w:w="658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551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4"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Previously filed on Form 8-K filed by Caesars Holdings, Inc. on April 6, 2018.</w:t>
      </w:r>
    </w:p>
    <w:p>
      <w:pPr>
        <w:spacing w:after="0" w:line="65"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Previously filed on Form S-8 filed by Caesars Holdings, Inc. on December 13, 2018.</w:t>
      </w:r>
    </w:p>
    <w:p>
      <w:pPr>
        <w:spacing w:after="0" w:line="65"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Previously filed on Form S-8 filed by Caesars Holdings, Inc. on December 13, 2018.</w:t>
      </w:r>
    </w:p>
    <w:p>
      <w:pPr>
        <w:spacing w:after="0" w:line="65"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Previously filed on Form 8-K filed by Caesars Acquisition Company on April 16, 2014.</w:t>
      </w:r>
    </w:p>
    <w:p>
      <w:pPr>
        <w:spacing w:after="0" w:line="65"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Previously filed on Form S-8 POS filed on June 29, 2019.</w:t>
      </w:r>
    </w:p>
    <w:p>
      <w:pPr>
        <w:spacing w:after="0" w:line="105"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10-Q filed on November 9, 2020.</w:t>
      </w:r>
    </w:p>
    <w:p>
      <w:pPr>
        <w:spacing w:after="0" w:line="6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10-K filed on February 28, 2020.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9"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10-K filed on February 28, 2020.</w:t>
      </w:r>
    </w:p>
    <w:p>
      <w:pPr>
        <w:spacing w:after="0" w:line="64" w:lineRule="exact"/>
        <w:rPr>
          <w:sz w:val="20"/>
          <w:szCs w:val="20"/>
          <w:color w:val="auto"/>
        </w:rPr>
      </w:pPr>
    </w:p>
    <w:p>
      <w:pPr>
        <w:ind w:right="320"/>
        <w:spacing w:after="0" w:line="225" w:lineRule="auto"/>
        <w:rPr>
          <w:sz w:val="20"/>
          <w:szCs w:val="20"/>
          <w:color w:val="auto"/>
        </w:rPr>
      </w:pPr>
      <w:r>
        <w:rPr>
          <w:rFonts w:ascii="Arial" w:cs="Arial" w:eastAsia="Arial" w:hAnsi="Arial"/>
          <w:sz w:val="16"/>
          <w:szCs w:val="16"/>
          <w:color w:val="auto"/>
        </w:rPr>
        <w:t>Previously filed on Registration Statement Form S-1 filed by Eldorado Resorts, Inc. June 14, 2015.</w:t>
      </w:r>
    </w:p>
    <w:p>
      <w:pPr>
        <w:spacing w:after="0" w:line="10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10-K filed on March 1, 2019.</w:t>
      </w:r>
    </w:p>
    <w:p>
      <w:pPr>
        <w:spacing w:after="0" w:line="64"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Previously filed on Form 8-K filed on May 1, 2017.</w:t>
      </w:r>
    </w:p>
    <w:p>
      <w:pPr>
        <w:spacing w:after="0" w:line="64"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Previously filed on Form 8-K on February 5, 2019.</w:t>
      </w:r>
    </w:p>
    <w:p>
      <w:pPr>
        <w:spacing w:after="0" w:line="64"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Previously filed on Form 8-K on January 22, 2019.</w:t>
      </w:r>
    </w:p>
    <w:p>
      <w:pPr>
        <w:spacing w:after="0" w:line="64"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Previously filed on Form 8-K on October 1, 2018.</w:t>
      </w:r>
    </w:p>
    <w:p>
      <w:pPr>
        <w:spacing w:after="0" w:line="64"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Previously filed on Form 8-K filed on January 22, 2018.</w:t>
      </w:r>
    </w:p>
    <w:p>
      <w:pPr>
        <w:spacing w:after="0" w:line="64"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Previously filed on Form 8-K filed on October 1, 2018.</w:t>
      </w:r>
    </w:p>
    <w:p>
      <w:pPr>
        <w:spacing w:after="0" w:line="105"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Previously filed on Form 8-K filed on January 22, 2018.</w:t>
      </w:r>
    </w:p>
    <w:p>
      <w:pPr>
        <w:spacing w:after="0" w:line="64"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Previously filed on Form 8-K filed on October 1, 2018.</w:t>
      </w:r>
    </w:p>
    <w:p>
      <w:pPr>
        <w:spacing w:after="0" w:line="105"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10-K filed on February 27, 2018.</w:t>
      </w:r>
    </w:p>
    <w:p>
      <w:pPr>
        <w:spacing w:after="0" w:line="6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Previously filed on Form 10-Q filed on November 9, 2020.</w:t>
      </w:r>
    </w:p>
    <w:p>
      <w:pPr>
        <w:spacing w:after="0" w:line="503" w:lineRule="exact"/>
        <w:rPr>
          <w:sz w:val="20"/>
          <w:szCs w:val="20"/>
          <w:color w:val="auto"/>
        </w:rPr>
      </w:pPr>
    </w:p>
    <w:p>
      <w:pPr>
        <w:sectPr>
          <w:pgSz w:w="11900" w:h="16838" w:orient="portrait"/>
          <w:cols w:equalWidth="0" w:num="2">
            <w:col w:w="8700" w:space="120"/>
            <w:col w:w="2380"/>
          </w:cols>
          <w:pgMar w:left="320" w:top="1251" w:right="37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tcPr>
          <w:p>
            <w:pPr>
              <w:spacing w:after="0"/>
              <w:rPr>
                <w:sz w:val="17"/>
                <w:szCs w:val="17"/>
                <w:color w:val="auto"/>
              </w:rPr>
            </w:pPr>
          </w:p>
        </w:tc>
        <w:tc>
          <w:tcPr>
            <w:tcW w:w="24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w w:val="89"/>
              </w:rPr>
              <w:t>10.68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gridSpan w:val="9"/>
          </w:tcPr>
          <w:p>
            <w:pPr>
              <w:spacing w:after="0" w:line="175" w:lineRule="exact"/>
              <w:rPr>
                <w:rFonts w:ascii="Arial" w:cs="Arial" w:eastAsia="Arial" w:hAnsi="Arial"/>
                <w:sz w:val="16"/>
                <w:szCs w:val="16"/>
                <w:color w:val="0000FF"/>
                <w:w w:val="94"/>
              </w:rPr>
            </w:pPr>
            <w:hyperlink r:id="rId177">
              <w:r>
                <w:rPr>
                  <w:rFonts w:ascii="Arial" w:cs="Arial" w:eastAsia="Arial" w:hAnsi="Arial"/>
                  <w:sz w:val="16"/>
                  <w:szCs w:val="16"/>
                  <w:color w:val="0000FF"/>
                  <w:w w:val="94"/>
                </w:rPr>
                <w:t>Amended and Restated Master Lease, dated as of June 15, 2020, by and between Tropicana Entertainment, Inc. and</w:t>
              </w:r>
            </w:hyperlink>
          </w:p>
        </w:tc>
        <w:tc>
          <w:tcPr>
            <w:tcW w:w="2440" w:type="dxa"/>
            <w:vAlign w:val="bottom"/>
          </w:tcPr>
          <w:p>
            <w:pPr>
              <w:ind w:left="20"/>
              <w:spacing w:after="0" w:line="175" w:lineRule="exact"/>
              <w:rPr>
                <w:sz w:val="20"/>
                <w:szCs w:val="20"/>
                <w:color w:val="auto"/>
              </w:rPr>
            </w:pPr>
            <w:r>
              <w:rPr>
                <w:rFonts w:ascii="Arial" w:cs="Arial" w:eastAsia="Arial" w:hAnsi="Arial"/>
                <w:sz w:val="16"/>
                <w:szCs w:val="16"/>
                <w:color w:val="auto"/>
              </w:rPr>
              <w:t>Previously filed on Form 8- K filed</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77">
              <w:r>
                <w:rPr>
                  <w:rFonts w:ascii="Arial" w:cs="Arial" w:eastAsia="Arial" w:hAnsi="Arial"/>
                  <w:sz w:val="16"/>
                  <w:szCs w:val="16"/>
                  <w:color w:val="0000FF"/>
                  <w:w w:val="92"/>
                </w:rPr>
                <w:t>GLP Capital L.P.</w:t>
              </w:r>
            </w:hyperlink>
          </w:p>
        </w:tc>
        <w:tc>
          <w:tcPr>
            <w:tcW w:w="66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440" w:type="dxa"/>
            <w:vAlign w:val="bottom"/>
          </w:tcPr>
          <w:p>
            <w:pPr>
              <w:ind w:left="20"/>
              <w:spacing w:after="0" w:line="142" w:lineRule="exact"/>
              <w:rPr>
                <w:sz w:val="20"/>
                <w:szCs w:val="20"/>
                <w:color w:val="auto"/>
              </w:rPr>
            </w:pPr>
            <w:r>
              <w:rPr>
                <w:rFonts w:ascii="Arial" w:cs="Arial" w:eastAsia="Arial" w:hAnsi="Arial"/>
                <w:sz w:val="16"/>
                <w:szCs w:val="16"/>
                <w:color w:val="auto"/>
              </w:rPr>
              <w:t>on June 15, 2020.</w:t>
            </w:r>
          </w:p>
        </w:tc>
        <w:tc>
          <w:tcPr>
            <w:tcW w:w="0" w:type="dxa"/>
            <w:vAlign w:val="bottom"/>
          </w:tcPr>
          <w:p>
            <w:pPr>
              <w:spacing w:after="0"/>
              <w:rPr>
                <w:sz w:val="1"/>
                <w:szCs w:val="1"/>
                <w:color w:val="auto"/>
              </w:rPr>
            </w:pPr>
          </w:p>
        </w:tc>
      </w:tr>
      <w:tr>
        <w:trPr>
          <w:trHeight w:val="250"/>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10.69w</w:t>
            </w:r>
          </w:p>
        </w:tc>
        <w:tc>
          <w:tcPr>
            <w:tcW w:w="20" w:type="dxa"/>
            <w:vAlign w:val="bottom"/>
          </w:tcPr>
          <w:p>
            <w:pPr>
              <w:spacing w:after="0"/>
              <w:rPr>
                <w:sz w:val="21"/>
                <w:szCs w:val="21"/>
                <w:color w:val="auto"/>
              </w:rPr>
            </w:pPr>
          </w:p>
        </w:tc>
        <w:tc>
          <w:tcPr>
            <w:tcW w:w="7900" w:type="dxa"/>
            <w:vAlign w:val="bottom"/>
            <w:gridSpan w:val="9"/>
          </w:tcPr>
          <w:p>
            <w:pPr>
              <w:spacing w:after="0"/>
              <w:rPr>
                <w:rFonts w:ascii="Arial" w:cs="Arial" w:eastAsia="Arial" w:hAnsi="Arial"/>
                <w:sz w:val="16"/>
                <w:szCs w:val="16"/>
                <w:color w:val="0000FF"/>
                <w:w w:val="96"/>
              </w:rPr>
            </w:pPr>
            <w:hyperlink r:id="rId178">
              <w:r>
                <w:rPr>
                  <w:rFonts w:ascii="Arial" w:cs="Arial" w:eastAsia="Arial" w:hAnsi="Arial"/>
                  <w:sz w:val="16"/>
                  <w:szCs w:val="16"/>
                  <w:color w:val="0000FF"/>
                  <w:w w:val="96"/>
                </w:rPr>
                <w:t>UK Interim Facilities Agreement dates as of October 6, 2020, by and among a subsidiary of Caesars Entertainment,</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Previously filed on Form 8-K on</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1"/>
              </w:rPr>
            </w:pPr>
            <w:hyperlink r:id="rId178">
              <w:r>
                <w:rPr>
                  <w:rFonts w:ascii="Arial" w:cs="Arial" w:eastAsia="Arial" w:hAnsi="Arial"/>
                  <w:sz w:val="16"/>
                  <w:szCs w:val="16"/>
                  <w:color w:val="0000FF"/>
                  <w:w w:val="91"/>
                </w:rPr>
                <w:t>Inc.. Deutsche Bank AG. London Branch and JPMorgan Chase Bank, N.A., as arrangers.</w:t>
              </w:r>
            </w:hyperlink>
          </w:p>
        </w:tc>
        <w:tc>
          <w:tcPr>
            <w:tcW w:w="2020" w:type="dxa"/>
            <w:vAlign w:val="bottom"/>
            <w:tcBorders>
              <w:top w:val="single" w:sz="8" w:color="0000FF"/>
            </w:tcBorders>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440" w:type="dxa"/>
            <w:vAlign w:val="bottom"/>
          </w:tcPr>
          <w:p>
            <w:pPr>
              <w:ind w:left="20"/>
              <w:spacing w:after="0" w:line="142" w:lineRule="exact"/>
              <w:rPr>
                <w:sz w:val="20"/>
                <w:szCs w:val="20"/>
                <w:color w:val="auto"/>
              </w:rPr>
            </w:pPr>
            <w:r>
              <w:rPr>
                <w:rFonts w:ascii="Arial" w:cs="Arial" w:eastAsia="Arial" w:hAnsi="Arial"/>
                <w:sz w:val="16"/>
                <w:szCs w:val="16"/>
                <w:color w:val="auto"/>
              </w:rPr>
              <w:t>October 8, 2020.</w:t>
            </w:r>
          </w:p>
        </w:tc>
        <w:tc>
          <w:tcPr>
            <w:tcW w:w="0" w:type="dxa"/>
            <w:vAlign w:val="bottom"/>
          </w:tcPr>
          <w:p>
            <w:pPr>
              <w:spacing w:after="0"/>
              <w:rPr>
                <w:sz w:val="1"/>
                <w:szCs w:val="1"/>
                <w:color w:val="auto"/>
              </w:rPr>
            </w:pPr>
          </w:p>
        </w:tc>
      </w:tr>
      <w:tr>
        <w:trPr>
          <w:trHeight w:val="285"/>
        </w:trPr>
        <w:tc>
          <w:tcPr>
            <w:tcW w:w="8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17">
              <w:r>
                <w:rPr>
                  <w:rFonts w:ascii="Arial" w:cs="Arial" w:eastAsia="Arial" w:hAnsi="Arial"/>
                  <w:sz w:val="16"/>
                  <w:szCs w:val="16"/>
                  <w:u w:val="single" w:color="auto"/>
                  <w:color w:val="0000FF"/>
                </w:rPr>
                <w:t>Code of Ethics and Business Conduct</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39">
              <w:r>
                <w:rPr>
                  <w:rFonts w:ascii="Arial" w:cs="Arial" w:eastAsia="Arial" w:hAnsi="Arial"/>
                  <w:sz w:val="16"/>
                  <w:szCs w:val="16"/>
                  <w:u w:val="single" w:color="auto"/>
                  <w:color w:val="0000FF"/>
                </w:rPr>
                <w:t>Subsidiaries of the Registrant</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83"/>
        </w:trPr>
        <w:tc>
          <w:tcPr>
            <w:tcW w:w="80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46">
              <w:r>
                <w:rPr>
                  <w:rFonts w:ascii="Arial" w:cs="Arial" w:eastAsia="Arial" w:hAnsi="Arial"/>
                  <w:sz w:val="16"/>
                  <w:szCs w:val="16"/>
                  <w:u w:val="single" w:color="auto"/>
                  <w:color w:val="0000FF"/>
                </w:rPr>
                <w:t>Consent of Deloitte &amp; Touche LLP</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00" w:type="dxa"/>
            <w:vAlign w:val="bottom"/>
            <w:gridSpan w:val="9"/>
          </w:tcPr>
          <w:p>
            <w:pPr>
              <w:spacing w:after="0"/>
              <w:rPr>
                <w:rFonts w:ascii="Arial" w:cs="Arial" w:eastAsia="Arial" w:hAnsi="Arial"/>
                <w:sz w:val="16"/>
                <w:szCs w:val="16"/>
                <w:color w:val="0000FF"/>
              </w:rPr>
            </w:pPr>
            <w:hyperlink w:anchor="page247">
              <w:r>
                <w:rPr>
                  <w:rFonts w:ascii="Arial" w:cs="Arial" w:eastAsia="Arial" w:hAnsi="Arial"/>
                  <w:sz w:val="16"/>
                  <w:szCs w:val="16"/>
                  <w:color w:val="0000FF"/>
                </w:rPr>
                <w:t xml:space="preserve">Consent of Ernst &amp; </w:t>
              </w:r>
              <w:r>
                <w:rPr>
                  <w:rFonts w:ascii="Arial" w:cs="Arial" w:eastAsia="Arial" w:hAnsi="Arial"/>
                  <w:sz w:val="16"/>
                  <w:szCs w:val="16"/>
                  <w:u w:val="single" w:color="auto"/>
                  <w:color w:val="0000FF"/>
                </w:rPr>
                <w:t>Young LLP</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line="20" w:lineRule="exact"/>
              <w:rPr>
                <w:sz w:val="1"/>
                <w:szCs w:val="1"/>
                <w:color w:val="auto"/>
              </w:rPr>
            </w:pPr>
          </w:p>
        </w:tc>
      </w:tr>
      <w:tr>
        <w:trPr>
          <w:trHeight w:val="312"/>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48">
              <w:r>
                <w:rPr>
                  <w:rFonts w:ascii="Arial" w:cs="Arial" w:eastAsia="Arial" w:hAnsi="Arial"/>
                  <w:sz w:val="16"/>
                  <w:szCs w:val="16"/>
                  <w:u w:val="single" w:color="auto"/>
                  <w:color w:val="0000FF"/>
                </w:rPr>
                <w:t>Certification of Thomas R. Reeg pursuant to Rule 13a-14a and Rule 15d-14(a)</w:t>
              </w:r>
            </w:hyperlink>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00" w:type="dxa"/>
            <w:vAlign w:val="bottom"/>
            <w:gridSpan w:val="9"/>
          </w:tcPr>
          <w:p>
            <w:pPr>
              <w:spacing w:after="0"/>
              <w:rPr>
                <w:rFonts w:ascii="Arial" w:cs="Arial" w:eastAsia="Arial" w:hAnsi="Arial"/>
                <w:sz w:val="16"/>
                <w:szCs w:val="16"/>
                <w:color w:val="0000FF"/>
              </w:rPr>
            </w:pPr>
            <w:hyperlink w:anchor="page249">
              <w:r>
                <w:rPr>
                  <w:rFonts w:ascii="Arial" w:cs="Arial" w:eastAsia="Arial" w:hAnsi="Arial"/>
                  <w:sz w:val="16"/>
                  <w:szCs w:val="16"/>
                  <w:u w:val="single" w:color="auto"/>
                  <w:color w:val="0000FF"/>
                </w:rPr>
                <w:t>Certification of Bret Yunker pursuant to Rule 13a</w:t>
              </w:r>
              <w:r>
                <w:rPr>
                  <w:rFonts w:ascii="Arial" w:cs="Arial" w:eastAsia="Arial" w:hAnsi="Arial"/>
                  <w:sz w:val="16"/>
                  <w:szCs w:val="16"/>
                  <w:color w:val="0000FF"/>
                </w:rPr>
                <w:t>-14a and Rule 15d-</w:t>
              </w:r>
              <w:r>
                <w:rPr>
                  <w:rFonts w:ascii="Arial" w:cs="Arial" w:eastAsia="Arial" w:hAnsi="Arial"/>
                  <w:sz w:val="16"/>
                  <w:szCs w:val="16"/>
                  <w:u w:val="single" w:color="auto"/>
                  <w:color w:val="0000FF"/>
                </w:rPr>
                <w:t>14(a)</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50">
              <w:r>
                <w:rPr>
                  <w:rFonts w:ascii="Arial" w:cs="Arial" w:eastAsia="Arial" w:hAnsi="Arial"/>
                  <w:sz w:val="16"/>
                  <w:szCs w:val="16"/>
                  <w:u w:val="single" w:color="auto"/>
                  <w:color w:val="0000FF"/>
                </w:rPr>
                <w:t>Certification of Thomas R. Reeg in accordance with 18 U.S.C. Section 1350</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51">
              <w:r>
                <w:rPr>
                  <w:rFonts w:ascii="Arial" w:cs="Arial" w:eastAsia="Arial" w:hAnsi="Arial"/>
                  <w:sz w:val="16"/>
                  <w:szCs w:val="16"/>
                  <w:u w:val="single" w:color="auto"/>
                  <w:color w:val="0000FF"/>
                </w:rPr>
                <w:t>Certification of Bret Yunker in accordance with 18 U.S.C. Section 1350</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52">
              <w:r>
                <w:rPr>
                  <w:rFonts w:ascii="Arial" w:cs="Arial" w:eastAsia="Arial" w:hAnsi="Arial"/>
                  <w:sz w:val="16"/>
                  <w:szCs w:val="16"/>
                  <w:u w:val="single" w:color="auto"/>
                  <w:color w:val="0000FF"/>
                </w:rPr>
                <w:t>Gaming and Regulatory Overview</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rFonts w:ascii="Arial" w:cs="Arial" w:eastAsia="Arial" w:hAnsi="Arial"/>
                <w:sz w:val="16"/>
                <w:szCs w:val="16"/>
                <w:u w:val="single" w:color="auto"/>
                <w:color w:val="0000FF"/>
              </w:rPr>
            </w:pPr>
            <w:hyperlink w:anchor="page258">
              <w:r>
                <w:rPr>
                  <w:rFonts w:ascii="Arial" w:cs="Arial" w:eastAsia="Arial" w:hAnsi="Arial"/>
                  <w:sz w:val="16"/>
                  <w:szCs w:val="16"/>
                  <w:u w:val="single" w:color="auto"/>
                  <w:color w:val="0000FF"/>
                </w:rPr>
                <w:t>Financial Information of Caesars Resort Collection, LLC</w:t>
              </w:r>
            </w:hyperlink>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Inline XBRL Instance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00" w:type="dxa"/>
            <w:vAlign w:val="bottom"/>
            <w:gridSpan w:val="9"/>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244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49" w:lineRule="exact"/>
        <w:rPr>
          <w:sz w:val="20"/>
          <w:szCs w:val="20"/>
          <w:color w:val="auto"/>
        </w:rPr>
      </w:pPr>
    </w:p>
    <w:p>
      <w:pPr>
        <w:ind w:left="1360" w:hanging="1334"/>
        <w:spacing w:after="0"/>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32" w:lineRule="exact"/>
        <w:rPr>
          <w:sz w:val="20"/>
          <w:szCs w:val="20"/>
          <w:color w:val="auto"/>
        </w:rPr>
      </w:pPr>
    </w:p>
    <w:p>
      <w:pPr>
        <w:ind w:left="1360" w:hanging="1334"/>
        <w:spacing w:after="0"/>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schedules and exhibits have been omitted pursuant to Item 601(a)(5) of Regulation S-K.</w:t>
      </w:r>
    </w:p>
    <w:p>
      <w:pPr>
        <w:spacing w:after="0" w:line="32" w:lineRule="exact"/>
        <w:rPr>
          <w:sz w:val="20"/>
          <w:szCs w:val="20"/>
          <w:color w:val="auto"/>
        </w:rPr>
      </w:pPr>
    </w:p>
    <w:p>
      <w:pPr>
        <w:ind w:left="1360" w:right="100" w:hanging="1334"/>
        <w:spacing w:after="0"/>
        <w:tabs>
          <w:tab w:leader="none" w:pos="1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Item 601(b)(10)(iv) of Regulation S-K because such information is (i) not material and (ii) could be competitively harmful if publicly disclosed.</w:t>
      </w:r>
    </w:p>
    <w:p>
      <w:pPr>
        <w:spacing w:after="0" w:line="10" w:lineRule="exact"/>
        <w:rPr>
          <w:sz w:val="20"/>
          <w:szCs w:val="20"/>
          <w:color w:val="auto"/>
        </w:rPr>
      </w:pPr>
    </w:p>
    <w:p>
      <w:pPr>
        <w:ind w:left="1360" w:hanging="1334"/>
        <w:spacing w:after="0"/>
        <w:tabs>
          <w:tab w:leader="none" w:pos="1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Annexes, schedules and/or exhibits have been omitted pursuant to Item 601(b)(2)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CAESARS ENTERTAINMENT, INC.</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ind w:left="56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R. Reeg</w:t>
            </w:r>
          </w:p>
        </w:tc>
        <w:tc>
          <w:tcPr>
            <w:tcW w:w="0" w:type="dxa"/>
            <w:vAlign w:val="bottom"/>
          </w:tcPr>
          <w:p>
            <w:pPr>
              <w:spacing w:after="0"/>
              <w:rPr>
                <w:sz w:val="1"/>
                <w:szCs w:val="1"/>
                <w:color w:val="auto"/>
              </w:rPr>
            </w:pPr>
          </w:p>
        </w:tc>
      </w:tr>
      <w:tr>
        <w:trPr>
          <w:trHeight w:val="169"/>
        </w:trPr>
        <w:tc>
          <w:tcPr>
            <w:tcW w:w="6100" w:type="dxa"/>
            <w:vAlign w:val="bottom"/>
            <w:vMerge w:val="restart"/>
          </w:tcPr>
          <w:p>
            <w:pPr>
              <w:spacing w:after="0"/>
              <w:rPr>
                <w:sz w:val="20"/>
                <w:szCs w:val="20"/>
                <w:color w:val="auto"/>
              </w:rPr>
            </w:pPr>
            <w:r>
              <w:rPr>
                <w:rFonts w:ascii="Arial" w:cs="Arial" w:eastAsia="Arial" w:hAnsi="Arial"/>
                <w:sz w:val="18"/>
                <w:szCs w:val="18"/>
                <w:color w:val="auto"/>
              </w:rPr>
              <w:t>Dated: February 26, 2021</w:t>
            </w:r>
          </w:p>
        </w:tc>
        <w:tc>
          <w:tcPr>
            <w:tcW w:w="5080" w:type="dxa"/>
            <w:vAlign w:val="bottom"/>
          </w:tcPr>
          <w:p>
            <w:pPr>
              <w:jc w:val="center"/>
              <w:spacing w:after="0" w:line="169" w:lineRule="exact"/>
              <w:rPr>
                <w:sz w:val="20"/>
                <w:szCs w:val="20"/>
                <w:color w:val="auto"/>
              </w:rPr>
            </w:pPr>
            <w:r>
              <w:rPr>
                <w:rFonts w:ascii="Arial" w:cs="Arial" w:eastAsia="Arial" w:hAnsi="Arial"/>
                <w:sz w:val="18"/>
                <w:szCs w:val="18"/>
                <w:color w:val="auto"/>
                <w:w w:val="88"/>
              </w:rPr>
              <w:t>Thomas R. Reeg</w:t>
            </w:r>
          </w:p>
        </w:tc>
        <w:tc>
          <w:tcPr>
            <w:tcW w:w="0" w:type="dxa"/>
            <w:vAlign w:val="bottom"/>
          </w:tcPr>
          <w:p>
            <w:pPr>
              <w:spacing w:after="0"/>
              <w:rPr>
                <w:sz w:val="1"/>
                <w:szCs w:val="1"/>
                <w:color w:val="auto"/>
              </w:rPr>
            </w:pPr>
          </w:p>
        </w:tc>
      </w:tr>
      <w:tr>
        <w:trPr>
          <w:trHeight w:val="230"/>
        </w:trPr>
        <w:tc>
          <w:tcPr>
            <w:tcW w:w="6100" w:type="dxa"/>
            <w:vAlign w:val="bottom"/>
            <w:vMerge w:val="continue"/>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83" w:lineRule="exact"/>
        <w:rPr>
          <w:sz w:val="20"/>
          <w:szCs w:val="20"/>
          <w:color w:val="auto"/>
        </w:rPr>
      </w:pPr>
    </w:p>
    <w:p>
      <w:pPr>
        <w:ind w:left="1560"/>
        <w:spacing w:after="0"/>
        <w:tabs>
          <w:tab w:leader="none" w:pos="608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Thomas R. Reeg</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Bret Yunker</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Stephanie D. Lepori</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Gary L. Carano</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Bonnie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Bonnie Biumi</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Jan Jones Blackhurst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99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Jan Jones Blackhurst</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399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Frank J. Fahrenkopf Jr.</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Don Kornstein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Don Kornstein</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Courtney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Courtney Mather</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0">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Michael E. Pegram</w:t>
      </w: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David P. Tomick</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Chief Executive Officer (Principal Executive Officer) and</w:t>
      </w:r>
      <w:r>
        <w:rPr>
          <w:sz w:val="20"/>
          <w:szCs w:val="20"/>
          <w:color w:val="auto"/>
        </w:rPr>
        <w:tab/>
      </w:r>
      <w:r>
        <w:rPr>
          <w:rFonts w:ascii="Arial" w:cs="Arial" w:eastAsia="Arial" w:hAnsi="Arial"/>
          <w:sz w:val="16"/>
          <w:szCs w:val="16"/>
          <w:color w:val="auto"/>
        </w:rPr>
        <w:t>February 26, 2021</w:t>
      </w:r>
    </w:p>
    <w:p>
      <w:pPr>
        <w:spacing w:after="0"/>
        <w:rPr>
          <w:sz w:val="20"/>
          <w:szCs w:val="20"/>
          <w:color w:val="auto"/>
        </w:rPr>
      </w:pPr>
      <w:r>
        <w:rPr>
          <w:rFonts w:ascii="Arial" w:cs="Arial" w:eastAsia="Arial" w:hAnsi="Arial"/>
          <w:sz w:val="18"/>
          <w:szCs w:val="18"/>
          <w:color w:val="auto"/>
        </w:rPr>
        <w:t>Director</w:t>
      </w:r>
    </w:p>
    <w:p>
      <w:pPr>
        <w:spacing w:after="0" w:line="196"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Chief Financial Officer (Principal Financial Officer)</w:t>
      </w:r>
      <w:r>
        <w:rPr>
          <w:sz w:val="20"/>
          <w:szCs w:val="20"/>
          <w:color w:val="auto"/>
        </w:rPr>
        <w:tab/>
      </w:r>
      <w:r>
        <w:rPr>
          <w:rFonts w:ascii="Arial" w:cs="Arial" w:eastAsia="Arial" w:hAnsi="Arial"/>
          <w:sz w:val="16"/>
          <w:szCs w:val="16"/>
          <w:color w:val="auto"/>
        </w:rPr>
        <w:t>February 26, 2021</w:t>
      </w:r>
    </w:p>
    <w:p>
      <w:pPr>
        <w:spacing w:after="0" w:line="372"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Chief Administrative and Accounting Officer (Principal</w:t>
      </w:r>
      <w:r>
        <w:rPr>
          <w:sz w:val="20"/>
          <w:szCs w:val="20"/>
          <w:color w:val="auto"/>
        </w:rPr>
        <w:tab/>
      </w:r>
      <w:r>
        <w:rPr>
          <w:rFonts w:ascii="Arial" w:cs="Arial" w:eastAsia="Arial" w:hAnsi="Arial"/>
          <w:sz w:val="16"/>
          <w:szCs w:val="16"/>
          <w:color w:val="auto"/>
        </w:rPr>
        <w:t>February 26, 2021</w:t>
      </w:r>
    </w:p>
    <w:p>
      <w:pPr>
        <w:spacing w:after="0"/>
        <w:rPr>
          <w:sz w:val="20"/>
          <w:szCs w:val="20"/>
          <w:color w:val="auto"/>
        </w:rPr>
      </w:pPr>
      <w:r>
        <w:rPr>
          <w:rFonts w:ascii="Arial" w:cs="Arial" w:eastAsia="Arial" w:hAnsi="Arial"/>
          <w:sz w:val="18"/>
          <w:szCs w:val="18"/>
          <w:color w:val="auto"/>
        </w:rPr>
        <w:t>Accounting Officer)</w:t>
      </w:r>
    </w:p>
    <w:p>
      <w:pPr>
        <w:spacing w:after="0" w:line="196"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Executive Chairman of the Board</w:t>
      </w:r>
      <w:r>
        <w:rPr>
          <w:sz w:val="20"/>
          <w:szCs w:val="20"/>
          <w:color w:val="auto"/>
        </w:rPr>
        <w:tab/>
      </w:r>
      <w:r>
        <w:rPr>
          <w:rFonts w:ascii="Arial" w:cs="Arial" w:eastAsia="Arial" w:hAnsi="Arial"/>
          <w:sz w:val="16"/>
          <w:szCs w:val="16"/>
          <w:color w:val="auto"/>
        </w:rPr>
        <w:t>February 26, 2021</w:t>
      </w:r>
    </w:p>
    <w:p>
      <w:pPr>
        <w:spacing w:after="0" w:line="387"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200" w:lineRule="exact"/>
        <w:rPr>
          <w:sz w:val="20"/>
          <w:szCs w:val="20"/>
          <w:color w:val="auto"/>
        </w:rPr>
      </w:pPr>
    </w:p>
    <w:p>
      <w:pPr>
        <w:spacing w:after="0" w:line="210" w:lineRule="exact"/>
        <w:rPr>
          <w:sz w:val="20"/>
          <w:szCs w:val="20"/>
          <w:color w:val="auto"/>
        </w:rPr>
      </w:pPr>
    </w:p>
    <w:p>
      <w:pPr>
        <w:spacing w:after="0"/>
        <w:tabs>
          <w:tab w:leader="none" w:pos="53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26, 2021</w:t>
      </w:r>
    </w:p>
    <w:p>
      <w:pPr>
        <w:spacing w:after="0" w:line="533" w:lineRule="exact"/>
        <w:rPr>
          <w:sz w:val="20"/>
          <w:szCs w:val="20"/>
          <w:color w:val="auto"/>
        </w:rPr>
      </w:pPr>
    </w:p>
    <w:p>
      <w:pPr>
        <w:sectPr>
          <w:pgSz w:w="11900" w:h="16838" w:orient="portrait"/>
          <w:cols w:equalWidth="0" w:num="2">
            <w:col w:w="3240" w:space="720"/>
            <w:col w:w="7280"/>
          </w:cols>
          <w:pgMar w:left="320" w:top="1107"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INDEX TO CONSOLIDATED FINANCIAL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Page</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4940" w:type="dxa"/>
            <w:vAlign w:val="bottom"/>
            <w:tcBorders>
              <w:top w:val="single" w:sz="8" w:color="CCEEFF"/>
            </w:tcBorders>
            <w:gridSpan w:val="2"/>
            <w:shd w:val="clear" w:color="auto" w:fill="CCEEFF"/>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Reports of Independent Registered Public Accounting Firms</w:t>
              </w:r>
            </w:hyperlink>
          </w:p>
        </w:tc>
        <w:tc>
          <w:tcPr>
            <w:tcW w:w="55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71</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w:t>
              </w:r>
            </w:hyperlink>
          </w:p>
        </w:tc>
        <w:tc>
          <w:tcPr>
            <w:tcW w:w="6240" w:type="dxa"/>
            <w:vAlign w:val="bottom"/>
            <w:gridSpan w:val="2"/>
          </w:tcPr>
          <w:p>
            <w:pPr>
              <w:jc w:val="center"/>
              <w:ind w:left="5410"/>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75</w:t>
              </w:r>
            </w:hyperlink>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Operations</w:t>
              </w:r>
            </w:hyperlink>
          </w:p>
        </w:tc>
        <w:tc>
          <w:tcPr>
            <w:tcW w:w="6240" w:type="dxa"/>
            <w:vAlign w:val="bottom"/>
            <w:gridSpan w:val="2"/>
            <w:shd w:val="clear" w:color="auto" w:fill="CCEEFF"/>
          </w:tcPr>
          <w:p>
            <w:pPr>
              <w:jc w:val="center"/>
              <w:ind w:left="5410"/>
              <w:spacing w:after="0"/>
              <w:rPr>
                <w:rFonts w:ascii="Arial" w:cs="Arial" w:eastAsia="Arial" w:hAnsi="Arial"/>
                <w:sz w:val="18"/>
                <w:szCs w:val="18"/>
                <w:color w:val="auto"/>
                <w:w w:val="89"/>
              </w:rPr>
            </w:pPr>
            <w:hyperlink w:anchor="page75">
              <w:r>
                <w:rPr>
                  <w:rFonts w:ascii="Arial" w:cs="Arial" w:eastAsia="Arial" w:hAnsi="Arial"/>
                  <w:sz w:val="18"/>
                  <w:szCs w:val="18"/>
                  <w:color w:val="auto"/>
                  <w:w w:val="89"/>
                </w:rPr>
                <w:t>76</w:t>
              </w:r>
            </w:hyperlink>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Comprehensive (Loss) Income</w:t>
              </w:r>
            </w:hyperlink>
          </w:p>
        </w:tc>
        <w:tc>
          <w:tcPr>
            <w:tcW w:w="6240" w:type="dxa"/>
            <w:vAlign w:val="bottom"/>
            <w:gridSpan w:val="2"/>
          </w:tcPr>
          <w:p>
            <w:pPr>
              <w:jc w:val="center"/>
              <w:ind w:left="5410"/>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77</w:t>
              </w:r>
            </w:hyperlink>
          </w:p>
        </w:tc>
        <w:tc>
          <w:tcPr>
            <w:tcW w:w="4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 xml:space="preserve">Consolidated Statements </w:t>
              </w:r>
              <w:r>
                <w:rPr>
                  <w:rFonts w:ascii="Arial" w:cs="Arial" w:eastAsia="Arial" w:hAnsi="Arial"/>
                  <w:sz w:val="18"/>
                  <w:szCs w:val="18"/>
                  <w:u w:val="single" w:color="auto"/>
                  <w:color w:val="0000FF"/>
                </w:rPr>
                <w:t>of Stockholders’ Equity</w:t>
              </w:r>
            </w:hyperlink>
          </w:p>
        </w:tc>
        <w:tc>
          <w:tcPr>
            <w:tcW w:w="6240" w:type="dxa"/>
            <w:vAlign w:val="bottom"/>
            <w:gridSpan w:val="2"/>
            <w:shd w:val="clear" w:color="auto" w:fill="CCEEFF"/>
          </w:tcPr>
          <w:p>
            <w:pPr>
              <w:jc w:val="center"/>
              <w:ind w:left="5410"/>
              <w:spacing w:after="0" w:line="189" w:lineRule="exact"/>
              <w:rPr>
                <w:rFonts w:ascii="Arial" w:cs="Arial" w:eastAsia="Arial" w:hAnsi="Arial"/>
                <w:sz w:val="18"/>
                <w:szCs w:val="18"/>
                <w:color w:val="auto"/>
                <w:w w:val="89"/>
              </w:rPr>
            </w:pPr>
            <w:hyperlink w:anchor="page77">
              <w:r>
                <w:rPr>
                  <w:rFonts w:ascii="Arial" w:cs="Arial" w:eastAsia="Arial" w:hAnsi="Arial"/>
                  <w:sz w:val="18"/>
                  <w:szCs w:val="18"/>
                  <w:color w:val="auto"/>
                  <w:w w:val="89"/>
                </w:rPr>
                <w:t>78</w:t>
              </w:r>
            </w:hyperlink>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Cash Flows</w:t>
              </w:r>
            </w:hyperlink>
          </w:p>
        </w:tc>
        <w:tc>
          <w:tcPr>
            <w:tcW w:w="6240" w:type="dxa"/>
            <w:vAlign w:val="bottom"/>
            <w:gridSpan w:val="2"/>
          </w:tcPr>
          <w:p>
            <w:pPr>
              <w:jc w:val="center"/>
              <w:ind w:left="5410"/>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79</w:t>
              </w:r>
            </w:hyperlink>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Notes to Consolidated Financial Statements</w:t>
              </w:r>
            </w:hyperlink>
          </w:p>
        </w:tc>
        <w:tc>
          <w:tcPr>
            <w:tcW w:w="6240" w:type="dxa"/>
            <w:vAlign w:val="bottom"/>
            <w:gridSpan w:val="2"/>
            <w:shd w:val="clear" w:color="auto" w:fill="CCEEFF"/>
          </w:tcPr>
          <w:p>
            <w:pPr>
              <w:jc w:val="center"/>
              <w:ind w:left="5410"/>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81</w:t>
              </w:r>
            </w:hyperlink>
          </w:p>
        </w:tc>
        <w:tc>
          <w:tcPr>
            <w:tcW w:w="4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500" w:type="dxa"/>
            <w:vAlign w:val="bottom"/>
          </w:tcPr>
          <w:p>
            <w:pPr>
              <w:jc w:val="right"/>
              <w:ind w:right="4650"/>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Caesars Entertainment,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333333"/>
        </w:rPr>
        <w:t>We have audited the accompanying consolidated balance sheet of Caesars Entertainment, Inc. and subsidiaries (the “Company”) as of December 31, 2020, the related consolidated statement of operations, comprehensive (loss) income, stockholders’ equity, and cash flow for the year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the results of its operations and its cash flow for the year ended December 31, 2020, in conformity with accounting principles generally accepted in the United States of America.</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333333"/>
        </w:rPr>
        <w:t>Internal Control - Integrated Framework (2013)</w:t>
      </w:r>
      <w:r>
        <w:rPr>
          <w:rFonts w:ascii="Arial" w:cs="Arial" w:eastAsia="Arial" w:hAnsi="Arial"/>
          <w:sz w:val="18"/>
          <w:szCs w:val="18"/>
          <w:color w:val="333333"/>
        </w:rPr>
        <w:t xml:space="preserve"> issued by the Committee of Sponsoring Organizations of the Treadway Commission and our report dated February 26, 2021,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34" w:lineRule="exact"/>
        <w:rPr>
          <w:sz w:val="20"/>
          <w:szCs w:val="20"/>
          <w:color w:val="auto"/>
        </w:rPr>
      </w:pPr>
    </w:p>
    <w:p>
      <w:pPr>
        <w:ind w:right="4200"/>
        <w:spacing w:after="0" w:line="430" w:lineRule="auto"/>
        <w:rPr>
          <w:sz w:val="20"/>
          <w:szCs w:val="20"/>
          <w:color w:val="auto"/>
        </w:rPr>
      </w:pPr>
      <w:r>
        <w:rPr>
          <w:rFonts w:ascii="Arial" w:cs="Arial" w:eastAsia="Arial" w:hAnsi="Arial"/>
          <w:sz w:val="18"/>
          <w:szCs w:val="18"/>
          <w:b w:val="1"/>
          <w:bCs w:val="1"/>
          <w:i w:val="1"/>
          <w:iCs w:val="1"/>
          <w:color w:val="auto"/>
        </w:rPr>
        <w:t xml:space="preserve">Merger with Caesars Entertainment Corporation – Refer to Note 3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20, 2020, the Company completed the acquisition of Caesars Entertainment Corporation (“Former Caesars”) for total purchase consideration of $10.9 billion. The Company accounted for the acquisition under the acquisition method of accounting for business combinations. Accordingly, the total purchase consideration transferred was allocated to the identifiable assets acquired and liabilities assumed based on their respective fair values, which included $3.4 billion of intangible assets and $8.9 billion of goodwill that was assigned to the Former Caesars reporting units.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used various income approaches to determine the fair value of the acquired intangible assets and reporting units that were assigned goodwill. These income approaches required management to make significant assumptions and estimates around expected cash flows and projected financial results related to revenues and EBITDA giving effect to expected changes in operating results in future years (collectively the “forecasts”) as well as the selection of discount rates. The forecasts and selection of discount rates included assumptions and estimates around the impact of the COVID-19 public health emergency (“COVID-19”) and the realization of significant identified synergies. Changes in these assumptions and estimates could have a significant impact on the fair value of the intangible assets and reporting units that were assigned goodwill. Therefore, auditing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the forecasts and the selection of discount rates involved a higher degree of auditor judgment and subjectivity as well as an increased level of audit effort, including the involvement of valuation specialists.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audit procedures related to the forecasts and the selection of discount rates used by management to determine the fair value of the acquired intangible assets and the reporting units that were assigned goodwill included the following:</w:t>
      </w:r>
    </w:p>
    <w:p>
      <w:pPr>
        <w:spacing w:after="0" w:line="19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the Company’s internal controls over the forecasts and the selection of discount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25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the assumptions and estimates included in the forecasts by: 1) comparing the forecasts to information included in the Company’s communications to the Board of Directors, earnings and press releases, gaming industry reports, investor presentations, and analyst reports for the Company and certain of its peer companies; 2) comparing estimated competitive impacts with historical competitive impacts experienced; 3) assessing the impact of COVID-19 relative to published economic, governmental, and gaming and travel industry expectations; and 4) conducting inquiries with property management.</w:t>
      </w:r>
    </w:p>
    <w:p>
      <w:pPr>
        <w:spacing w:after="0" w:line="21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the identified synergies by comparing the estimated synergies to actual synergies realized in historical acquisitions completed by the Company.</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discount rates selected by management, including assessing the impact of the uncertainty in the forecasts, testing the market-based source information underlying the selection of the discount rates and the mathematical accuracy of the discount rate calculations, and developing a range of independent estimates and comparing those to the discount rates selected by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 7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goodwill and indefinite-lived intangible assets balances were $9.7 billion and $3.8 billion, respectively, as of December 31, 2020. The Company performed its annual goodwill and indefinite-lived intangible asset impairment analysis as of October 1, 2020. The Company acquired Former Caesars on July, 20, 2020 and allocated the total purchase consideration transferred to the identifiable assets acquired and liabilities assumed based on their respective fair values, including goodwill and indefinite-lived intangible assets, and therefore, the fair value of the Former Caesars reporting units and indefinite-lived intangible assets do not significantly exceed their respective carrying values. As of October 1, 2020 two of the Company’s other reporting units in the Regional Segment with goodwill totaling $208 million had fair values that did not significantly exceed their respective carrying values. Additionally, for the year ended December 31, 2020 the Company recorded $100 million of goodwill impairments related to five other reporting units in the Regional Segment and $22 million of indefinite-lived intangible asset impairments related to tradenames.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evaluation of goodwill and indefinite-lived intangible assets for impairment involves the comparison of the fair value of each reporting unit and indefinite-lived intangible asset to its respective carrying value. The Company determines the fair value of its reporting units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The Company determines the fair value of its indefinite-lived intangible assets using either the relief from royalty method or the excess earnings method under the income approach.</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determination of fair value of its reporting units and indefinite-lived intangible assets requires management to make significant assumptions and estimates around the forecasts as well as the selection of discount rates and valuation multiples. Changes in these estimates could have a significant impact on the fair value of the Company’s reporting units and intangible assets and the amount of goodwill or indefinite-lived intangible asset impairments, if 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forecasts and the selection of discount rates and valuation multiples used to determine the fair value of the Company’s reporting units and indefinite-lived intangible assets involved significant assumptions and estimates around the impact of COVID-19 and the realization of significant identified synergies. Therefore, auditing the forecasts and the selection of discount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ind w:right="20"/>
        <w:spacing w:after="0" w:line="277" w:lineRule="auto"/>
        <w:rPr>
          <w:sz w:val="20"/>
          <w:szCs w:val="20"/>
          <w:color w:val="auto"/>
        </w:rPr>
      </w:pPr>
      <w:r>
        <w:rPr>
          <w:rFonts w:ascii="Arial" w:cs="Arial" w:eastAsia="Arial" w:hAnsi="Arial"/>
          <w:sz w:val="18"/>
          <w:szCs w:val="18"/>
          <w:color w:val="auto"/>
        </w:rPr>
        <w:t>rates and valuation multiples involved a higher degree of auditor judgment and subjectivity as well as an increased level of audit effort, including the involvement of valuation specialists.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audit procedures related to the forecasts and the selection of discount rates and valuation multiples used by management to determine the fair value of the Company’s reporting units and indefinite-lived intangible assets included the following:</w:t>
      </w:r>
    </w:p>
    <w:p>
      <w:pPr>
        <w:spacing w:after="0" w:line="19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tested the effectiveness of the Company’s internal controls over the forecasts and the selection of discount rates and valuation multiples.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252"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evaluated the assumptions and estimates included in management’s forecasts by: 1) evaluating the impact of qualitative and quantitative factors to the impairment conclusions for the Former Caesars reporting units and indefinite-lived intangible assets subsequent to the acquisition date; 2) comparing the forecasts to information included in the Company’s communications to the Board of Directors, earnings and press releases, gaming industry reports, investor presentations, and analyst reports for the Company and certain of its peer companies; 3) comparing estimated competitive impacts with historical competitive impacts experienced; 4) assessing the impact of COVID-19 relative to published economic, governmental, and gaming and travel industry expectations; and 5) conducting inquiries with property management.</w:t>
      </w:r>
    </w:p>
    <w:p>
      <w:pPr>
        <w:spacing w:after="0" w:line="20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the identified synergies by comparing the estimated synergies to actual synergies realized in historical acquisitions completed by the Company.</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discount rates and valuation multiples selected by management, including assessing the impact of the uncertainty in the forecasts on the discount rates and valuation multiples, testing the market-based source information underlying the selection of both the discount rates and valuation multiples and the mathematical accuracy of the discount rate and valuation multiple calculations, and developing a range of independent estimates and comparing those to the discount rates and valuation multiples selected by management.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26,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Caesars Entertainment,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33333"/>
        </w:rPr>
        <w:t xml:space="preserve">We have audited the accompanying consolidated balance sheet of Caesars Entertainment, Inc., </w:t>
      </w:r>
      <w:r>
        <w:rPr>
          <w:rFonts w:ascii="Arial" w:cs="Arial" w:eastAsia="Arial" w:hAnsi="Arial"/>
          <w:sz w:val="17"/>
          <w:szCs w:val="17"/>
          <w:color w:val="000000"/>
        </w:rPr>
        <w:t>(formerly Eldorado Resorts Inc.)</w:t>
      </w:r>
      <w:r>
        <w:rPr>
          <w:rFonts w:ascii="Arial" w:cs="Arial" w:eastAsia="Arial" w:hAnsi="Arial"/>
          <w:sz w:val="17"/>
          <w:szCs w:val="17"/>
          <w:color w:val="333333"/>
        </w:rPr>
        <w:t xml:space="preserve"> (the Company) as of December 31, 2019, the related consolidated statements of operations, comprehensive (loss) income, stockholders’ equity and cash flows for each of the two years in the period ended December 31, 2019, and the related notes and the financial statement schedule listed in the Index at Item 15 (a)(ii) (collectively referred to as the “consolidated financial statements”). In our opinion, the consolidated financial statements present fairly, in all material respects, the financial position of the Company at December 31, 2019, and the results of its operations and its cash flows for each of the two years in the period ended December 31, 2019,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2011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6"/>
                <w:szCs w:val="16"/>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20" w:type="dxa"/>
            <w:vAlign w:val="bottom"/>
            <w:shd w:val="clear" w:color="auto" w:fill="CCEEFF"/>
          </w:tcPr>
          <w:p>
            <w:pPr>
              <w:jc w:val="center"/>
              <w:ind w:right="1135"/>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 ($130 and $0 attributable to our VIEs)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4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and advances to unconsolidated affiliates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licenses and other intangibles,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20" w:type="dxa"/>
            <w:vAlign w:val="bottom"/>
            <w:shd w:val="clear" w:color="auto" w:fill="CCEEFF"/>
          </w:tcPr>
          <w:p>
            <w:pPr>
              <w:jc w:val="center"/>
              <w:ind w:right="1135"/>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 ($130 and $0 attributable to our VIEs)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4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Long-term debt, less current portion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4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0"/>
              </w:rPr>
              <w:t>Common stock, 300,000,000 shares authorized, 208,049,417 and 77,569,117 issued and outstanding, net of treasury shares,</w:t>
            </w:r>
          </w:p>
        </w:tc>
        <w:tc>
          <w:tcPr>
            <w:tcW w:w="18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par value $0.00001 as of December 31, 2020 and December 31, 2019, respectively</w:t>
            </w: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6"/>
                <w:szCs w:val="16"/>
                <w:color w:val="auto"/>
              </w:rPr>
              <w:t>(Accumulated deficit) Retained earnings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Treasury stock at cost, 223,823 shares held at December 31, 2020 and 2019</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Caesars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4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1,553</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7"/>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r>
      <w:tr>
        <w:trPr>
          <w:trHeight w:val="199"/>
        </w:trPr>
        <w:tc>
          <w:tcPr>
            <w:tcW w:w="20" w:type="dxa"/>
            <w:vAlign w:val="bottom"/>
            <w:shd w:val="clear" w:color="auto" w:fill="CCEEFF"/>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r>
      <w:tr>
        <w:trPr>
          <w:trHeight w:val="20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Operating (loss) income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(loss)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7"/>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Net (loss) income from continuing operations, net of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Discontinued operations, net of income taxes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 attributable to noncontrolling interests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Net (loss) income attributable to Caesars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(loss) income per share - basic and diluted: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20"/>
              <w:spacing w:after="0"/>
              <w:rPr>
                <w:sz w:val="20"/>
                <w:szCs w:val="20"/>
                <w:color w:val="auto"/>
              </w:rPr>
            </w:pPr>
            <w:r>
              <w:rPr>
                <w:rFonts w:ascii="Arial" w:cs="Arial" w:eastAsia="Arial" w:hAnsi="Arial"/>
                <w:sz w:val="16"/>
                <w:szCs w:val="16"/>
                <w:color w:val="auto"/>
              </w:rPr>
              <w:t>Basic (loss) income per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income per share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20"/>
              <w:spacing w:after="0"/>
              <w:rPr>
                <w:sz w:val="20"/>
                <w:szCs w:val="20"/>
                <w:color w:val="auto"/>
              </w:rPr>
            </w:pPr>
            <w:r>
              <w:rPr>
                <w:rFonts w:ascii="Arial" w:cs="Arial" w:eastAsia="Arial" w:hAnsi="Arial"/>
                <w:sz w:val="16"/>
                <w:szCs w:val="16"/>
                <w:color w:val="auto"/>
              </w:rPr>
              <w:t>Weighted average basic shares outstanding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diluted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6680" w:type="dxa"/>
            <w:vAlign w:val="bottom"/>
            <w:gridSpan w:val="2"/>
          </w:tcPr>
          <w:p>
            <w:pPr>
              <w:ind w:left="220"/>
              <w:spacing w:after="0"/>
              <w:rPr>
                <w:sz w:val="20"/>
                <w:szCs w:val="20"/>
                <w:color w:val="auto"/>
              </w:rPr>
            </w:pPr>
            <w:r>
              <w:rPr>
                <w:rFonts w:ascii="Arial" w:cs="Arial" w:eastAsia="Arial" w:hAnsi="Arial"/>
                <w:sz w:val="16"/>
                <w:szCs w:val="16"/>
                <w:color w:val="auto"/>
              </w:rPr>
              <w:t>Other comprehensive income, net of tax</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Comprehensive (loss)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193"/>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Amounts attributable to noncontrolling interests: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 (income) attributable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460"/>
              <w:spacing w:after="0"/>
              <w:rPr>
                <w:sz w:val="20"/>
                <w:szCs w:val="20"/>
                <w:color w:val="auto"/>
              </w:rPr>
            </w:pPr>
            <w:r>
              <w:rPr>
                <w:rFonts w:ascii="Arial" w:cs="Arial" w:eastAsia="Arial" w:hAnsi="Arial"/>
                <w:sz w:val="16"/>
                <w:szCs w:val="16"/>
                <w:color w:val="auto"/>
              </w:rPr>
              <w:t>Comprehensive (loss) income attributable to Caesars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1"/>
              </w:rPr>
              <w:t>Treasury</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Noncontrolling</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Shares</w:t>
            </w:r>
          </w:p>
        </w:tc>
        <w:tc>
          <w:tcPr>
            <w:tcW w:w="8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6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2"/>
              </w:rPr>
              <w:t>Deficit)</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interests</w:t>
            </w:r>
          </w:p>
        </w:tc>
        <w:tc>
          <w:tcPr>
            <w:tcW w:w="14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January 1, 2018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treasury shares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9"/>
              </w:rPr>
              <w:t>Shares withheld related to net 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settlement of stock awards</w:t>
            </w: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Balance, December 31, 2018</w:t>
            </w:r>
          </w:p>
        </w:tc>
        <w:tc>
          <w:tcPr>
            <w:tcW w:w="70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Cumulative change in accounting</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principle, net of tax</w:t>
            </w:r>
          </w:p>
        </w:tc>
        <w:tc>
          <w:tcPr>
            <w:tcW w:w="7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8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9"/>
              </w:rPr>
              <w:t>Shares withheld related to net share</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ind w:left="7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settlement of stock awards</w:t>
            </w: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common stock, net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Shares issued to Former Caesars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w w:val="96"/>
              </w:rPr>
              <w:t>Former Caesars replacement awards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9"/>
              </w:rPr>
              <w:t>Other comprehensive income, net of</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w:t>
            </w:r>
          </w:p>
        </w:tc>
        <w:tc>
          <w:tcPr>
            <w:tcW w:w="7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8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9"/>
              </w:rPr>
              <w:t>Shares withheld related to net share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6"/>
                <w:szCs w:val="16"/>
                <w:color w:val="auto"/>
              </w:rPr>
              <w:t>settlement of stock awards</w:t>
            </w:r>
          </w:p>
        </w:tc>
        <w:tc>
          <w:tcPr>
            <w:tcW w:w="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Acquired noncontrolling interests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costs, discount and debt premium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Non-cash lease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Unrealized (gain) loss on restricted investment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Loss (gain) on sale of businesses and disposal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Impairment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(Benefit) provision for 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Change in fair value of derivative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Foreign currency transaction gain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non-cash adjustments to net (loss)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Change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(receivable)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Accounts payable, accrued expenses and other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Borders>
              <w:bottom w:val="single" w:sz="8" w:color="CCEEFF"/>
            </w:tcBorders>
          </w:tcPr>
          <w:p>
            <w:pPr>
              <w:spacing w:after="0"/>
              <w:rPr>
                <w:sz w:val="17"/>
                <w:szCs w:val="17"/>
                <w:color w:val="auto"/>
              </w:rPr>
            </w:pPr>
          </w:p>
        </w:tc>
        <w:tc>
          <w:tcPr>
            <w:tcW w:w="6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Former Caesars acquisition, net of cash acquired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Purchase of restricted investments</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cash used in business combinations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Proceeds from sale-leaseback financing arrangement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Cash paid to settle convertible notes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80" w:type="dxa"/>
            <w:vAlign w:val="bottom"/>
            <w:gridSpan w:val="2"/>
            <w:vMerge w:val="restart"/>
          </w:tcPr>
          <w:p>
            <w:pPr>
              <w:spacing w:after="0"/>
              <w:rPr>
                <w:sz w:val="20"/>
                <w:szCs w:val="20"/>
                <w:color w:val="auto"/>
              </w:rPr>
            </w:pPr>
            <w:r>
              <w:rPr>
                <w:rFonts w:ascii="Arial" w:cs="Arial" w:eastAsia="Arial" w:hAnsi="Arial"/>
                <w:sz w:val="16"/>
                <w:szCs w:val="16"/>
                <w:color w:val="auto"/>
              </w:rPr>
              <w:t>CASH FLOWS FROM DISCONTINUED OPERATIONS: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Change in cash, cash equivalents, and restricted cash classified as assets held for sale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Increase (decrease) in cash, cash equivalents and restricted cash</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80" w:type="dxa"/>
            <w:vAlign w:val="bottom"/>
            <w:gridSpan w:val="2"/>
          </w:tcPr>
          <w:p>
            <w:pPr>
              <w:spacing w:after="0" w:line="166" w:lineRule="exact"/>
              <w:rPr>
                <w:sz w:val="20"/>
                <w:szCs w:val="20"/>
                <w:color w:val="auto"/>
              </w:rPr>
            </w:pPr>
            <w:r>
              <w:rPr>
                <w:rFonts w:ascii="Arial" w:cs="Arial" w:eastAsia="Arial" w:hAnsi="Arial"/>
                <w:sz w:val="16"/>
                <w:szCs w:val="16"/>
                <w:color w:val="auto"/>
              </w:rPr>
              <w:t>RECONCILIATION OF CASH, CASH EQUIVALENTS AND RESTRICTED CASH TO</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AMOUNTS REPORTED WITHIN THE CONSOLIDATED BALANCE SHEETS: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Income taxes (refunded) paid,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Payables for capital expenditures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Exchange for sale-leaseback financing obligation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Shares issued to settle convertible notes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issued to Former Caesars shareholders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accompanying consolidated financial statements include the accounts of Caesars Entertainment, Inc., a Delaware corporation formerly known as Eldorado Resorts, Inc. (“ERI” or “Eldorado”), and its consolidated subsidiaries which may be referred to as the “Company,” “CEI,” “Caesars,” “we,” “our,” or “us” within these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herein.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geographically diversified gaming and hospitality company that was founded in 1973 by the Carano family with the opening of the Eldorado Hotel Casino in Reno, Nevada. The Company partnered with MGM Resorts International to build Silver Legacy Resort Casino (“Silver Legacy”) in Reno, Nevada in 1993 and, beginning in 2005, grew through a series of acquisitions, including the acquisition of Eldorado Resort Casino Shreveport (“Eldorado Shreveport”) in 2005, MTR Gaming Group, Inc. in 2014, Circus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20, 2020, the Company completed the merger with Caesars Entertainment Corporation (“Former Caesars”) pursuant to which Former Caesars became a wholly-owned subsidiary of the Company (the “Merger”). As a result of the Merger, the Company currently owns, leases or manages an aggregate of 54 domestic properties in 16 states with approximately 54,600 slot machines, video lottery terminals (“VLTs”) and e-tables, approximately 3,200 table games and approximately 47,700 hotel rooms as of December 31, 2020.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or manage 48 properties. See Note 19. The Company’s primary source of revenue is generated by gaming operations, and the Company utilizes its hotels, restaurants, bars, entertainment, racing, sportsbook offerings, retail shops and other services to attract customers to its properties.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the Company’s ticker symbol on the NASDAQ Stock Market changed from “ERI” to “CZR”. In connection with the Merger, the Company also entered into a Master Transaction Agreement (the “MTA”) with VICI Properties L.P., a Delaware limited partnership (“VICI”), pursuant to which, among other things, the Company agreed to consummate certain sale and leaseback transactions and amend certain lease agreements with VICI and/or its affiliates, with respect to certain property described in the MTA. See Note 3 for further discussion of the Merger and related transactions.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11, 2019 and March 8, 2019, respectively, the Company completed its sales of Presque Isle Downs &amp; Casino (“Presque”) and Lady Luck Casino Nemacolin (“Nemacolin”), which are both located in Pennsylvania. On December 6, 2019, the Company completed its sales of Mountaineer Casino, Racetrack and Resort (“Mountaineer”), Isle Casino Cape Girardeau (“Cape Girardeau”) and Lady Luck Casino Caruthersville (“Caruthersville”). Mountaineer is located in West Virginia and Cape Girardeau and Caruthersville are located in Missouri.</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On July 1, 2020, the Company completed the sales of Isle of Capri Casino Kansas City (“Kansas City”) and Lady Luck Casino Vicksburg (“Vicksburg”).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2020, the Company completed the sale of Harrah’s Reno.</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24, 2020, the Company entered into a definitive purchase agreement with Twin River Worldwide Holdings, Inc. (“Twin River” or subsequently, “Bally’s Corporation”) and certain of its affiliates for the sale of the equity interests of Eldorado Resort Casino Shreveport Joint Venture and Columbia Properties Tahoe, LLC, the entities that hold Eldorado Resort Casino Shreveport (“Eldorado Shreveport”) and MontBleu Casino Resort &amp; Spa (“MontBleu”), for aggregate consideration of $155 million, subject to a customary working capital adjustment. The definitive agreement provides that the consummation of the sale is subject to satisfaction of customary conditions, including receipt of required regulatory approvals. The sale of Eldorado Shreveport closed on December 23, 2020 for $140 million, subject to a customary working capital adjustment, and the sale of MontBleu is expected to close in the first half of 2021.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entered into an agreement to sell Harrah’s Louisiana Downs Casino, Racing &amp; Entertainment (“Harrah’s Louisiana Downs”) to Rubico Acquisition Corp. for $22 million, subject to a customary working capital adjustment, which proceeds will be split between the Company and VICI. The sale is subject to satisfaction of customary conditions, including receipt of required regulatory approvals and is expected to close in the first half of 2021.</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review of the Merger, the Indiana Gaming Commission determined on July 16, 2020 that, as a condition to their approval of the Merger, the Company is required to enter into agreements to divest of three properties within the state of Indiana in order to avoid undue economic concentration. As discussed below, the Company has entered into agreements to sell Tropicana Evansville (“Evansville”) and Caesars Southern Indiana. The Company plans to enter into an agreement to divest Horseshoe Hammond prior to December 31, 2021, as the deadline was extended by the Indiana Gaming Commission.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2020, the Company entered into an agreement to sell Evansville to GLPI and Twin River for $480 million in cash, subject to a customary working capital adjustment. The sale is subject to satisfaction of customary conditions, including receipt of required regulatory approvals and is expected to close in mid-2021.</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on October 27, 2020, in conjunction with the execution of the agreement to sell Evansville, the Company’s subsidiaries, Isle Casino Bettendorf and Isle Casino Hotel Waterloo (collectively, the “Exchanging Subsidiaries”), entered into an Exchange Agreement with GLPI pursuant to which the Exchanging Subsidiaries agreed to transfer the real estate relating to the Isle Casino Bettendorf and Isle Casino Hotel Waterloo to GLPI in exchange for the real estate relating to Evansville. The exchange transaction closed on December 18, 2020 and as a result of the lease being classified as a financing obligation the exchange was accounted for as a debt modification. As a result of the exchange, the real estate relating to Evansville was removed from the master lease with GLPI that we entered into in connection with the acquisition of Tropicana (the “GLPI Master Lease”) and the real estate relating to Isle Casino Bettendorf and Isle Casino Hotel Waterloo is now subject to the GLPI Master Lease.</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18, 2020, the sale of Bally's Atlantic City to Bally’s Corporation was completed for $25 million, of which, we received 25% and VICI received 75%. In addition, on October 9, 2020, we reached an agreement to sell the Bally’s brand to Bally’s Corporation for $20 million, while retaining the right to use the brand within Bally’s Las Vegas into perpetuity. Caesars agreed to reimburse Bally’s Corporation $30 million for capital expenditures required at Bally’s Atlantic City and recorded a liability within Accrued other liabilities and recorded a charge to Discontinued operations, net of income taxes. Our commitment will be satisfied by adjusting obligations under certain sportsbook operating agreements between Bally’s Corporation and the Company following our expected acquisition of William Hill.</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2020, the Company entered into an agreement to sell the Belle of Baton Rouge (“Baton Rouge”) to CQ Holding Company, Inc. Pursuant to the terms of the GLPI Master Lease, Baton Rouge will be removed from the GLPI Master Lease, and the rent payments to GLPI will remain unchanged. GLPI will retain ownership of the real estate of Baton Rouge. The transaction is expected to close in mid-2021 and is subject to regulatory approvals and other customary closing conditions.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24, 2020, the Company entered into agreement to sell Caesars Southern Indiana to Eastern Band of Cherokee Indians (“EBCI”) for $250 million, subject to a customary working capital adjustment. Caesar’s annual payments to VICI under the Regional Lease (as defined below) will decline by $33 million upon closing of the transaction. Additionally, effective as of the closing of the transaction, Caesars and EBCI will enter into a long-term agreement for the continued use of the Caesars brand and Caesars Rewards loyalty program at Caesars Southern Indiana. The sale is subject to satisfaction of customary conditions, including receipt of required regulatory approvals and is expected to close in the third quarter of 2021.</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Former Caesars properties, including Harrah’s Louisiana Downs, Caesars Southern Indiana, Horseshoe Hammond, Harrah’s Reno, Caesars UK group, including Emerald Resort &amp; Casino, and Bally’s Atlantic City, have met held for sale criteria as of the date of the closing of the Merger. The sales of these properties have or are expected to close within one year from the date of the closing of the Merger and the properties are classified as discontinued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Proposed Acquisition of William Hill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entered into agreements, which became effective January 29, 2019, with William Hill plc and William Hill U.S. Holdco, Inc. (“William Hill US”), its U.S. subsidiary (together, “William Hill”) which granted to William Hill the right to conduct betting activities, including operating certain of our sportsbooks, in retail channels under certain skins (described below) for online channels with respect to the Company’s current and future properties, and conduct certain real money online gaming activities. The Company received a 20% ownership interest in William Hill US as well as 13 million ordinary shares of William Hill plc, which carry certain time restrictions on when they can be sold. See Note 5 related to the investments in William Hill. Additionally, the Company receives a profit share from the operations of sports betting and other gaming activities associated with the Company’s properties.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of </w:t>
      </w:r>
      <w:r>
        <w:rPr>
          <w:rFonts w:ascii="Arial" w:cs="Arial" w:eastAsia="Arial" w:hAnsi="Arial"/>
          <w:sz w:val="18"/>
          <w:szCs w:val="18"/>
          <w:color w:val="212529"/>
        </w:rPr>
        <w:t>approximately £2.9 billion, or $3.7 billion</w:t>
      </w:r>
      <w:r>
        <w:rPr>
          <w:rFonts w:ascii="Arial" w:cs="Arial" w:eastAsia="Arial" w:hAnsi="Arial"/>
          <w:sz w:val="18"/>
          <w:szCs w:val="18"/>
          <w:color w:val="auto"/>
        </w:rPr>
        <w:t xml:space="preserve">. To provide liquidity to fund the cash purchase price for the proposed acquisition, the Company entered into various financing transactions. On September 25, 2020, the Company borrowed $900 million under the CEI Revolving Credit Facility (defined below), which was fully repaid in October 2020. See Note 12. </w:t>
      </w:r>
      <w:r>
        <w:rPr>
          <w:rFonts w:ascii="Arial" w:cs="Arial" w:eastAsia="Arial" w:hAnsi="Arial"/>
          <w:sz w:val="18"/>
          <w:szCs w:val="18"/>
          <w:color w:val="212529"/>
        </w:rPr>
        <w:t>O</w:t>
      </w:r>
      <w:r>
        <w:rPr>
          <w:rFonts w:ascii="Arial" w:cs="Arial" w:eastAsia="Arial" w:hAnsi="Arial"/>
          <w:sz w:val="18"/>
          <w:szCs w:val="18"/>
          <w:color w:val="auto"/>
        </w:rPr>
        <w:t xml:space="preserve">n October 1, 2020, the Company raised approximately $1.9 billion through a public offering of Company Common Stock, which was deposited into an escrow account. </w:t>
      </w:r>
      <w:r>
        <w:rPr>
          <w:rFonts w:ascii="Arial" w:cs="Arial" w:eastAsia="Arial" w:hAnsi="Arial"/>
          <w:sz w:val="18"/>
          <w:szCs w:val="18"/>
          <w:color w:val="212529"/>
        </w:rPr>
        <w:t>As of</w:t>
      </w:r>
      <w:r>
        <w:rPr>
          <w:rFonts w:ascii="Arial" w:cs="Arial" w:eastAsia="Arial" w:hAnsi="Arial"/>
          <w:sz w:val="18"/>
          <w:szCs w:val="18"/>
          <w:color w:val="auto"/>
        </w:rPr>
        <w:t xml:space="preserve"> December 31, 2020, </w:t>
      </w:r>
      <w:r>
        <w:rPr>
          <w:rFonts w:ascii="Arial" w:cs="Arial" w:eastAsia="Arial" w:hAnsi="Arial"/>
          <w:sz w:val="18"/>
          <w:szCs w:val="18"/>
          <w:color w:val="212529"/>
        </w:rPr>
        <w:t xml:space="preserve">these funds in escrow were classified as restricted cash and will remain restricted until the proposed acquisition of William Hill plc closes. </w:t>
      </w:r>
      <w:r>
        <w:rPr>
          <w:rFonts w:ascii="Arial" w:cs="Arial" w:eastAsia="Arial" w:hAnsi="Arial"/>
          <w:sz w:val="18"/>
          <w:szCs w:val="18"/>
          <w:color w:val="000000"/>
        </w:rPr>
        <w:t>See Note 15. In</w:t>
      </w:r>
      <w:r>
        <w:rPr>
          <w:rFonts w:ascii="Arial" w:cs="Arial" w:eastAsia="Arial" w:hAnsi="Arial"/>
          <w:sz w:val="18"/>
          <w:szCs w:val="18"/>
          <w:color w:val="212529"/>
        </w:rPr>
        <w:t xml:space="preserve"> </w:t>
      </w:r>
      <w:r>
        <w:rPr>
          <w:rFonts w:ascii="Arial" w:cs="Arial" w:eastAsia="Arial" w:hAnsi="Arial"/>
          <w:sz w:val="18"/>
          <w:szCs w:val="18"/>
          <w:color w:val="000000"/>
        </w:rPr>
        <w:t xml:space="preserve">order to </w:t>
      </w:r>
      <w:r>
        <w:rPr>
          <w:rFonts w:ascii="Arial" w:cs="Arial" w:eastAsia="Arial" w:hAnsi="Arial"/>
          <w:sz w:val="18"/>
          <w:szCs w:val="18"/>
          <w:color w:val="212529"/>
        </w:rPr>
        <w:t>manage the risk of appreciation of the GBP denominated purchase price the Company has entered into a foreign exchange forward contract. See</w:t>
      </w:r>
      <w:r>
        <w:rPr>
          <w:rFonts w:ascii="Arial" w:cs="Arial" w:eastAsia="Arial" w:hAnsi="Arial"/>
          <w:sz w:val="18"/>
          <w:szCs w:val="18"/>
          <w:color w:val="000000"/>
        </w:rPr>
        <w:t xml:space="preserve"> Note 8</w:t>
      </w:r>
      <w:r>
        <w:rPr>
          <w:rFonts w:ascii="Arial" w:cs="Arial" w:eastAsia="Arial" w:hAnsi="Arial"/>
          <w:sz w:val="18"/>
          <w:szCs w:val="18"/>
          <w:b w:val="1"/>
          <w:bCs w:val="1"/>
          <w:color w:val="000000"/>
        </w:rPr>
        <w:t>.</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proposed acquisition of William Hill plc, on September 29, 2020, the Company entered into a debt financing commitment letter pursuant to which the lenders party thereto have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The proceeds of the Debt Financing will be used (i) to pay a portion of the cash consideration for the proposed acquisition, (ii) to refinance certain of William Hill plc's and its subsidiaries' existing debt, (iii) to pay fees and expenses related to the acquisition and related transactions and (iv) for working capital and general corporate purposes.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Pending negotiation of the loan agreement for the Debt Financing, on October 6, 2020, a newly formed subsidiary of the Company entered into a £1.5 billion interim facilities agreement (the “Interim Facilities Agreement”) with Deutsche Bank AG, London Branch and JPMorgan Chase Bank, N.A. to provide: (a) a 90-day £1.0 billion interim asset sale bridge facility and (b) a 90-day £503 million interim cash confirmation bridge facility, which agreement will be terminated upon the execution of the loan agreement for the Debt Financing.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is conditioned on, among other things, the approval of William Hill plc shareholders, which was received on November 19, 2020, and receipt of required regulatory approvals. On December 28, 2020, we obtained the early termination of the waiting period under the Hart-Scott-Rodino Antitrust Improvements Act of 1976 (“HSR Act”) relating to the proposed combination with William Hill plc. A final UK court hearing is scheduled for the last week of March 2021 and we expect to close the acquisition shortly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which requires management to make estimates and assumptions that affect the reported amounts of assets, liabilities, revenues, and expenses and the disclosure of contingent assets and liabilities. Management believes the accounting estimates are appropriate and reasonably determined. Actual amounts could differ from those estimates.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in addition to Corporate and Other. Following the Merger, the Company’s principal operating activities occur in three regionally-focused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and (3) Managed, International, CIE, in addition to Corporate and Other. See Note 19 for a listing of properties included in each segment.</w:t>
      </w:r>
    </w:p>
    <w:p>
      <w:pPr>
        <w:spacing w:after="0" w:line="1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presentation of financial information herein for the period after the Company’s acquisition of Former Caesars on July 20, 2020 is not fully comparable to the periods prior to the acquisition. In addition, the presentation of financial information herein for the periods after the Company’s sales of various properties are not fully comparable to the periods prior to their respective sale dates. See Note 4 for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Subsidiaries and Variable Interest Entities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financial statements include the accounts of Caesars and its subsidiaries after elimination of all intercompany accounts and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have been eliminated in consolidation.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consolidate all subsidiaries in which we have a controlling financial interest and VIEs for which we or one of our consolidated subsidiaries is the primary beneficiary. Control generally equates to ownership percentage, whereby (i) affiliates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our investments for VIE consideration if a reconsideration event occurs to determine if the investment continues to qualify as a VIE. If we determine an investment no longer qualifies as a VIE, there may be a material effect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Korea Joint Venture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joint venture to acquire, develop, own, and operate a casino resort project in Incheon, South Korea (the “Korea JV”). We determined that the Korea JV is a VIE and the Company is the primary beneficiary, and therefore, we consolidate the Korea JV into our financial statements. As of December 31, 2020, the assets and liabilities of the Korea JV were classified as held for sale. The sale subsequently closed on January 21, 2021. See Note 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January 2020, an outbreak of a new strain of coronavirus (“COVID-19”) was identified and has since spread throughout much of the world, including the United States. All of the Company’s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On May 15, 2020, the Company began reopening properties and has resumed certain operations at substantially all of our properties as of December 31, 2020, with the exception of additional temporary closures of Caesars Windsor, Harrah’s Philadelphia, and our properties in Illinois. Subsequently, Harrah’s Philadelphia and our properties in Illinois have reopened. The COVID-19 public health emergency has had a material adverse effect on the Company’s business, financial condition and results of operations for the year ended December 31, 2020. The Company continued to pay its full-time employees through April 10, 2020, including tips and tokens. Effective April 11, 2020, the Company furloughed approximately 90% of its employees, implemented salary reductions and committed to continue to provide benefits to its employees during the duration of their respective furlough period. A portion of the Company’s workforce has returned to service as the properties have resumed with limited capacities and in compliance with operating restrictions imposed by governmental or tribal orders, directives, and guidelines. Due to a triggering event resulting from the COVID-19 public health emergency, the Company recognized impairment charges related to goodwill and trade names during the year ended December 31, 2020. See Note 7 for details.</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Due to the impact of the ongoing COVID-19 public health emergency on the Company’s results of operations, in June 2020 the Company obtained waivers on the financial covenants in its Former Caesars credit facility agreement and the GLPI Master Lease. In addition, Former Caesars obtained a waiver of the financial covenant in the credit agreement by and among Caesars Resort Collection, LLC and the lenders thereunder (the “CRC Credit Agreement”). Furthermore, the Company obtained waivers from VICI in relation to annual capital expenditure requirements for 2020. See Note 12 for details.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extent of the ongoing and future effects of the COVID-19 public health emergency on the Company’s business and the casino resort industry generally is uncertain, but the Company expects that it will continue to have a significant impact on its business, results of operations and financial condition. The extent and duration of the impact of COVID-19 will ultimately depend on future developments, including but not limited to, the duration and severity of the outbreak, restrictions on operations imposed by governmental authorities, the potential for authorities reimposing stay at home orders or additional restrictions in response to continued developments with the COVID-19 public health emergency, the Company’s ability to adapt to evolving operating procedures, the impact on consumer demand and discretionary spending, the length of time it takes for demand to return, the efficacy and availability of vaccines and the Company’s ability to adjust its cost structures for the duration of the outbreak’s effect on its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Additional significant accounting policy disclosures are provided within the applicable notes to the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equivalents include investments in money market funds that can be redeemed immediately at the current net asset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Restricted Cash and Investments. </w:t>
      </w:r>
      <w:r>
        <w:rPr>
          <w:rFonts w:ascii="Arial" w:cs="Arial" w:eastAsia="Arial" w:hAnsi="Arial"/>
          <w:sz w:val="16"/>
          <w:szCs w:val="16"/>
          <w:color w:val="auto"/>
        </w:rPr>
        <w:t>The significant portion of our restricted cash relates to $1.9 billion, which was primarily raised from the proceeds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of common stock to fund a portion of the purchase price for the proposed acquisition of William Hill (See Note 1)</w:t>
      </w:r>
      <w:r>
        <w:rPr>
          <w:rFonts w:ascii="Arial" w:cs="Arial" w:eastAsia="Arial" w:hAnsi="Arial"/>
          <w:sz w:val="16"/>
          <w:szCs w:val="16"/>
          <w:b w:val="1"/>
          <w:bCs w:val="1"/>
          <w:color w:val="auto"/>
        </w:rPr>
        <w:t>.</w:t>
      </w:r>
      <w:r>
        <w:rPr>
          <w:rFonts w:ascii="Arial" w:cs="Arial" w:eastAsia="Arial" w:hAnsi="Arial"/>
          <w:sz w:val="16"/>
          <w:szCs w:val="16"/>
          <w:color w:val="auto"/>
        </w:rPr>
        <w:t xml:space="preserve"> Restricted cash also includes certificates of deposit and cash restricted under certain operating agreements or restricted for future capital expenditures in the normal course of business.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consist primarily of debt and equity securities, held by the Company’s captive insurance subsidiaries, which are regularly purchased with the intention to resell in the short term. Restricted investments include shares acquired in conjunction with the Company’s sports betting agreements with William Hill that contain restrictions related to the ability to liquidate shares within a specified timeframe. The trading securities are carried at fair value with changes in fair value recognized in current period income (See Note 8).</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in the period the advertising initially takes place and are included in marketing and promotions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operating expenses. Advertising costs included in marketing and promotion expenses were $64 million, $29 million and $34 million for the years ended December 31, 2020,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years ended December 31, 2019 and 2018 has been reclassified to Casino and pari-mutuel commissions expense and General and administrative expense based on the nature of the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(modified in November 2018), the Financial Accounting Standards Board (“FASB”) issued ASU 2016-13, Financial Instruments – Credit Losses related to the timing of recognizing impairment losses on financial assets. The new guidance lowers the threshold on when losses are incurred, from a determination that a loss is probable to a determination that a loss is expected. The guidance is effective for interim and annual periods beginning after December 15, 2019. Adoption of the guidance required a modified-retrospective approach and a cumulative adjustment to retained earnings to the first reporting period that the update is effective. The Company adopted the new guidance on January 1, 2020. Adoption of this guidance did not have a material impact on the Company’s Consolidated Financial Statements.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was effective for annual and interim periods beginning after December 15, 2019. The Company adopted the new guidance on January 1, 2020. Adoption of this guidance did not have a material impact on the Company’s Consolidated Financial Statements.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was effective for annual and interim periods beginning after December 15, 2019. The Company adopted the new guidance on January 1, 2020. Adoption of this guidance did not have a material impact on the Company’s Consolidated Financial Statements.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August 2018, the FASB issued ASU 2018-14, Compensation – Retirement Benefits – Defined Benefit Plans – General. This amendment improves disclosures over defined benefit plans and is effective for interim and annual periods ending after December 15, 2020 with early adoption allowed. The Company adopted the new guidance on January 1, 2021, which did not have a material impact on the Company’s Consolidated Financial Statements.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2019-12, Simplifying the Accounting for Income Taxes. This amendment modifies accounting guidelines for income taxes and is effective for annual and interim periods beginning after December 15, 2020 with early adoption allowed. We adopted the new guidance during the fourth quarter of 2020 on a prospective basis for each topic applicable to the Company, with the exception of amendments related to entities not subject to tax, which was applied retrospectively. The adoption of this ASU did not have a material impact on the Company’s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2020, the FASB issued ASU 2020-04 (amended through January 2021),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 on a prospective basis. The amendments provide optional expedients and exceptions for applying GAAP to contracts, hedging relationships, and other transactions if certain criteria are met. The adoption of, and future elections under, ASU 2020-04 are not expected to have a material impact on our Consolidated Financial Statements as the standard will ease, if warranted, the requirements for accounting for the future effects of the rate reform. The amendments in this update are effective as of March 12, 2020 and companies may elect to apply the amendments prospectively through December 31, 2022. The Company has not yet adopted this new guidance as of December 31, 2020 and is evaluating the qualitative and quantitative effect the new guidance will have on its Consolidated Financial Statements.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2020, the FASB issued ASU 2020-06, Debt with Conversion and Other Options and Derivatives and Hedging. This update amends guidance on convertible instruments and the guidance on derivative scope exception for contracts in an entity’s own equity. The amendments for convertible instruments reduce the number of accounting models for convertible debt instruments and convertible preferred stock. In addition, the amendments provide guidance on instruments that will continue to be subject to separation models and improves disclosure for convertible instruments and guidance for earnings per share. Furthermore, the update amends guidance for the derivatives scope exception for contracts in an entity’s own equity to reduce form-over-substance-based accounting conclusions. The amendments in this update are effective for fiscal years beginning after December 15, 2021, and interim periods within those fiscal years. These amendments should be applied on either a modified retrospective basis or a fully retrospective basis. The Company is currently assessing the effect the adoption of this standard will have on our prospective financial statements.</w:t>
      </w:r>
    </w:p>
    <w:p>
      <w:pPr>
        <w:spacing w:after="0" w:line="107" w:lineRule="exact"/>
        <w:rPr>
          <w:sz w:val="20"/>
          <w:szCs w:val="20"/>
          <w:color w:val="auto"/>
        </w:rPr>
      </w:pPr>
    </w:p>
    <w:p>
      <w:pPr>
        <w:ind w:right="5380"/>
        <w:spacing w:after="0" w:line="440" w:lineRule="auto"/>
        <w:rPr>
          <w:sz w:val="20"/>
          <w:szCs w:val="20"/>
          <w:color w:val="auto"/>
        </w:rPr>
      </w:pPr>
      <w:r>
        <w:rPr>
          <w:rFonts w:ascii="Arial" w:cs="Arial" w:eastAsia="Arial" w:hAnsi="Arial"/>
          <w:sz w:val="18"/>
          <w:szCs w:val="18"/>
          <w:b w:val="1"/>
          <w:bCs w:val="1"/>
          <w:color w:val="auto"/>
        </w:rPr>
        <w:t xml:space="preserve">Note 3. Acquisitions, Purchase Price Accounting and Pro forma Information </w:t>
      </w:r>
      <w:r>
        <w:rPr>
          <w:rFonts w:ascii="Arial" w:cs="Arial" w:eastAsia="Arial" w:hAnsi="Arial"/>
          <w:sz w:val="18"/>
          <w:szCs w:val="18"/>
          <w:i w:val="1"/>
          <w:iCs w:val="1"/>
          <w:color w:val="auto"/>
        </w:rPr>
        <w:t>Merger with Caesars Entertainment Corporation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the Company. The strategic rationale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5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consideration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Shares issued to Former Caesars shareholders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2,381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to retire Former Caesars debt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consideration paid</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closing price of $38.24 per share of the Company’s common stock, par value $0.00001 per share (“Company Common Stock”), reported on NASDAQ on July 20, 2020, the aggregate implied value of the aggregate merger consideration paid to former holders of Former Caesars common stock in connection with the Merger was approximately $8.5 billion, including approximately $2.4 billion in the Company Common Stock and approximately $6.1 billion in cash. The aggregate merger consideration transferred also included approximately $2.4 billion related to the repayment of certain outstanding debt balances of Former Caesars and approximately $48 million of other consideration paid which includes $19 million related to a transaction success fee, for the benefit of Former Caesars, and $29 million for the replacement of equity awards of certain employees attributable to services provided prior to the Merger.</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Merger, each share of Former Caesars common stock was converted into the right to receive, at the election of the holder thereof and subject to proration, approximately $12.41 of cash consideration or approximately 0.3085 shares of Company Common Stock, with a value equal to approximately $12.41 in cash (based on the volume weighted average price per share of Company Common Stock for the 10 trading days ending on July 16, 2020). Following the consummation of the Merger, stockholders of the Company and stockholders of Former Caesars held approximately 61% and 39%, respectively, of the outstanding shares of Company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are based on management’s analysis including preliminary work performed by third party valuation specialists, which are subject to finalization over the one-year measurement period. The purchase price accounting for Former Caesars is preliminary as it relates to determining the fair value of certain assets and liabilities, including goodwill, and is subject to change. The following table summarizes the preliminary allocation of the purchase consideration to the identifiable assets acquired and liabilities assumed of Former Caesars, with the excess recorded as goodwill as of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and other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12,691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3,364</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29,802</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1,836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6,591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18,909</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4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licenses valued at $388 million, trade names valued at $2.1 billion, the Caesars Rewards programs valued at $523 million and customer relationships valued at $403 million.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above, the preliminary purchase price allocation is subject to a measurement period and has since been revised during the fourth quarter ended December 31, 2020, from our initial estimates. The net impact of these changes in our initial valuations was a $273 million increase to goodwill. Changes included a $115 million decrease to current and other assets, a $39 million decrease in property and equipment, a $185 million decrease in intangible assets, and an $8 million decrease in other noncurrent assets. Additionally, current liabilities were decreased by $60 million, the assumed financing obligation was increased by $15 million and noncurrent liabilities were decreased by $29 million. The effect of these revisions during the fourth quarter did not have a material impact on our Statement of operations.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price of financial assets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Allowance for credit losses at the acquisition date based on the acquirer’s assessment</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 / (premium) attributable to other factors</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Face value of financial assets</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 the useful life of the license to be approximately 34 years.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the assembled workforce of Former Caesars. The final assignment of goodwill to reporting units has not been completed. The goodwill acquired will not generate amortization deductions for income tax purposes.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long-term debt has been calculated based on market quotes. 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acquisition-related transaction costs in connection with the merger with Former Caesars of $160 million and $80 million for the years ended December 31, 2020 and 2019, respectively. These costs were associated with legal, IT costs, internal labor and professional services and were recognized as Transaction costs and other operating costs in our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For the period of July 20, 2020 through December 31, 2020, Former Caesars generated net revenues of $2.0 billion and net loss of $1.2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15, 2018, the Company announced that it had entered into a definitive agreement to acquire Tropicana in a cash transaction valued at $1.9 billion (the “Tropicana Acquisition”). At the closing of the transaction on October 1, 2018, a subsidiary of the Company merged into Tropicana and Tropicana became a wholly-owned subsidiary of the Company. Immediately prior to the merger, Tropicana sold Tropicana Aruba Resort and Casino and Gaming and Leisure Properties, Inc. (“GLPI”) acquired substantially all of Tropicana’s real estate, other than the real estate underlying MontBleu and Lumière, for approximately $964 million. The Company acquired Tropicana’s operations and certain real estate for $927 million. Substantially concurrently with the acquisition of the real estate portfolio by GLPI, the Company also entered into a triple net master lease with GLPI (the “Master Lease”) (see Note 10). The Company funded the purchase of the real estate underlying Lumière with the proceeds of a $246 million loan and funded the remaining consideration payable with cash on hand at the Company and Tropicana, borrowings under the Company’s revolving credit facility and proceeds from the Company’s offering of $600 million in aggregate principal amount of 6% senior notes due 2026. These instruments were refinanced during 2020 (see Note 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Transaction expenses related to the Tropicana Acquisition totaled $4 million for the year ended December 31,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Accounting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purchase consideration for the Tropicana Acquisition was $927 million. The purchase consideration in the acquisition was determined with reference to its acquisition date fair value.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Lumière Loan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to retire Tropicana's long-term debt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ERI portion of taxes due</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8"/>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consideration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third party valuation specialists. The following table summarizes the final allocation of the purchase consideration to the identifiable assets acquired and liabilities assumed of Tropicana, with the excess recorded as goodwill as of December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and other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subject to the financing obligation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9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9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r>
      <w:tr>
        <w:trPr>
          <w:trHeight w:val="199"/>
        </w:trPr>
        <w:tc>
          <w:tcPr>
            <w:tcW w:w="9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Financing obligation to GLPI</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6"/>
        </w:trPr>
        <w:tc>
          <w:tcPr>
            <w:tcW w:w="9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licenses valued at $125 million, trade names valued at $67 million and customer relationships valued at $56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2019, the Company finalized its valuation procedures and adjusted the Tropicana preliminary purchase price accounting to their final values. The net impact of these changes was a $9 million decrease to goodwill. Changes included a $16 million increase to other noncurrent assets primarily related to certain long-term receivables offset by $7 million of other changes to liabilities.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Tropicana Acquisition make use of Level 3 inputs including discounted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Tropicana Acquisition date.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fair value of land (excluding the real property acquired by GLPI)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 estate assets that were sold to GLPI and leased back by the Company were adjusted to fair value concurrently with the acquisition of Tropicana. The fair value of the properties was determined utilizing the direct capitalization method of the income approach. In allocating the fair value to the underlying acquired assets, a fair value for the buildings and improvements was determined using the above mentioned cost approach method. To determine the underlying land value, the extraction method was applied wherein the fair value of the building and improvements was deducted from the fair value of the property as derived from the direct capitalization approach to determine the fair value of the land. The fair value of GLPI’s real estate assets was determined to be $957 million.</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the gaming licenses was determined using the multi period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assigned an indefinite useful life to the gaming licenses. The Company considered,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The Company determined that no legal, regulatory, contractual, competitive, economic or other factors limit the useful lives of these intangible assets. Tropicana had licenses in New Jersey, Missouri, Mississippi, Nevada, Indiana, and Louisiana. The renewal of each state’s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each license. No other competitive, contractual, or economic factor limits the useful lives of these assets. Accordingly, the Company has concluded that the useful lives of these licenses are indefinite.</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Trade names were valued using the relief from royalty method, which presumes that without ownership of such trademarks, the Company would have to make a stream of payments to a brand or franchise owner in return for the right to use their name. By virtue of this asset, the Company avoids any such payments and records the related intangible value of the Company’s ownership of the brand name. The primary assumptions in the valuation included revenue, pre-tax royalty rate, and tax expense. The Company has assigned an indefinite useful life to the trade names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relationships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customer relationships.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the Tropicana acquisition date of October 1, 2018 through December 31, 2018, Tropicana generated net revenues of $205 million and net loss of $9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Accounting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7, 2018, the Company completed its acquisition of one hundred percent of the partnership interests in Elgin. As a result of the Elgin Acquisition, Elgin became an indirect wholly-owned subsidiary of the Company. The Company purchased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Elgin for $328 million plus a $1 million working capital adjustment. The Elgin Acquisition was financed using cash on hand and borrowings under the Company’s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Transaction expenses related to the Elgin Acquisition totaled less than $1 million for the year ended December 31, 2019.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purchase consideration for the Elgin Acquisition was $329 million. The purchase consideration in the acquisition was determined with reference to its acquisition date fair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consideration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Working capital and other adjustments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Purchase consideration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values are based on management’s analysis including work performed by third party valuation specialists. As of September 30, 2019, the Company finalized its valuation procedures and no changes were recorded to the acquisition date fair values as disclosed in the Annual Report on Form 10-K for the year ended December 31, 2018. The following table summarizes the allocation of the purchase consideration to the identifiable assets acquired and liabilities assumed of Elgin, with the excess recorded as goodwill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and other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Property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39"/>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licenses valued at $164 million, trade names valued at $13 million and customer relationships valued at $29 million.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Elgin Acquisition made use of Level 3 inputs including discounted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Elgin Acquisition date.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assigned an indefinite useful life to the gaming licenses. 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the license. No other competitive, contractual, or economic factor limits the useful lives of this asset. Accordingly, the Company has concluded that the useful life of this license is indefinite.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relationships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four-year useful life on the customer relationships.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trade name was valued using the relief-from-royalty method. The primary assumptions in the valuation included revenue, pre-tax royalty rate, and tax expense. The Company has assigned the trade name an indefinite useful life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the Elgin acquisition date of August 7, 2018 through December 31, 2018, Elgin generated net revenues of $63 million and net income of $8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unaudited pro forma financial information is presented to illustrate the estimated effects of the acquisition of Former Caesars as if it had occurred on January 1, 2019. The pro forma amounts include the historical operating results of the Company and Former Caesars prior to the acquisition, with adjustments directly attributable to the acquisition. The pro forma results include adjustments and consequential tax effects to reflect incremental depreciation and amortization expense to be incurred based on preliminary fair values of the identifiable property and equipment and intangible assets acquired, the incremental interest expense associated with the issuance of debt to finance the acquisition and the adjustments to exclude acquisition related costs incurred during the year ended December 31, 2020 and to recognize these costs during the year ended December 31, 2019 as if incurred on January 1, 2019. The unaudited pro forma financial information is not necessarily indicative of what the consolidated results of operations of the combined company were, nor does it reflect the expected realization of any synergies or cost savings associated with the acquisition.</w:t>
      </w:r>
    </w:p>
    <w:p>
      <w:pPr>
        <w:spacing w:after="0" w:line="152"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5,642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10,134</w:t>
            </w: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spacing w:after="0"/>
              <w:rPr>
                <w:sz w:val="18"/>
                <w:szCs w:val="18"/>
                <w:color w:val="auto"/>
              </w:rPr>
            </w:pPr>
          </w:p>
        </w:tc>
        <w:tc>
          <w:tcPr>
            <w:tcW w:w="1020" w:type="dxa"/>
            <w:vAlign w:val="bottom"/>
          </w:tcPr>
          <w:p>
            <w:pPr>
              <w:jc w:val="center"/>
              <w:ind w:left="419"/>
              <w:spacing w:after="0"/>
              <w:rPr>
                <w:sz w:val="20"/>
                <w:szCs w:val="20"/>
                <w:color w:val="auto"/>
              </w:rPr>
            </w:pPr>
            <w:r>
              <w:rPr>
                <w:rFonts w:ascii="Arial" w:cs="Arial" w:eastAsia="Arial" w:hAnsi="Arial"/>
                <w:sz w:val="16"/>
                <w:szCs w:val="16"/>
                <w:color w:val="auto"/>
                <w:w w:val="94"/>
              </w:rPr>
              <w:t>(2,738)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520"/>
              <w:spacing w:after="0"/>
              <w:rPr>
                <w:sz w:val="20"/>
                <w:szCs w:val="20"/>
                <w:color w:val="auto"/>
              </w:rPr>
            </w:pPr>
            <w:r>
              <w:rPr>
                <w:rFonts w:ascii="Arial" w:cs="Arial" w:eastAsia="Arial" w:hAnsi="Arial"/>
                <w:sz w:val="16"/>
                <w:szCs w:val="16"/>
                <w:color w:val="auto"/>
                <w:w w:val="94"/>
              </w:rPr>
              <w:t>(1,039)</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4"/>
              </w:rPr>
              <w:t>(2,670)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4"/>
              </w:rPr>
              <w:t>(1,035)</w:t>
            </w: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Merger had taken place on January 1, 2019, nor are they indicative of the results of operations for future periods. The pro forma amounts include the historical operating results of the Company and Former Caesars prior to the Merger with adjustments directly attributable to the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2018, as if the Tropicana Acquisition had occurred on January 1, 2017.</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60" w:type="dxa"/>
            <w:vAlign w:val="bottom"/>
            <w:gridSpan w:val="2"/>
          </w:tcPr>
          <w:p>
            <w:pPr>
              <w:jc w:val="center"/>
              <w:ind w:right="699"/>
              <w:spacing w:after="0"/>
              <w:rPr>
                <w:sz w:val="20"/>
                <w:szCs w:val="20"/>
                <w:color w:val="auto"/>
              </w:rPr>
            </w:pPr>
            <w:r>
              <w:rPr>
                <w:rFonts w:ascii="Arial" w:cs="Arial" w:eastAsia="Arial" w:hAnsi="Arial"/>
                <w:sz w:val="18"/>
                <w:szCs w:val="18"/>
                <w:b w:val="1"/>
                <w:bCs w:val="1"/>
                <w:color w:val="auto"/>
                <w:w w:val="99"/>
              </w:rPr>
              <w:t>CAESARS ENTERTAINMENT, INC.</w:t>
            </w: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60" w:type="dxa"/>
            <w:vAlign w:val="bottom"/>
            <w:gridSpan w:val="2"/>
          </w:tcPr>
          <w:p>
            <w:pPr>
              <w:jc w:val="center"/>
              <w:ind w:right="679"/>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30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Year Ended December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31,</w:t>
            </w:r>
          </w:p>
        </w:tc>
      </w:tr>
      <w:tr>
        <w:trPr>
          <w:trHeight w:val="172"/>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operating revenues</w:t>
            </w:r>
          </w:p>
        </w:tc>
        <w:tc>
          <w:tcPr>
            <w:tcW w:w="78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r>
      <w:tr>
        <w:trPr>
          <w:trHeight w:val="210"/>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w:t>
            </w:r>
          </w:p>
        </w:tc>
      </w:tr>
    </w:tbl>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Tropicana prior to the Tropicana Acquisition with adjustments directly attributable to the Tropicana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Elgin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2018, as if the Elgin Acquisition had occurred on January 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Year Ended December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31,</w:t>
            </w:r>
          </w:p>
        </w:tc>
      </w:tr>
      <w:tr>
        <w:trPr>
          <w:trHeight w:val="172"/>
        </w:trPr>
        <w:tc>
          <w:tcPr>
            <w:tcW w:w="20" w:type="dxa"/>
            <w:vAlign w:val="bottom"/>
          </w:tcPr>
          <w:p>
            <w:pPr>
              <w:spacing w:after="0"/>
              <w:rPr>
                <w:sz w:val="14"/>
                <w:szCs w:val="14"/>
                <w:color w:val="auto"/>
              </w:rPr>
            </w:pPr>
          </w:p>
        </w:tc>
        <w:tc>
          <w:tcPr>
            <w:tcW w:w="9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0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operating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r>
      <w:tr>
        <w:trPr>
          <w:trHeight w:val="210"/>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w:t>
            </w:r>
          </w:p>
        </w:tc>
      </w:tr>
    </w:tbl>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Assets and Liabilities Held for Sale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assets that meet the criteria for asset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Continuing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MontBleu, Evansville and Baton Rouge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24, 2020, the Company entered into a definitive purchase agreement with Twin River and certain of its affiliates for the sale of the equity interests of Eldorado Resort Casino Shreveport Joint Venture and Columbia Properties Tahoe, LLC, the entities that hold Eldorado Shreveport and MontBleu, respectively, for aggregate consideration of $155 million, subject to a customary working capital adjustment. The definitive agreement provides that the consummation of the sale is subject to satisfaction of customary conditions, including receipt of required regulatory approvals. Both MontBleu and Eldorado Shreveport were within the Regional segment. On December 23, 2020, the Company consummated the sale of Eldorado Shreveport to Bally's Corporation (formerly Twin River) for $140 million resulting in a gain of $29 million. MontBleu is expected to close in the first half of 2021.</w:t>
      </w:r>
    </w:p>
    <w:p>
      <w:pPr>
        <w:spacing w:after="0" w:line="1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MontBleu met the requirements for presentation as assets held for sale as of December 31, 2020, but did not meet the requirements for presentation as discontinued operations and MontBleu’s results of operations are included in income from continuing operations in the periods presented.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agreement to sell MontBleu, an impairment charge totaling $45 million was recorded during the year ended December 31, 2020 due to the carrying value exceeding the estimated net sales proceeds. The impairment charges resulted in a reduction to the carrying amounts of the right-of-use assets, property and equipment, goodwill and other intangibles totaling $18 million, $23 million and $4 million, respectively, recorded in the Regional segment.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2020, in connection with its review of the Merger, the Indiana Gaming Commission concluded that the Company will need to enter into agreements to divest of three properties within the state of Indiana in order to avoid undue economic concentration as a condition to their approval of the Merger. On October 27, 2020, the Company entered into an agreement to sell Evansville to GLPI and Twin River for $480 million in cash, subject to a customary working capital adjustment. The sale 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satisfaction of customary conditions, including receipt of required regulatory approvals and is expected to close in mid-2021. On December 24, 2020, the Company entered into an agreement to divest of the assets of Caesars Southern Indiana. In addition, the Company plans to enter into an agreement to divest of Horseshoe Hammond prior to December 31, 2021, as the deadline was extended by the Indiana Gaming Commission. Evansville met the requirements for presentation as assets held for sale as of December 31, 2020, while Caesars Southern Indiana and Horseshoe Hammond met the requirements for presentation as held for sale and discontinued operations.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1, 2020, the Company entered into a definitive agreement with CQ Holding Company, Inc. to sell the equity interests of Baton Rouge. The definitive agreement provides that the consummation of the sale is subject to satisfaction of customary conditions, including receipt of required regulatory approvals and is expected to close in mid-2021. Baton Rouge met the requirements for presentation as assets held for sale as of December 31, 2020.</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agreement to sell Baton Rouge, an impairment charge totaling $50 million was recorded during the year ended December 31, 2020 due to the carrying value exceeding the estimated net sales proceeds. The impairment charges resulted in a reduction to the carrying amounts of the right-of-use assets, property and equipment, goodwill and other intangibles totaling $1 million, $47 million and $2 million, respectively, recorded in the Regional segment. See Note 7.</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Korea JV’s assets and liabilities were classified as held for sale. On January 21, 2021, the Company consummated the sale of Korea JV for less than $1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held for sale were as follows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30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MontBleu</w:t>
            </w:r>
          </w:p>
        </w:tc>
        <w:tc>
          <w:tcPr>
            <w:tcW w:w="220" w:type="dxa"/>
            <w:vAlign w:val="bottom"/>
          </w:tcPr>
          <w:p>
            <w:pPr>
              <w:spacing w:after="0"/>
              <w:rPr>
                <w:sz w:val="14"/>
                <w:szCs w:val="14"/>
                <w:color w:val="auto"/>
              </w:rPr>
            </w:pPr>
          </w:p>
        </w:tc>
        <w:tc>
          <w:tcPr>
            <w:tcW w:w="130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Evansville</w:t>
            </w:r>
          </w:p>
        </w:tc>
        <w:tc>
          <w:tcPr>
            <w:tcW w:w="11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Baton Rouge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Korea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Cash and cash equivalents,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20" w:type="dxa"/>
            <w:vAlign w:val="bottom"/>
          </w:tcPr>
          <w:p>
            <w:pPr>
              <w:spacing w:after="0"/>
              <w:rPr>
                <w:sz w:val="18"/>
                <w:szCs w:val="18"/>
                <w:color w:val="auto"/>
              </w:rPr>
            </w:pPr>
          </w:p>
        </w:tc>
        <w:tc>
          <w:tcPr>
            <w:tcW w:w="520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5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20" w:type="dxa"/>
            <w:vAlign w:val="bottom"/>
            <w:tcBorders>
              <w:bottom w:val="single" w:sz="8" w:color="CCEEFF"/>
            </w:tcBorders>
          </w:tcPr>
          <w:p>
            <w:pPr>
              <w:spacing w:after="0"/>
              <w:rPr>
                <w:sz w:val="18"/>
                <w:szCs w:val="18"/>
                <w:color w:val="auto"/>
              </w:rPr>
            </w:pPr>
          </w:p>
        </w:tc>
        <w:tc>
          <w:tcPr>
            <w:tcW w:w="5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(loss) income for the Company’s properties that are held for sale: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Year Ended December 31, 2020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30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MontBleu</w:t>
            </w:r>
          </w:p>
        </w:tc>
        <w:tc>
          <w:tcPr>
            <w:tcW w:w="220" w:type="dxa"/>
            <w:vAlign w:val="bottom"/>
          </w:tcPr>
          <w:p>
            <w:pPr>
              <w:spacing w:after="0"/>
              <w:rPr>
                <w:sz w:val="14"/>
                <w:szCs w:val="14"/>
                <w:color w:val="auto"/>
              </w:rPr>
            </w:pPr>
          </w:p>
        </w:tc>
        <w:tc>
          <w:tcPr>
            <w:tcW w:w="130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Evansville</w:t>
            </w:r>
          </w:p>
        </w:tc>
        <w:tc>
          <w:tcPr>
            <w:tcW w:w="180" w:type="dxa"/>
            <w:vAlign w:val="bottom"/>
          </w:tcPr>
          <w:p>
            <w:pPr>
              <w:spacing w:after="0"/>
              <w:rPr>
                <w:sz w:val="14"/>
                <w:szCs w:val="14"/>
                <w:color w:val="auto"/>
              </w:rPr>
            </w:pPr>
          </w:p>
        </w:tc>
        <w:tc>
          <w:tcPr>
            <w:tcW w:w="134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Baton Rouge</w:t>
            </w:r>
          </w:p>
        </w:tc>
        <w:tc>
          <w:tcPr>
            <w:tcW w:w="300" w:type="dxa"/>
            <w:vAlign w:val="bottom"/>
          </w:tcPr>
          <w:p>
            <w:pPr>
              <w:spacing w:after="0"/>
              <w:rPr>
                <w:sz w:val="14"/>
                <w:szCs w:val="14"/>
                <w:color w:val="auto"/>
              </w:rPr>
            </w:pPr>
          </w:p>
        </w:tc>
        <w:tc>
          <w:tcPr>
            <w:tcW w:w="1140" w:type="dxa"/>
            <w:vAlign w:val="bottom"/>
          </w:tcPr>
          <w:p>
            <w:pPr>
              <w:ind w:left="220"/>
              <w:spacing w:after="0" w:line="172" w:lineRule="exact"/>
              <w:rPr>
                <w:sz w:val="20"/>
                <w:szCs w:val="20"/>
                <w:color w:val="auto"/>
              </w:rPr>
            </w:pPr>
            <w:r>
              <w:rPr>
                <w:rFonts w:ascii="Arial" w:cs="Arial" w:eastAsia="Arial" w:hAnsi="Arial"/>
                <w:sz w:val="16"/>
                <w:szCs w:val="16"/>
                <w:b w:val="1"/>
                <w:bCs w:val="1"/>
                <w:color w:val="auto"/>
              </w:rPr>
              <w:t>Korea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Arial" w:cs="Arial" w:eastAsia="Arial" w:hAnsi="Arial"/>
                <w:sz w:val="16"/>
                <w:szCs w:val="16"/>
                <w:color w:val="auto"/>
                <w:w w:val="91"/>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rPr>
              <w:t>(1)</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Sold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Presque, Nemacolin, Mountaineer, Caruthersville, Cape Girardeau, Kansas City, Vicksburg and Shreveport Divestitures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sale of Presque closed on January 11, 2019 resulting in a gain on sale of $22 million, net of final working capital adjustments, for the year ended December 31, 2019. The sale of Nemacolin closed on March 8, 2019 resulting in a gain of less than $1 million on the sale, net of final working capital adjustments, for the year ended December 31, 2019. The sales of Mountaineer, Caruthersville and Cape Girardeau were consummated on December 6, 2019, resulting in a gain of $29 million for the year ended December 31, 2019. On July 1, 2020, the Company consummated the sale of the equity interests of the entities that hold Vicksburg and Kansas City to Twin River for $230 million resulting in a gain of $8 million</w:t>
      </w:r>
      <w:r>
        <w:rPr>
          <w:rFonts w:ascii="Arial" w:cs="Arial" w:eastAsia="Arial" w:hAnsi="Arial"/>
          <w:sz w:val="17"/>
          <w:szCs w:val="17"/>
          <w:color w:val="EE2724"/>
        </w:rPr>
        <w:t>.</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their respective closing dates, Presque, Nemacolin, Mountaineer, Caruthersville, Cape Girardeau, Kansas City, and Vicksburg met the requirements for presentation as assets held for sale under generally accepted accounting principles. However, they did not meet the requirements for presentation as discontinued operations. All properties were previously reported in the Regional segment. As described above, the Company entered into an agreement and sold Shreveport during the year ended December 31,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(loss) income of properties sold during the year ended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6"/>
          </w:tcPr>
          <w:p>
            <w:pPr>
              <w:jc w:val="center"/>
              <w:ind w:left="1019"/>
              <w:spacing w:after="0"/>
              <w:rPr>
                <w:sz w:val="20"/>
                <w:szCs w:val="20"/>
                <w:color w:val="auto"/>
              </w:rPr>
            </w:pPr>
            <w:r>
              <w:rPr>
                <w:rFonts w:ascii="Arial" w:cs="Arial" w:eastAsia="Arial" w:hAnsi="Arial"/>
                <w:sz w:val="16"/>
                <w:szCs w:val="16"/>
                <w:b w:val="1"/>
                <w:bCs w:val="1"/>
                <w:color w:val="auto"/>
                <w:w w:val="91"/>
              </w:rPr>
              <w:t>Year Ended December 31, 2020</w:t>
            </w:r>
          </w:p>
        </w:tc>
        <w:tc>
          <w:tcPr>
            <w:tcW w:w="13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50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Kansas City</w:t>
            </w:r>
          </w:p>
        </w:tc>
        <w:tc>
          <w:tcPr>
            <w:tcW w:w="280" w:type="dxa"/>
            <w:vAlign w:val="bottom"/>
          </w:tcPr>
          <w:p>
            <w:pPr>
              <w:spacing w:after="0"/>
              <w:rPr>
                <w:sz w:val="14"/>
                <w:szCs w:val="14"/>
                <w:color w:val="auto"/>
              </w:rPr>
            </w:pPr>
          </w:p>
        </w:tc>
        <w:tc>
          <w:tcPr>
            <w:tcW w:w="1460" w:type="dxa"/>
            <w:vAlign w:val="bottom"/>
            <w:gridSpan w:val="2"/>
          </w:tcPr>
          <w:p>
            <w:pPr>
              <w:jc w:val="center"/>
              <w:ind w:right="380"/>
              <w:spacing w:after="0" w:line="172" w:lineRule="exact"/>
              <w:rPr>
                <w:sz w:val="20"/>
                <w:szCs w:val="20"/>
                <w:color w:val="auto"/>
              </w:rPr>
            </w:pPr>
            <w:r>
              <w:rPr>
                <w:rFonts w:ascii="Arial" w:cs="Arial" w:eastAsia="Arial" w:hAnsi="Arial"/>
                <w:sz w:val="16"/>
                <w:szCs w:val="16"/>
                <w:b w:val="1"/>
                <w:bCs w:val="1"/>
                <w:color w:val="auto"/>
                <w:w w:val="93"/>
              </w:rPr>
              <w:t>Vicksburg</w:t>
            </w:r>
          </w:p>
        </w:tc>
        <w:tc>
          <w:tcPr>
            <w:tcW w:w="300" w:type="dxa"/>
            <w:vAlign w:val="bottom"/>
          </w:tcPr>
          <w:p>
            <w:pPr>
              <w:spacing w:after="0"/>
              <w:rPr>
                <w:sz w:val="14"/>
                <w:szCs w:val="14"/>
                <w:color w:val="auto"/>
              </w:rPr>
            </w:pPr>
          </w:p>
        </w:tc>
        <w:tc>
          <w:tcPr>
            <w:tcW w:w="1340" w:type="dxa"/>
            <w:vAlign w:val="bottom"/>
          </w:tcPr>
          <w:p>
            <w:pPr>
              <w:jc w:val="right"/>
              <w:ind w:right="359"/>
              <w:spacing w:after="0" w:line="172" w:lineRule="exact"/>
              <w:rPr>
                <w:sz w:val="20"/>
                <w:szCs w:val="20"/>
                <w:color w:val="auto"/>
              </w:rPr>
            </w:pPr>
            <w:r>
              <w:rPr>
                <w:rFonts w:ascii="Arial" w:cs="Arial" w:eastAsia="Arial" w:hAnsi="Arial"/>
                <w:sz w:val="16"/>
                <w:szCs w:val="16"/>
                <w:b w:val="1"/>
                <w:bCs w:val="1"/>
                <w:color w:val="auto"/>
              </w:rPr>
              <w:t>Shreveport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(loss) income of held for sale properties for the year ended December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Year Ended December 31, 2019</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Presque</w:t>
            </w: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Nemacolin</w:t>
            </w:r>
          </w:p>
        </w:tc>
        <w:tc>
          <w:tcPr>
            <w:tcW w:w="14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Mountaineer</w:t>
            </w: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Cape</w:t>
            </w:r>
          </w:p>
        </w:tc>
        <w:tc>
          <w:tcPr>
            <w:tcW w:w="14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Caruthersville</w:t>
            </w:r>
          </w:p>
        </w:tc>
        <w:tc>
          <w:tcPr>
            <w:tcW w:w="12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Kansas City</w:t>
            </w:r>
          </w:p>
        </w:tc>
        <w:tc>
          <w:tcPr>
            <w:tcW w:w="160" w:type="dxa"/>
            <w:vAlign w:val="bottom"/>
          </w:tcPr>
          <w:p>
            <w:pPr>
              <w:spacing w:after="0"/>
              <w:rPr>
                <w:sz w:val="13"/>
                <w:szCs w:val="13"/>
                <w:color w:val="auto"/>
              </w:rPr>
            </w:pP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Vicksburg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7"/>
              </w:rPr>
              <w:t>Girardeau</w:t>
            </w: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(loss) income of held for sale properties for the year ended December 31,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Year Ended December 31, 2018</w:t>
            </w:r>
          </w:p>
        </w:tc>
      </w:tr>
      <w:tr>
        <w:trPr>
          <w:trHeight w:val="172"/>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500" w:type="dxa"/>
            <w:vAlign w:val="bottom"/>
            <w:gridSpan w:val="3"/>
          </w:tcPr>
          <w:p>
            <w:pPr>
              <w:jc w:val="center"/>
              <w:ind w:right="340"/>
              <w:spacing w:after="0" w:line="172" w:lineRule="exact"/>
              <w:rPr>
                <w:sz w:val="20"/>
                <w:szCs w:val="20"/>
                <w:color w:val="auto"/>
              </w:rPr>
            </w:pPr>
            <w:r>
              <w:rPr>
                <w:rFonts w:ascii="Arial" w:cs="Arial" w:eastAsia="Arial" w:hAnsi="Arial"/>
                <w:sz w:val="16"/>
                <w:szCs w:val="16"/>
                <w:b w:val="1"/>
                <w:bCs w:val="1"/>
                <w:color w:val="auto"/>
                <w:w w:val="88"/>
              </w:rPr>
              <w:t>Presque</w:t>
            </w:r>
          </w:p>
        </w:tc>
        <w:tc>
          <w:tcPr>
            <w:tcW w:w="260" w:type="dxa"/>
            <w:vAlign w:val="bottom"/>
          </w:tcPr>
          <w:p>
            <w:pPr>
              <w:spacing w:after="0"/>
              <w:rPr>
                <w:sz w:val="14"/>
                <w:szCs w:val="14"/>
                <w:color w:val="auto"/>
              </w:rPr>
            </w:pPr>
          </w:p>
        </w:tc>
        <w:tc>
          <w:tcPr>
            <w:tcW w:w="138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rPr>
              <w:t>Nemacolin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2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84"/>
        </w:trPr>
        <w:tc>
          <w:tcPr>
            <w:tcW w:w="7860" w:type="dxa"/>
            <w:vAlign w:val="bottom"/>
            <w:gridSpan w:val="4"/>
          </w:tcPr>
          <w:p>
            <w:pPr>
              <w:spacing w:after="0"/>
              <w:rPr>
                <w:sz w:val="20"/>
                <w:szCs w:val="20"/>
                <w:color w:val="auto"/>
              </w:rPr>
            </w:pPr>
            <w:r>
              <w:rPr>
                <w:rFonts w:ascii="Arial" w:cs="Arial" w:eastAsia="Arial" w:hAnsi="Arial"/>
                <w:sz w:val="18"/>
                <w:szCs w:val="18"/>
                <w:color w:val="auto"/>
              </w:rPr>
              <w:t>The assets and liabilities held for sale were as follows as of December 31, 2019:</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6"/>
                <w:szCs w:val="16"/>
                <w:b w:val="1"/>
                <w:bCs w:val="1"/>
                <w:color w:val="auto"/>
              </w:rPr>
              <w:t>December 31, 2019</w:t>
            </w:r>
          </w:p>
        </w:tc>
      </w:tr>
      <w:tr>
        <w:trPr>
          <w:trHeight w:val="172"/>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500" w:type="dxa"/>
            <w:vAlign w:val="bottom"/>
            <w:gridSpan w:val="3"/>
          </w:tcPr>
          <w:p>
            <w:pPr>
              <w:jc w:val="center"/>
              <w:ind w:right="380"/>
              <w:spacing w:after="0" w:line="172" w:lineRule="exact"/>
              <w:rPr>
                <w:sz w:val="20"/>
                <w:szCs w:val="20"/>
                <w:color w:val="auto"/>
              </w:rPr>
            </w:pPr>
            <w:r>
              <w:rPr>
                <w:rFonts w:ascii="Arial" w:cs="Arial" w:eastAsia="Arial" w:hAnsi="Arial"/>
                <w:sz w:val="16"/>
                <w:szCs w:val="16"/>
                <w:b w:val="1"/>
                <w:bCs w:val="1"/>
                <w:color w:val="auto"/>
                <w:w w:val="91"/>
              </w:rPr>
              <w:t>Kansas City</w:t>
            </w:r>
          </w:p>
        </w:tc>
        <w:tc>
          <w:tcPr>
            <w:tcW w:w="260" w:type="dxa"/>
            <w:vAlign w:val="bottom"/>
          </w:tcPr>
          <w:p>
            <w:pPr>
              <w:spacing w:after="0"/>
              <w:rPr>
                <w:sz w:val="14"/>
                <w:szCs w:val="14"/>
                <w:color w:val="auto"/>
              </w:rPr>
            </w:pPr>
          </w:p>
        </w:tc>
        <w:tc>
          <w:tcPr>
            <w:tcW w:w="1380" w:type="dxa"/>
            <w:vAlign w:val="bottom"/>
          </w:tcPr>
          <w:p>
            <w:pPr>
              <w:jc w:val="right"/>
              <w:ind w:right="379"/>
              <w:spacing w:after="0" w:line="172" w:lineRule="exact"/>
              <w:rPr>
                <w:sz w:val="20"/>
                <w:szCs w:val="20"/>
                <w:color w:val="auto"/>
              </w:rPr>
            </w:pPr>
            <w:r>
              <w:rPr>
                <w:rFonts w:ascii="Arial" w:cs="Arial" w:eastAsia="Arial" w:hAnsi="Arial"/>
                <w:sz w:val="16"/>
                <w:szCs w:val="16"/>
                <w:b w:val="1"/>
                <w:bCs w:val="1"/>
                <w:color w:val="auto"/>
              </w:rPr>
              <w:t>Vicksburg</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840" w:type="dxa"/>
            <w:vAlign w:val="bottom"/>
            <w:gridSpan w:val="3"/>
          </w:tcPr>
          <w:p>
            <w:pPr>
              <w:ind w:left="1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tcPr>
          <w:p>
            <w:pPr>
              <w:spacing w:after="0"/>
              <w:rPr>
                <w:sz w:val="18"/>
                <w:szCs w:val="18"/>
                <w:color w:val="auto"/>
              </w:rPr>
            </w:pPr>
          </w:p>
        </w:tc>
        <w:tc>
          <w:tcPr>
            <w:tcW w:w="7840" w:type="dxa"/>
            <w:vAlign w:val="bottom"/>
            <w:gridSpan w:val="3"/>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assets, net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7840" w:type="dxa"/>
            <w:vAlign w:val="bottom"/>
            <w:gridSpan w:val="3"/>
          </w:tcPr>
          <w:p>
            <w:pPr>
              <w:ind w:left="200"/>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840" w:type="dxa"/>
            <w:vAlign w:val="bottom"/>
            <w:gridSpan w:val="3"/>
          </w:tcPr>
          <w:p>
            <w:pPr>
              <w:ind w:left="1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840" w:type="dxa"/>
            <w:vAlign w:val="bottom"/>
            <w:gridSpan w:val="3"/>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Discontinued operations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result of the Merger, certain Former Caesars properties, including Harrah’s Louisiana Downs, Caesars Southern Indiana, Horseshoe Hammond, Harrah’s Reno, Caesars UK group, including Emerald Resorts &amp; Casino, and Bally’s Atlantic City (“Bally’s AC”) met held for sale criteria as of the date of the closing of the Merger. The sales of these properties have or are expected to close within one year from the date of the closing of the Merger and the properties are classified as discontinued operations. Caesars UK group, including Emerald Resorts &amp; Casino, is within the Managed, International, CIE segment while all other discontinued operations are in the Regional segment.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entered into an agreement to sell Harrah’s Louisiana Downs Casino, Racing &amp; Entertainment (“Harrah’s Louisiana Downs”) with Rubico Acquisition Corp. for $22 million, subject to a customary working capital adjustment, where the proceeds will be split between the Company and VICI. The sale is subject to satisfaction of customary conditions, including receipt of required regulatory approvals and is expected to close in the first half of 2021.</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30, 2020, the Company and VICI completed the sale of Harrah’s Reno for $42 million. The proceeds from the sale were split between the Company and VICI, and the Company received $8 million of net proceeds.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18, 2020, the Company and VICI completed the sale of Bally's AC to Bally’s Corporation for $25 million. The proceeds from the sale were split between the Company and VICI, and the Company received $5 million of net proceeds. As a result of the sale, Caesars agreed to reimburse Bally’s Corporation $30 million for capital expenditures required at Bally’s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Atlantic City and recorded a liability within Accrued other liabilities and a charge to Discontinued operations, net of income taxes. Our commitment will be satisfied by adjusting obligations under certain sportsbook operating agreements between Bally’s Corporation and the Company following our expected acquisition of William Hill.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24, 2020, the Company entered into an agreement to sell Caesars Southern Indiana to the EBCI for $250 million, subject to customary purchase price adjustments. The sale is subject to satisfaction of customary conditions, including receipt of required regulatory approvals and is expected to close in the third quarter of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(loss) income for the Company’s properties that are part of discontinued operations for the year ended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Year Ended December 31, 2020</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Horseshoe</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Harrah’s</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89"/>
              </w:rPr>
              <w:t>Caesars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Caesars UK</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Harrah’s Reno</w:t>
            </w: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Bally’s AC</w:t>
            </w:r>
          </w:p>
        </w:tc>
        <w:tc>
          <w:tcPr>
            <w:tcW w:w="200" w:type="dxa"/>
            <w:vAlign w:val="bottom"/>
          </w:tcPr>
          <w:p>
            <w:pPr>
              <w:spacing w:after="0"/>
              <w:rPr>
                <w:sz w:val="14"/>
                <w:szCs w:val="14"/>
                <w:color w:val="auto"/>
              </w:rPr>
            </w:pPr>
          </w:p>
        </w:tc>
        <w:tc>
          <w:tcPr>
            <w:tcW w:w="10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1"/>
              </w:rPr>
              <w:t>Southern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16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Hammond</w:t>
            </w: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w w:val="98"/>
              </w:rPr>
              <w:t>Louisiana Downs</w:t>
            </w:r>
          </w:p>
        </w:tc>
        <w:tc>
          <w:tcPr>
            <w:tcW w:w="1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9"/>
              <w:spacing w:after="0" w:line="175" w:lineRule="exact"/>
              <w:rPr>
                <w:sz w:val="20"/>
                <w:szCs w:val="20"/>
                <w:color w:val="auto"/>
              </w:rPr>
            </w:pPr>
            <w:r>
              <w:rPr>
                <w:rFonts w:ascii="Arial" w:cs="Arial" w:eastAsia="Arial" w:hAnsi="Arial"/>
                <w:sz w:val="16"/>
                <w:szCs w:val="16"/>
                <w:b w:val="1"/>
                <w:bCs w:val="1"/>
                <w:color w:val="auto"/>
                <w:w w:val="96"/>
              </w:rPr>
              <w:t>Indiana</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held for sale as a discontinued operation were as follows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December 31, 2020</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Horseshoe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Caesars UK</w:t>
            </w:r>
          </w:p>
        </w:tc>
        <w:tc>
          <w:tcPr>
            <w:tcW w:w="15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Harrah’s Louisiana</w:t>
            </w:r>
          </w:p>
        </w:tc>
        <w:tc>
          <w:tcPr>
            <w:tcW w:w="100" w:type="dxa"/>
            <w:vAlign w:val="bottom"/>
          </w:tcPr>
          <w:p>
            <w:pPr>
              <w:spacing w:after="0"/>
              <w:rPr>
                <w:sz w:val="13"/>
                <w:szCs w:val="13"/>
                <w:color w:val="auto"/>
              </w:rPr>
            </w:pPr>
          </w:p>
        </w:tc>
        <w:tc>
          <w:tcPr>
            <w:tcW w:w="13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89"/>
              </w:rPr>
              <w:t>Caesars Southern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Hammond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80" w:type="dxa"/>
            <w:vAlign w:val="bottom"/>
          </w:tcPr>
          <w:p>
            <w:pPr>
              <w:ind w:left="480"/>
              <w:spacing w:after="0" w:line="175" w:lineRule="exact"/>
              <w:rPr>
                <w:sz w:val="20"/>
                <w:szCs w:val="20"/>
                <w:color w:val="auto"/>
              </w:rPr>
            </w:pPr>
            <w:r>
              <w:rPr>
                <w:rFonts w:ascii="Arial" w:cs="Arial" w:eastAsia="Arial" w:hAnsi="Arial"/>
                <w:sz w:val="16"/>
                <w:szCs w:val="16"/>
                <w:b w:val="1"/>
                <w:bCs w:val="1"/>
                <w:color w:val="auto"/>
              </w:rPr>
              <w:t>Downs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35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licenses and other intangibles, net</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gridSpan w:val="2"/>
          </w:tcPr>
          <w:p>
            <w:pPr>
              <w:ind w:left="120"/>
              <w:spacing w:after="0"/>
              <w:rPr>
                <w:sz w:val="20"/>
                <w:szCs w:val="20"/>
                <w:color w:val="auto"/>
              </w:rPr>
            </w:pPr>
            <w:r>
              <w:rPr>
                <w:rFonts w:ascii="Arial" w:cs="Arial" w:eastAsia="Arial" w:hAnsi="Arial"/>
                <w:sz w:val="16"/>
                <w:szCs w:val="16"/>
                <w:color w:val="auto"/>
              </w:rPr>
              <w:t>Other assets, net</w:t>
            </w: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8" w:lineRule="auto"/>
        <w:tabs>
          <w:tab w:leader="none" w:pos="327" w:val="left"/>
        </w:tabs>
        <w:numPr>
          <w:ilvl w:val="0"/>
          <w:numId w:val="4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We have included $336 million of deferred finance obligation as held for sale liabilities for Caesars Southern Indiana and Harrah’s Louisiana Downs, which represent our preliminary purchase price allocation of the liability which will be derecognized upon completion of those divestitures. We have not included any portion of the deferred finance obligation associated with Horseshoe Hammond as held for sale as we do not yet have any sale agreements in place or know the effect of any possible master lease modification on our deferred finance lease liability.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and Advances to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entered into a 25-year agreement, which became effective January 29, 2019, with William Hill, which granted to William Hill the right to conduct betting activities, including operating our sportsbooks, in retail channels under certain skins for online channels with respect to the Company’s current and future properties, and conduct certain real money online gaming activities. The Company received a 20% ownership interest in William Hill US, as well as 13 million ordinary shares of William Hill plc, which carry certain time restrictions on when they can be sold. Additionally, the Company receives a profit share from the operations of sports betting and other gaming activities associated with the Company’s properties. “Skin” in the context of this agreement refers to the Company’s ability to grant to William Hill an online channel that allows William Hill to operate online casino and sports gaming activities in reliance on, and utilizing the benefit of, any licenses granted to the Company or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2020, the Company announced its intention to acquire William Hill plc in an all-cash transaction. See Note 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 Company’s receivable from William Hill totaled $7 million and $4 million, respectively, and is reflected in Due from affiliates on the Consolidated Balance Sheets.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accounting for its investment in William Hill US under the equity method. The fair value of the Company’s initial investment in William Hill US of $129 million at January 29, 2019 was determined using Level 3 inputs. As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2020 and 2019, the carrying value of the Company’s interest in William Hill US totaled $128 million and $127 million, respectively, and is recorded in Investment in and advances to unconsolidated affiliates on the Consolidated Balance Sheets.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accounting for its investment in William Hill plc as an investment in equity securities. As of December 31, 2020 and 2019, the fair value of the William Hill plc shares totaled $44 million and $29 million, respectively, net of cumulative unrealized gains of $17 million and $2 million, respectively, and is included in Other assets, net on the Consolidated Balance Sheets. The Company recorded unrealized gains of $15 million and $2 million during the years ended December 31, 2020 and 2019, respectively. See Note 8.</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described above, the Company granted William Hill the right to the use of certain skins to operate online sports betting operations through our market access in each state and operate retail sports betting in our current and future properties for an equity method investment. The fair value of the William Hill US and William Hill plc shares received have been deferred and are recognized as revenue on a straight-line basis over the 25-year agreement term. The Company recognized revenue of $8 million and $5 million during the years ended December 31, 2020 and 2019, respectively, and is recorded in Other revenue in the Consolidated Statement of Operations. As of December 31, 2020 and 2019, the balance of the William Hill deferred revenue totaled $134 million and $142 million, respectively, and is recorded in other long-term liabilities on the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stated at cost, except for assets acquired in our business combinations which were adjusted for fair value under ASC 805. Depreciation is computed using the straight-line method over the estimated useful life of the asset as noted in the table below, or the term of the lease, whichever is less. Costs of major improvements are capitalized, while costs of normal repairs and maintenance are charged to expense as incurred. Gains or losses on the disposal of property and equipment are included in operating income.</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property and equipment is subject to various operating leases for which we are the lessor. We lease our property and equipment related to our hotel rooms, convention space and retail space through various short-term and long-term operating leases. See Note 10 for further discussion of our leases.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5360" w:type="dxa"/>
            <w:vAlign w:val="bottom"/>
            <w:shd w:val="clear" w:color="auto" w:fill="CCEEFF"/>
          </w:tcPr>
          <w:p>
            <w:pPr>
              <w:jc w:val="center"/>
              <w:ind w:left="2819"/>
              <w:spacing w:after="0"/>
              <w:rPr>
                <w:sz w:val="20"/>
                <w:szCs w:val="20"/>
                <w:color w:val="auto"/>
              </w:rPr>
            </w:pPr>
            <w:r>
              <w:rPr>
                <w:rFonts w:ascii="Arial" w:cs="Arial" w:eastAsia="Arial" w:hAnsi="Arial"/>
                <w:sz w:val="16"/>
                <w:szCs w:val="16"/>
                <w:color w:val="auto"/>
                <w:w w:val="88"/>
              </w:rPr>
              <w:t>3 to 40 years</w:t>
            </w: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Land improvements</w:t>
            </w:r>
          </w:p>
        </w:tc>
        <w:tc>
          <w:tcPr>
            <w:tcW w:w="5360" w:type="dxa"/>
            <w:vAlign w:val="bottom"/>
          </w:tcPr>
          <w:p>
            <w:pPr>
              <w:jc w:val="center"/>
              <w:ind w:left="2819"/>
              <w:spacing w:after="0"/>
              <w:rPr>
                <w:sz w:val="20"/>
                <w:szCs w:val="20"/>
                <w:color w:val="auto"/>
              </w:rPr>
            </w:pPr>
            <w:r>
              <w:rPr>
                <w:rFonts w:ascii="Arial" w:cs="Arial" w:eastAsia="Arial" w:hAnsi="Arial"/>
                <w:sz w:val="16"/>
                <w:szCs w:val="16"/>
                <w:color w:val="auto"/>
                <w:w w:val="88"/>
              </w:rPr>
              <w:t>12 to 40 years</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and equipment</w:t>
            </w:r>
          </w:p>
        </w:tc>
        <w:tc>
          <w:tcPr>
            <w:tcW w:w="5360" w:type="dxa"/>
            <w:vAlign w:val="bottom"/>
            <w:shd w:val="clear" w:color="auto" w:fill="CCEEFF"/>
          </w:tcPr>
          <w:p>
            <w:pPr>
              <w:jc w:val="center"/>
              <w:ind w:left="2819"/>
              <w:spacing w:after="0"/>
              <w:rPr>
                <w:sz w:val="20"/>
                <w:szCs w:val="20"/>
                <w:color w:val="auto"/>
              </w:rPr>
            </w:pPr>
            <w:r>
              <w:rPr>
                <w:rFonts w:ascii="Arial" w:cs="Arial" w:eastAsia="Arial" w:hAnsi="Arial"/>
                <w:sz w:val="16"/>
                <w:szCs w:val="16"/>
                <w:color w:val="auto"/>
                <w:w w:val="88"/>
              </w:rPr>
              <w:t>3 to 15 years</w:t>
            </w: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Riverboats</w:t>
            </w:r>
          </w:p>
        </w:tc>
        <w:tc>
          <w:tcPr>
            <w:tcW w:w="5360" w:type="dxa"/>
            <w:vAlign w:val="bottom"/>
          </w:tcPr>
          <w:p>
            <w:pPr>
              <w:jc w:val="center"/>
              <w:ind w:left="2819"/>
              <w:spacing w:after="0"/>
              <w:rPr>
                <w:sz w:val="20"/>
                <w:szCs w:val="20"/>
                <w:color w:val="auto"/>
              </w:rPr>
            </w:pPr>
            <w:r>
              <w:rPr>
                <w:rFonts w:ascii="Arial" w:cs="Arial" w:eastAsia="Arial" w:hAnsi="Arial"/>
                <w:sz w:val="16"/>
                <w:szCs w:val="16"/>
                <w:color w:val="auto"/>
                <w:w w:val="87"/>
              </w:rPr>
              <w:t>30 years</w:t>
            </w:r>
          </w:p>
        </w:tc>
      </w:tr>
    </w:tbl>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evaluates its property and equipment and other long-lived assets for impairment based on its classification as held for sale or to be held and used. Several criteria must be met before an asset is classified as held for sale, including that management with the appropriate authority commits to a plan to sell the asset at a reasonable price in relation to its fair value and is actively seeking a buyer. For assets held for sale, the Company recognizes the asset at the lower of carrying value or fair market value less costs to sell, as estimated based on comparable asset sales, offers received, or a discounted cash flow model. For assets to be held and used, the Company reviews for impairment whenever indicators of impairment exist. The Company then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may be recorded for any difference between fair value and the carrying value. All recognized impairment losses, whether for assets held for sale or assets to be held and used, are recorded as operating expenses. For the year ended December 31, 2018, an impairment charge of $4 million was recorded related to the property and equipment held for sale at Nemacolin. For the year ended December 31, 2019, an impairment charge totaling $1 million was recorded related to non-operating real property located in Pennsylvania. During the year ended December 31, 2020, we recorded a tangible asset impairment of $4 million related to the sale of corporate airplane. See Note 4 for further discussion of impairment on assets held for sale.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Property and Equipment, Net</w:t>
      </w:r>
    </w:p>
    <w:p>
      <w:pPr>
        <w:spacing w:after="0" w:line="23"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13"/>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13"/>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w:t>
            </w:r>
          </w:p>
        </w:tc>
      </w:tr>
      <w:tr>
        <w:trPr>
          <w:trHeight w:val="213"/>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b w:val="1"/>
                <w:bCs w:val="1"/>
                <w:color w:val="auto"/>
                <w:w w:val="90"/>
              </w:rPr>
              <w:t>Years Ended December 31,</w:t>
            </w:r>
          </w:p>
        </w:tc>
        <w:tc>
          <w:tcPr>
            <w:tcW w:w="118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8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19"/>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bl>
    <w:p>
      <w:pPr>
        <w:spacing w:after="0" w:line="148" w:lineRule="exact"/>
        <w:rPr>
          <w:sz w:val="20"/>
          <w:szCs w:val="20"/>
          <w:color w:val="auto"/>
        </w:rPr>
      </w:pPr>
    </w:p>
    <w:p>
      <w:pPr>
        <w:ind w:right="1720"/>
        <w:spacing w:after="0" w:line="438" w:lineRule="auto"/>
        <w:rPr>
          <w:sz w:val="20"/>
          <w:szCs w:val="20"/>
          <w:color w:val="auto"/>
        </w:rPr>
      </w:pPr>
      <w:r>
        <w:rPr>
          <w:rFonts w:ascii="Arial" w:cs="Arial" w:eastAsia="Arial" w:hAnsi="Arial"/>
          <w:sz w:val="18"/>
          <w:szCs w:val="18"/>
          <w:color w:val="auto"/>
        </w:rPr>
        <w:t xml:space="preserve">Depreciation is calculated using the straight-line method over the shorter of the estimated useful life of the asset or the related lease. </w:t>
      </w:r>
      <w:r>
        <w:rPr>
          <w:rFonts w:ascii="Arial" w:cs="Arial" w:eastAsia="Arial" w:hAnsi="Arial"/>
          <w:sz w:val="18"/>
          <w:szCs w:val="18"/>
          <w:b w:val="1"/>
          <w:bCs w:val="1"/>
          <w:color w:val="auto"/>
        </w:rPr>
        <w:t>Note 7. Goodwill and Intangible Assets, net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and indefinite-lived intangible assets must be reviewed for impairment at least annually and between annual test dates in certain circumstances. The Company performs its annual impairment tests as of October 1 of each fiscal year. The Company performs this assessment more frequently if impairment indicators exist. The Company performed the annual goodwill impairment test by comparing the fair value of each reporting unit with its carrying amount. The Company determines the estimated fair value of each reporting unit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The Company also evaluates the aggregate fair value of all of its reporting units and other non-operating assets in comparison to its aggregate debt and equity market capitalization at the test date. EBITDA multiples and discounted cash flows are common measures used to value businesses in the industry.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Indefinite-lived intangible assets consist primarily of trademarks and expenditures associated with obtaining racing and gaming licenses. Indefinite-lived intangible assets are not subject to amortization but are subject to an annual impairment test. If the carrying amount of an indefinite-lived intangible asset exceeds its fair value, an impairment loss is recognized in an amount equal to that excess amount.</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Gaming rights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 For gaming jurisdictions with high barriers of renewal of the gaming rights, such as material costs of renewal, the gaming rights are deemed to have a finite useful life and are amortized over the expected useful life.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Finite-lived intangible assets consist of trade names and customer relationships acquired in business combinations. Amortization is recorded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Goodwill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Las Vegas</w:t>
            </w:r>
          </w:p>
        </w:tc>
        <w:tc>
          <w:tcPr>
            <w:tcW w:w="240" w:type="dxa"/>
            <w:vAlign w:val="bottom"/>
          </w:tcPr>
          <w:p>
            <w:pPr>
              <w:spacing w:after="0"/>
              <w:rPr>
                <w:sz w:val="16"/>
                <w:szCs w:val="16"/>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Regional</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Managed,</w:t>
            </w:r>
          </w:p>
        </w:tc>
        <w:tc>
          <w:tcPr>
            <w:tcW w:w="240" w:type="dxa"/>
            <w:vAlign w:val="bottom"/>
          </w:tcPr>
          <w:p>
            <w:pPr>
              <w:spacing w:after="0"/>
              <w:rPr>
                <w:sz w:val="16"/>
                <w:szCs w:val="16"/>
                <w:color w:val="auto"/>
              </w:rPr>
            </w:pPr>
          </w:p>
        </w:tc>
        <w:tc>
          <w:tcPr>
            <w:tcW w:w="12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CEI 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580" w:type="dxa"/>
            <w:vAlign w:val="bottom"/>
            <w:gridSpan w:val="3"/>
          </w:tcPr>
          <w:p>
            <w:pPr>
              <w:ind w:left="100"/>
              <w:spacing w:after="0" w:line="175" w:lineRule="exact"/>
              <w:rPr>
                <w:sz w:val="20"/>
                <w:szCs w:val="20"/>
                <w:color w:val="auto"/>
              </w:rPr>
            </w:pPr>
            <w:r>
              <w:rPr>
                <w:rFonts w:ascii="Arial" w:cs="Arial" w:eastAsia="Arial" w:hAnsi="Arial"/>
                <w:sz w:val="16"/>
                <w:szCs w:val="16"/>
                <w:b w:val="1"/>
                <w:bCs w:val="1"/>
                <w:color w:val="auto"/>
              </w:rPr>
              <w:t>International, CIE</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w w:val="93"/>
              </w:rPr>
              <w:t>Gross Goodwill</w:t>
            </w:r>
          </w:p>
        </w:tc>
        <w:tc>
          <w:tcPr>
            <w:tcW w:w="410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4"/>
          </w:tcPr>
          <w:p>
            <w:pPr>
              <w:ind w:left="200"/>
              <w:spacing w:after="0"/>
              <w:rPr>
                <w:sz w:val="20"/>
                <w:szCs w:val="20"/>
                <w:color w:val="auto"/>
              </w:rPr>
            </w:pPr>
            <w:r>
              <w:rPr>
                <w:rFonts w:ascii="Arial" w:cs="Arial" w:eastAsia="Arial" w:hAnsi="Arial"/>
                <w:sz w:val="16"/>
                <w:szCs w:val="16"/>
                <w:color w:val="auto"/>
              </w:rPr>
              <w:t>Balance as of January 1, 2019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Divestitures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4"/>
          </w:tcPr>
          <w:p>
            <w:pPr>
              <w:ind w:left="200"/>
              <w:spacing w:after="0"/>
              <w:rPr>
                <w:sz w:val="20"/>
                <w:szCs w:val="20"/>
                <w:color w:val="auto"/>
              </w:rPr>
            </w:pPr>
            <w:r>
              <w:rPr>
                <w:rFonts w:ascii="Arial" w:cs="Arial" w:eastAsia="Arial" w:hAnsi="Arial"/>
                <w:sz w:val="16"/>
                <w:szCs w:val="16"/>
                <w:color w:val="auto"/>
              </w:rPr>
              <w:t>Transferred to assets held for sale</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gridSpan w:val="4"/>
          </w:tcPr>
          <w:p>
            <w:pPr>
              <w:ind w:left="200"/>
              <w:spacing w:after="0"/>
              <w:rPr>
                <w:sz w:val="20"/>
                <w:szCs w:val="20"/>
                <w:color w:val="auto"/>
              </w:rPr>
            </w:pPr>
            <w:r>
              <w:rPr>
                <w:rFonts w:ascii="Arial" w:cs="Arial" w:eastAsia="Arial" w:hAnsi="Arial"/>
                <w:sz w:val="16"/>
                <w:szCs w:val="16"/>
                <w:color w:val="auto"/>
              </w:rPr>
              <w:t>Balance as of December 31, 2019</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Accumulated Impairment</w:t>
            </w: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4"/>
          </w:tcPr>
          <w:p>
            <w:pPr>
              <w:ind w:left="200"/>
              <w:spacing w:after="0"/>
              <w:rPr>
                <w:sz w:val="20"/>
                <w:szCs w:val="20"/>
                <w:color w:val="auto"/>
              </w:rPr>
            </w:pPr>
            <w:r>
              <w:rPr>
                <w:rFonts w:ascii="Arial" w:cs="Arial" w:eastAsia="Arial" w:hAnsi="Arial"/>
                <w:sz w:val="16"/>
                <w:szCs w:val="16"/>
                <w:color w:val="auto"/>
              </w:rPr>
              <w:t>Balance as of January 1, 2019</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Transferred to assets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gridSpan w:val="4"/>
          </w:tcPr>
          <w:p>
            <w:pPr>
              <w:ind w:left="200"/>
              <w:spacing w:after="0"/>
              <w:rPr>
                <w:sz w:val="20"/>
                <w:szCs w:val="20"/>
                <w:color w:val="auto"/>
              </w:rPr>
            </w:pPr>
            <w:r>
              <w:rPr>
                <w:rFonts w:ascii="Arial" w:cs="Arial" w:eastAsia="Arial" w:hAnsi="Arial"/>
                <w:sz w:val="16"/>
                <w:szCs w:val="16"/>
                <w:color w:val="auto"/>
              </w:rPr>
              <w:t>Balance as of December 31, 2019</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carrying value, as of December 31, 2019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93"/>
              </w:rPr>
              <w:t>Gross Goodwill</w:t>
            </w:r>
          </w:p>
        </w:tc>
        <w:tc>
          <w:tcPr>
            <w:tcW w:w="410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4"/>
          </w:tcPr>
          <w:p>
            <w:pPr>
              <w:ind w:left="200"/>
              <w:spacing w:after="0"/>
              <w:rPr>
                <w:sz w:val="20"/>
                <w:szCs w:val="20"/>
                <w:color w:val="auto"/>
              </w:rPr>
            </w:pPr>
            <w:r>
              <w:rPr>
                <w:rFonts w:ascii="Arial" w:cs="Arial" w:eastAsia="Arial" w:hAnsi="Arial"/>
                <w:sz w:val="16"/>
                <w:szCs w:val="16"/>
                <w:color w:val="auto"/>
              </w:rPr>
              <w:t>Balance as of January 1, 2020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Transferred to assets held for sale (see Note 4)</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gridSpan w:val="4"/>
          </w:tcPr>
          <w:p>
            <w:pPr>
              <w:ind w:left="200"/>
              <w:spacing w:after="0" w:line="216"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Balance as of December 31, 2020</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gridSpan w:val="4"/>
          </w:tcPr>
          <w:p>
            <w:pPr>
              <w:spacing w:after="0" w:line="155" w:lineRule="exact"/>
              <w:rPr>
                <w:sz w:val="20"/>
                <w:szCs w:val="20"/>
                <w:color w:val="auto"/>
              </w:rPr>
            </w:pPr>
            <w:r>
              <w:rPr>
                <w:rFonts w:ascii="Arial" w:cs="Arial" w:eastAsia="Arial" w:hAnsi="Arial"/>
                <w:sz w:val="16"/>
                <w:szCs w:val="16"/>
                <w:color w:val="auto"/>
              </w:rPr>
              <w:t>Accumulated Impairment</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Balance as of January 1, 2020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gridSpan w:val="4"/>
          </w:tcPr>
          <w:p>
            <w:pPr>
              <w:ind w:left="20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Transferred to assets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gridSpan w:val="4"/>
          </w:tcPr>
          <w:p>
            <w:pPr>
              <w:ind w:left="220"/>
              <w:spacing w:after="0"/>
              <w:rPr>
                <w:sz w:val="20"/>
                <w:szCs w:val="20"/>
                <w:color w:val="auto"/>
              </w:rPr>
            </w:pPr>
            <w:r>
              <w:rPr>
                <w:rFonts w:ascii="Arial" w:cs="Arial" w:eastAsia="Arial" w:hAnsi="Arial"/>
                <w:sz w:val="16"/>
                <w:szCs w:val="16"/>
                <w:color w:val="auto"/>
              </w:rPr>
              <w:t>Balance as of December 31, 2020</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gridSpan w:val="4"/>
            <w:shd w:val="clear" w:color="auto" w:fill="CCEEFF"/>
          </w:tcPr>
          <w:p>
            <w:pPr>
              <w:spacing w:after="0" w:line="213" w:lineRule="exact"/>
              <w:rPr>
                <w:sz w:val="20"/>
                <w:szCs w:val="20"/>
                <w:color w:val="auto"/>
              </w:rPr>
            </w:pPr>
            <w:r>
              <w:rPr>
                <w:rFonts w:ascii="Arial" w:cs="Arial" w:eastAsia="Arial" w:hAnsi="Arial"/>
                <w:sz w:val="16"/>
                <w:szCs w:val="16"/>
                <w:color w:val="auto"/>
              </w:rPr>
              <w:t xml:space="preserve">Net carrying value, as of December 31, 2020 </w:t>
            </w:r>
            <w:r>
              <w:rPr>
                <w:rFonts w:ascii="Arial" w:cs="Arial" w:eastAsia="Arial" w:hAnsi="Arial"/>
                <w:sz w:val="21"/>
                <w:szCs w:val="21"/>
                <w:i w:val="1"/>
                <w:iCs w:val="1"/>
                <w:color w:val="auto"/>
                <w:vertAlign w:val="superscript"/>
              </w:rPr>
              <w:t>(b)</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goodwill acquired upon Merger. See Note 3 for further detail.</w:t>
      </w:r>
    </w:p>
    <w:p>
      <w:pPr>
        <w:ind w:left="320" w:hanging="312"/>
        <w:spacing w:after="0" w:line="186" w:lineRule="auto"/>
        <w:tabs>
          <w:tab w:leader="none" w:pos="320" w:val="left"/>
        </w:tabs>
        <w:numPr>
          <w:ilvl w:val="0"/>
          <w:numId w:val="4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$281 million of goodwill within our Regional segment is associated with reporting units with zero or negative carrying value.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3"/>
              </w:rPr>
              <w:t>Amortizing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320"/>
              <w:spacing w:after="0"/>
              <w:rPr>
                <w:sz w:val="20"/>
                <w:szCs w:val="20"/>
                <w:color w:val="auto"/>
              </w:rPr>
            </w:pPr>
            <w:r>
              <w:rPr>
                <w:rFonts w:ascii="Arial" w:cs="Arial" w:eastAsia="Arial" w:hAnsi="Arial"/>
                <w:sz w:val="16"/>
                <w:szCs w:val="16"/>
                <w:b w:val="1"/>
                <w:bCs w:val="1"/>
                <w:color w:val="auto"/>
              </w:rPr>
              <w:t>Non-Amortizing</w:t>
            </w:r>
          </w:p>
        </w:tc>
        <w:tc>
          <w:tcPr>
            <w:tcW w:w="240" w:type="dxa"/>
            <w:vAlign w:val="bottom"/>
          </w:tcPr>
          <w:p>
            <w:pPr>
              <w:spacing w:after="0"/>
              <w:rPr>
                <w:sz w:val="18"/>
                <w:szCs w:val="18"/>
                <w:color w:val="auto"/>
              </w:rPr>
            </w:pPr>
          </w:p>
        </w:tc>
        <w:tc>
          <w:tcPr>
            <w:tcW w:w="11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January 1</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r>
      <w:tr>
        <w:trPr>
          <w:trHeight w:val="213"/>
        </w:trPr>
        <w:tc>
          <w:tcPr>
            <w:tcW w:w="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Arial" w:cs="Arial" w:eastAsia="Arial" w:hAnsi="Arial"/>
                <w:sz w:val="16"/>
                <w:szCs w:val="16"/>
                <w:color w:val="auto"/>
              </w:rPr>
              <w:t>Impairment</w:t>
            </w: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expense</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Arial" w:cs="Arial" w:eastAsia="Arial" w:hAnsi="Arial"/>
                <w:sz w:val="16"/>
                <w:szCs w:val="16"/>
                <w:color w:val="auto"/>
              </w:rPr>
              <w:t>Transferred to assets held for sale (see Note 4)</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6"/>
                <w:szCs w:val="16"/>
                <w:color w:val="auto"/>
              </w:rPr>
              <w:t>Balance as of December 31</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479</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intangible assets acquired upon Merger and $35 million of acquisition of gaming rights. See Note 3 and Note 11 for further detail.</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2020, the Company recognized impairment charges in our Regional segment related to goodwill and trade names totaling $100 million and $16 million, respectively, due to declines in recent performance and the expected impact on future cash flows as a result of COVID-19.</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2019, no reporting units were noted to have a carrying value in excess of fair value. As a result, no impairments were indicated as a result of this testing for goodwill.</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assets are deemed to be held for sale, any associated intangible assets, including goodwill, are reclassified to Assets held for sale on our balance sheets (see Note 4).</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used the Excess Earnings Method and a Cost Approach for estimating fair value for these gaming rights. We utilized an income approach using a discounted cash flow method to determine the fair value of our goodwill.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9"/>
              </w:rPr>
              <w:t>December 31, 2019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Useful Life</w:t>
            </w:r>
          </w:p>
        </w:tc>
        <w:tc>
          <w:tcPr>
            <w:tcW w:w="132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12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9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5"/>
                <w:szCs w:val="15"/>
                <w:color w:val="auto"/>
              </w:rPr>
            </w:pPr>
          </w:p>
        </w:tc>
        <w:tc>
          <w:tcPr>
            <w:tcW w:w="82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Amortizing intangible assets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3 - 7 years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396</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719"/>
              <w:spacing w:after="0"/>
              <w:rPr>
                <w:sz w:val="20"/>
                <w:szCs w:val="20"/>
                <w:color w:val="auto"/>
              </w:rPr>
            </w:pPr>
            <w:r>
              <w:rPr>
                <w:rFonts w:ascii="Arial" w:cs="Arial" w:eastAsia="Arial" w:hAnsi="Arial"/>
                <w:sz w:val="16"/>
                <w:szCs w:val="16"/>
                <w:color w:val="auto"/>
                <w:w w:val="91"/>
              </w:rPr>
              <w:t>(48)</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others</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34 years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73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719"/>
              <w:spacing w:after="0"/>
              <w:rPr>
                <w:sz w:val="20"/>
                <w:szCs w:val="20"/>
                <w:color w:val="auto"/>
              </w:rPr>
            </w:pPr>
            <w:r>
              <w:rPr>
                <w:rFonts w:ascii="Arial" w:cs="Arial" w:eastAsia="Arial" w:hAnsi="Arial"/>
                <w:sz w:val="16"/>
                <w:szCs w:val="16"/>
                <w:color w:val="auto"/>
                <w:w w:val="91"/>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6"/>
                <w:szCs w:val="16"/>
                <w:i w:val="1"/>
                <w:iCs w:val="1"/>
                <w:color w:val="auto"/>
              </w:rPr>
              <w:t>Non-amortizing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Trademarks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ind w:left="120"/>
              <w:spacing w:after="0"/>
              <w:rPr>
                <w:sz w:val="20"/>
                <w:szCs w:val="20"/>
                <w:color w:val="auto"/>
              </w:rPr>
            </w:pPr>
            <w:r>
              <w:rPr>
                <w:rFonts w:ascii="Arial" w:cs="Arial" w:eastAsia="Arial" w:hAnsi="Arial"/>
                <w:sz w:val="16"/>
                <w:szCs w:val="16"/>
                <w:color w:val="auto"/>
              </w:rPr>
              <w:t>Gaming rights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Caesars Rewards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with respect to intangible assets for the years ended December 31, 2020, 2019 and 2018 totaled $56 million, $30 million and $13 million, respectively, which is included in depreciation and amortization in the Consolidated Statements of Income.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90"/>
              </w:rPr>
              <w:t>Years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and liabilities measured at fair value on a recurring basis, by</w:t>
      </w:r>
      <w:r>
        <w:rPr>
          <w:rFonts w:ascii="Arial" w:cs="Arial" w:eastAsia="Arial" w:hAnsi="Arial"/>
          <w:sz w:val="18"/>
          <w:szCs w:val="18"/>
          <w:i w:val="1"/>
          <w:iCs w:val="1"/>
          <w:color w:val="auto"/>
        </w:rPr>
        <w:t xml:space="preserve"> </w:t>
      </w:r>
      <w:r>
        <w:rPr>
          <w:rFonts w:ascii="Arial" w:cs="Arial" w:eastAsia="Arial" w:hAnsi="Arial"/>
          <w:sz w:val="18"/>
          <w:szCs w:val="18"/>
          <w:color w:val="auto"/>
        </w:rPr>
        <w:t>input level, in the Consolidated Balance Sheets at December 31,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- 5% Convertible Notes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2"/>
        </w:trPr>
        <w:tc>
          <w:tcPr>
            <w:tcW w:w="5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restricted investments valued using Level 3 inputs for the years ended December 31, 2020 and 2019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Level 3 Investment</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Level 3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and liabilities at December 31, 2018</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Non-cash consideration</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Released from restrictions</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Unrealized gain (loss)</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and liabilities at December 31, 2019</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Value of additional investment received</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Released from restrictions</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Unrealized gain</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Fair value at December 31, 2020</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estimated fair values of the Company’s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 Restricted cash classified as Level 1 includes cash held in short-term certificate of deposit accounts or money market type funds. Restricted investments include shares acquired in conjunction with the Company’s sports betting agreements that contain restrictions related to the ability to liquidate shares within a specified timeframe.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2018, the Company entered into a 20-year agreement with The Stars Group Inc. (“TSG”) to provide TSG with options to obtain access to a second skin for online sports wagering and third skin for real money online gaming and poker with respect to the Company’s properties in the United States. Under the terms of the agreement, the Company received 1 million TSG common shares as a revenue share from the operation of the applicable verticals by TSG under the Company’s licenses. The fair value of the shares received has been deferred and is recognized as revenue on a straight-line basis over the 20-year agreement term. All shares are subject to a one year restriction on transfer from the date they are received. On May 5, 2020, Flutter Entertainment PLC (“Flutter”) completed the acquisition of all of the issued and outstanding common shares of TSG in exchange for 0.2253 Flutter shares per common share of TSG.</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and 2019, the fair value of unrestricted shares totaled $10 million and $14 million, respectively, net of cumulative unrealized gains of $5 million and $4 million, respectively, and is included in Prepayments and other current assets on the Consolidated Balance Sheet. The Company recorded unrealized gains of $14 million and $1 million during the years ended December 31, 2020 and 2019, respectively, which are included in Other (loss) income on the Statement of Operations. In December 2020, the Company sold 121,285 shares for net proceeds of approximately $24 million.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restriction on the Flutter shares expired in December 2020. As such, the shares were transferred from a Level 3 investment to a Level 1 investment. There were no other transfers between Level 1, Level 2 and Level 3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Marketable securities consist primarily of trading securities held by the Company’s captive insurance subsidiary and unrestricted shares acquired in conjunction with the Company’s sports betting agreements.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 - Derivative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6, 2017, Former Caesars issued $1.1 billion aggregate principal amount of 5% Convertible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5% Convertible Notes are convertible into the weighted average of the number of shares of Company Common Stock and amount of cash actually received per share by holders of common stock of Former Caesars that made elections for consideration in the Merger. As a result, the 5% Convertible Notes are convertible into a number of shares of Company Common Stock that is equal to approximately 0.014 shares of Company Common Stock and $1.17 of cash per $1.00 principal amount of 5% Convertible Notes. The 5% Convertible Notes are convertible at any time at the option of the holders thereof or the Company. We do not intend to exercise our option to convert these notes prior to maturity. As of December 31, 2020, approximately $770 million of the 5% Convertible Notes have been converted into cash and shares resulting in a net gain of $16 million which is recorded within other (loss) income on the Statement of Operations.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outstanding balance of $325 million, of which $10 million was held in trust as of December 31, 2020, would result in the issuance of an aggregate of 4.5 million shares of Company Common Stock and payment of $379 million upon conversion of the remaining outstanding 5% Convertible Notes. As of December 31, 2020, the estimated remaining life of the 5% Convertible Notes is approximately 3.8 years.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Management analyzed the conversion features for derivative accounting consideration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(“ASC 815”) and determined that the 5% Convertible Notes contain bifurcated derivative features and qualify for derivative accounting. In accordance with ASC 815, the Company has bifurcated the conversion features of the 5% Convertible Notes and recorded a derivative liability. The 5% Convertible Notes derivative features are not designated as hedging instruments. The derivative features of the 5% Convertible Notes are carried on the Company’s Balance Sheet at fair value in Other long-term liabilities. The derivative liability is marked-to-market each measurement period and the changes in fair value as a result of fluctuations in the share price of our common stock resulted in a loss of $111 million for the year ended December 31, 2020, which was recorded as a component of Other (loss) income in the Statement of Operations. The derivative liability associated with the 5% Convertible Notes will remain in effect until such time as the underlying convertible notes are exercised or terminated and the resulting derivative liability will be reclassified from a liability to equity as of such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5% Convertible Notes had an initial face value of $1.1 billion, an initial term of seven years, and a coupon rate of 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we estimated the fair value of the 5% Convertible Notes using a market-based approach that incorporated the value of both the straight debt and conversion features of the 5% Convertible Notes. The valuation model incorporated actively traded prices of the 5% Convertible Notes as of the reporting date, and assumptions regarding the incremental cost of borrowing for CEI. The key assumption used in the valuation model is the actively traded price of 5% Convertible Notes and the incremental cost of borrowing is an indirectly observable input. The fair value for the conversion features of the 5% Convertible Notes is classified as Level 2 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as of December 31, 2020:</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i w:val="1"/>
          <w:iCs w:val="1"/>
          <w:color w:val="212529"/>
        </w:rPr>
      </w:pPr>
      <w:r>
        <w:rPr>
          <w:rFonts w:ascii="Arial" w:cs="Arial" w:eastAsia="Arial" w:hAnsi="Arial"/>
          <w:sz w:val="18"/>
          <w:szCs w:val="18"/>
          <w:color w:val="auto"/>
        </w:rPr>
        <w:t>Actively traded price of 5% Convertible Notes - $207.00</w:t>
      </w:r>
    </w:p>
    <w:p>
      <w:pPr>
        <w:spacing w:after="0" w:line="23" w:lineRule="exact"/>
        <w:rPr>
          <w:rFonts w:ascii="Arial" w:cs="Arial" w:eastAsia="Arial" w:hAnsi="Arial"/>
          <w:sz w:val="18"/>
          <w:szCs w:val="18"/>
          <w:i w:val="1"/>
          <w:iCs w:val="1"/>
          <w:color w:val="212529"/>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Incremental cost of borrowing - 4.0%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 xml:space="preserve">In relation to the proposed acquisition of William Hill plc, on September 28, 2020, the Company entered into a foreign exchange forward contract to hedge the risk of appreciation of the GBP denominated purchase price. Under the agreement, the Company agreed to purchase £1.3 billion at a contracted exchange rate, however, on October 1, 2020 the contract was cancelled without being executed. In addition, on October 9, 2020, the Company entered into a separate foreign exchange forward contract to purchase £536 million at a contracted exchange rate. As of </w:t>
      </w:r>
      <w:r>
        <w:rPr>
          <w:rFonts w:ascii="Arial" w:cs="Arial" w:eastAsia="Arial" w:hAnsi="Arial"/>
          <w:sz w:val="17"/>
          <w:szCs w:val="17"/>
          <w:color w:val="000000"/>
        </w:rPr>
        <w:t>December 31, 2020, the forward contract was</w:t>
      </w:r>
      <w:r>
        <w:rPr>
          <w:rFonts w:ascii="Arial" w:cs="Arial" w:eastAsia="Arial" w:hAnsi="Arial"/>
          <w:sz w:val="17"/>
          <w:szCs w:val="17"/>
          <w:color w:val="212529"/>
        </w:rPr>
        <w:t xml:space="preserve"> </w:t>
      </w:r>
      <w:r>
        <w:rPr>
          <w:rFonts w:ascii="Arial" w:cs="Arial" w:eastAsia="Arial" w:hAnsi="Arial"/>
          <w:sz w:val="17"/>
          <w:szCs w:val="17"/>
          <w:color w:val="000000"/>
        </w:rPr>
        <w:t xml:space="preserve">valued at $40 million and was recorded in Other long-term assets. A corresponding </w:t>
      </w:r>
      <w:r>
        <w:rPr>
          <w:rFonts w:ascii="Arial" w:cs="Arial" w:eastAsia="Arial" w:hAnsi="Arial"/>
          <w:sz w:val="17"/>
          <w:szCs w:val="17"/>
          <w:color w:val="212529"/>
        </w:rPr>
        <w:t>unrealized gain of $40 million related to the change in fair value was</w:t>
      </w:r>
      <w:r>
        <w:rPr>
          <w:rFonts w:ascii="Arial" w:cs="Arial" w:eastAsia="Arial" w:hAnsi="Arial"/>
          <w:sz w:val="17"/>
          <w:szCs w:val="17"/>
          <w:color w:val="000000"/>
        </w:rPr>
        <w:t xml:space="preserve"> </w:t>
      </w:r>
      <w:r>
        <w:rPr>
          <w:rFonts w:ascii="Arial" w:cs="Arial" w:eastAsia="Arial" w:hAnsi="Arial"/>
          <w:sz w:val="17"/>
          <w:szCs w:val="17"/>
          <w:color w:val="212529"/>
        </w:rPr>
        <w:t xml:space="preserve">recorded in the </w:t>
      </w:r>
      <w:r>
        <w:rPr>
          <w:rFonts w:ascii="Arial" w:cs="Arial" w:eastAsia="Arial" w:hAnsi="Arial"/>
          <w:sz w:val="17"/>
          <w:szCs w:val="17"/>
          <w:color w:val="000000"/>
        </w:rPr>
        <w:t>Other (loss) income in the Statement of Operations</w:t>
      </w:r>
      <w:r>
        <w:rPr>
          <w:rFonts w:ascii="Arial" w:cs="Arial" w:eastAsia="Arial" w:hAnsi="Arial"/>
          <w:sz w:val="17"/>
          <w:szCs w:val="17"/>
          <w:color w:val="212529"/>
        </w:rPr>
        <w:t xml:space="preserve">. The fair value of the forward contract is classified as Level 2 measurement as the value has been determined using </w:t>
      </w:r>
      <w:r>
        <w:rPr>
          <w:rFonts w:ascii="Arial" w:cs="Arial" w:eastAsia="Arial" w:hAnsi="Arial"/>
          <w:sz w:val="17"/>
          <w:szCs w:val="17"/>
          <w:color w:val="000000"/>
        </w:rPr>
        <w:t>quoted prices for similar assets in an active market</w:t>
      </w:r>
      <w:r>
        <w:rPr>
          <w:rFonts w:ascii="Arial" w:cs="Arial" w:eastAsia="Arial" w:hAnsi="Arial"/>
          <w:sz w:val="17"/>
          <w:szCs w:val="17"/>
          <w:color w:val="212529"/>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assumed Former Caesars interest rate swaps to manage the mix of assumed debt between fixed and variable rate instruments. As of December 31, 2020, we have seven interest rate swap agreements to fix the interest rate on $2.3 billion of variable rate debt related to the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December 31, 2020 were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 Paid</w:t>
            </w:r>
          </w:p>
        </w:tc>
        <w:tc>
          <w:tcPr>
            <w:tcW w:w="2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Variable Rate Received as of</w:t>
            </w: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6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93"/>
              </w:rPr>
              <w:t>(In millions)</w:t>
            </w:r>
          </w:p>
        </w:tc>
        <w:tc>
          <w:tcPr>
            <w:tcW w:w="226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December 31, 2020</w:t>
            </w: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2.196%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0.14675%</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0.14675%</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2.788%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0.1455%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0.14675%</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0.14675%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0.14675%</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2.707%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0.14675%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Deferred charges and other assets or Deferred credits and other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derivative instruments designated as hedging instruments on the Balance Sheet for amounts transferred into Accumulated other comprehensive income/(loss) (“AOCI”) before tax was a gain of $34 million during the year ended December 31, 2020. AOCI reclassified to Interest expense on the Statements of Operations was $31 million for year ended December 31, 2020. As of December 31, 2020, the interest rate swaps derivative liability of $90 million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approximately $58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 through December 31, 2020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on Derivative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2019</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income before reclassifications</w:t>
            </w:r>
          </w:p>
        </w:tc>
        <w:tc>
          <w:tcPr>
            <w:tcW w:w="200" w:type="dxa"/>
            <w:vAlign w:val="bottom"/>
          </w:tcPr>
          <w:p>
            <w:pPr>
              <w:spacing w:after="0"/>
              <w:rPr>
                <w:sz w:val="18"/>
                <w:szCs w:val="18"/>
                <w:color w:val="auto"/>
              </w:rPr>
            </w:pPr>
          </w:p>
        </w:tc>
        <w:tc>
          <w:tcPr>
            <w:tcW w:w="1320" w:type="dxa"/>
            <w:vAlign w:val="bottom"/>
          </w:tcPr>
          <w:p>
            <w:pPr>
              <w:ind w:left="1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Accrued other liabilities consisted of the following:</w:t>
      </w:r>
    </w:p>
    <w:p>
      <w:pPr>
        <w:spacing w:after="0" w:line="226"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7487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 and contract related liabilities (See Note 13)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2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Accrued payroll and other related liabilities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3"/>
        </w:trPr>
        <w:tc>
          <w:tcPr>
            <w:tcW w:w="20" w:type="dxa"/>
            <w:vAlign w:val="bottom"/>
            <w:shd w:val="clear" w:color="auto" w:fill="CCEEFF"/>
          </w:tcPr>
          <w:p>
            <w:pPr>
              <w:spacing w:after="0"/>
              <w:rPr>
                <w:sz w:val="21"/>
                <w:szCs w:val="21"/>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Self-Insurance claims and reserves (See Note 11)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2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Accrued taxes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53"/>
        </w:trPr>
        <w:tc>
          <w:tcPr>
            <w:tcW w:w="20" w:type="dxa"/>
            <w:vAlign w:val="bottom"/>
            <w:shd w:val="clear" w:color="auto" w:fill="CCEEFF"/>
          </w:tcPr>
          <w:p>
            <w:pPr>
              <w:spacing w:after="0"/>
              <w:rPr>
                <w:sz w:val="21"/>
                <w:szCs w:val="21"/>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2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Disputed claims liability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Exit cost accrual</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Borders>
              <w:bottom w:val="single" w:sz="8" w:color="CCEEFF"/>
            </w:tcBorders>
          </w:tcPr>
          <w:p>
            <w:pPr>
              <w:spacing w:after="0"/>
              <w:rPr>
                <w:sz w:val="20"/>
                <w:szCs w:val="20"/>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accruals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accrued other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Disputed Claims Liability and Exit Cost Accrual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disputed claims liability and exit cost accrual were assumed liabilities of Former Caesars. The disputed claims liability represents certain remaining unsecured claims related to Former Caesars bankruptcy for which we have estimated the fair value of the remaining liability. Exit costs are related to the unbundling of electric service provided by NV Energy and an Iowa greyhound pari-mutuel racing fund which we assumed from the Merger and other system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60 years. The Company’s lease agreements do not contain any material restrictive covenants, other than those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Leases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real estate and equipment used in our operations from third parties. As of December 31, 2020, the remaining term of our operating leases ranged from 1 to 71 years with various extension options available, if we elect to exercise them. However, our remaining terms only include extension options that we have determined are reasonably certain as of December 31, 2020. In addition to minimum rental commitments, certain of our operating leases provide for contingent rentals based on a percentage of revenues in excess of specified amounts. We do not include costs associated with our non-lease components in our lease costs disclosed in the table below. During the year ended December 31, 2020, we obtained $38 million of right-of-use (“ROU”) assets in exchange for new lease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Leases recorded on the balance sheet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540" w:type="dxa"/>
            <w:vAlign w:val="bottom"/>
            <w:gridSpan w:val="2"/>
          </w:tcPr>
          <w:p>
            <w:pPr>
              <w:ind w:left="520"/>
              <w:spacing w:after="0"/>
              <w:rPr>
                <w:sz w:val="20"/>
                <w:szCs w:val="20"/>
                <w:color w:val="auto"/>
              </w:rPr>
            </w:pPr>
            <w:r>
              <w:rPr>
                <w:rFonts w:ascii="Arial" w:cs="Arial" w:eastAsia="Arial" w:hAnsi="Arial"/>
                <w:sz w:val="16"/>
                <w:szCs w:val="16"/>
                <w:b w:val="1"/>
                <w:bCs w:val="1"/>
                <w:color w:val="auto"/>
              </w:rPr>
              <w:t>Classification on the Balance Sheet</w:t>
            </w:r>
          </w:p>
        </w:tc>
        <w:tc>
          <w:tcPr>
            <w:tcW w:w="22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6"/>
                <w:szCs w:val="16"/>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2019</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Operating lease ROU assets </w:t>
            </w:r>
            <w:r>
              <w:rPr>
                <w:rFonts w:ascii="Arial" w:cs="Arial" w:eastAsia="Arial" w:hAnsi="Arial"/>
                <w:sz w:val="21"/>
                <w:szCs w:val="21"/>
                <w:i w:val="1"/>
                <w:iCs w:val="1"/>
                <w:color w:val="auto"/>
                <w:vertAlign w:val="superscript"/>
              </w:rPr>
              <w:t>(a)</w:t>
            </w: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Other assets,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424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Current operating lease liabilities </w:t>
            </w:r>
            <w:r>
              <w:rPr>
                <w:rFonts w:ascii="Arial" w:cs="Arial" w:eastAsia="Arial" w:hAnsi="Arial"/>
                <w:sz w:val="21"/>
                <w:szCs w:val="21"/>
                <w:i w:val="1"/>
                <w:iCs w:val="1"/>
                <w:color w:val="auto"/>
                <w:vertAlign w:val="superscript"/>
              </w:rPr>
              <w:t>(a)</w:t>
            </w: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Accrued other liabilities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Non-current operating lease liabilities </w:t>
            </w:r>
            <w:r>
              <w:rPr>
                <w:rFonts w:ascii="Arial" w:cs="Arial" w:eastAsia="Arial" w:hAnsi="Arial"/>
                <w:sz w:val="21"/>
                <w:szCs w:val="21"/>
                <w:i w:val="1"/>
                <w:iCs w:val="1"/>
                <w:color w:val="auto"/>
                <w:vertAlign w:val="superscript"/>
              </w:rPr>
              <w:t>(a)</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4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noted above, we have elected the short-term lease measurement and recognition exemption and do not establish ROU assets or liabilities for operating leases with terms of 12 months or less.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 terms and discount rates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2019</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24.3 years</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34.0 years</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8.3%</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12"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Borders>
              <w:bottom w:val="single" w:sz="8" w:color="CCEEFF"/>
            </w:tcBorders>
          </w:tcPr>
          <w:p>
            <w:pPr>
              <w:spacing w:after="0"/>
              <w:rPr>
                <w:sz w:val="18"/>
                <w:szCs w:val="18"/>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Short-term and variable lease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operating lease costs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12"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9"/>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9"/>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6"/>
                <w:szCs w:val="16"/>
                <w:color w:val="auto"/>
              </w:rPr>
              <w:t>Operating cash flows for operating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84"/>
        </w:trPr>
        <w:tc>
          <w:tcPr>
            <w:tcW w:w="8280" w:type="dxa"/>
            <w:vAlign w:val="bottom"/>
            <w:gridSpan w:val="3"/>
          </w:tcPr>
          <w:p>
            <w:pPr>
              <w:spacing w:after="0"/>
              <w:rPr>
                <w:sz w:val="20"/>
                <w:szCs w:val="20"/>
                <w:color w:val="auto"/>
              </w:rPr>
            </w:pPr>
            <w:r>
              <w:rPr>
                <w:rFonts w:ascii="Arial" w:cs="Arial" w:eastAsia="Arial" w:hAnsi="Arial"/>
                <w:sz w:val="18"/>
                <w:szCs w:val="18"/>
                <w:color w:val="auto"/>
              </w:rPr>
              <w:t>Maturities of lease liabilities are summarized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7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tcBorders>
              <w:bottom w:val="single" w:sz="8" w:color="CCEEFF"/>
            </w:tcBorders>
          </w:tcPr>
          <w:p>
            <w:pPr>
              <w:spacing w:after="0"/>
              <w:rPr>
                <w:sz w:val="18"/>
                <w:szCs w:val="18"/>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13"/>
        </w:trPr>
        <w:tc>
          <w:tcPr>
            <w:tcW w:w="20" w:type="dxa"/>
            <w:vAlign w:val="bottom"/>
            <w:shd w:val="clear" w:color="auto" w:fill="CCEEFF"/>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r>
      <w:tr>
        <w:trPr>
          <w:trHeight w:val="213"/>
        </w:trPr>
        <w:tc>
          <w:tcPr>
            <w:tcW w:w="20" w:type="dxa"/>
            <w:vAlign w:val="bottom"/>
            <w:tcBorders>
              <w:bottom w:val="single" w:sz="8" w:color="CCEEFF"/>
            </w:tcBorders>
          </w:tcPr>
          <w:p>
            <w:pPr>
              <w:spacing w:after="0"/>
              <w:rPr>
                <w:sz w:val="18"/>
                <w:szCs w:val="18"/>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present value factor</w:t>
            </w: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r>
      <w:tr>
        <w:trPr>
          <w:trHeight w:val="233"/>
        </w:trPr>
        <w:tc>
          <w:tcPr>
            <w:tcW w:w="20" w:type="dxa"/>
            <w:vAlign w:val="bottom"/>
            <w:shd w:val="clear" w:color="auto" w:fill="CCEEFF"/>
          </w:tcPr>
          <w:p>
            <w:pPr>
              <w:spacing w:after="0"/>
              <w:rPr>
                <w:sz w:val="20"/>
                <w:szCs w:val="20"/>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lease liability</w:t>
            </w:r>
          </w:p>
        </w:tc>
        <w:tc>
          <w:tcPr>
            <w:tcW w:w="3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Finance 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finance leases for certain equipment and real estate. As of December 31, 2020, our finance leases had remaining lease terms of up to approximately 38 years, some of which include options to extend the lease terms in one month increments. Our finance lease ROU assets and liabilities were $64 million as of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Leases &amp; Golf Course Use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consummation of the Merger, CEI assumed obligations of certain real property assets leased from VICI by Former Caesars under the following agreements: (i) for a portfolio of properties at various locations throughout the United States (the “Non-CPLV lease”), (ii) for Caesars Palace Las Vegas (the “CPLV lease”), (iii) for Harrah’s Joliet Hotel &amp; Casino (the “Joliet Lease”) and (iv) for Harrah’s Las Vegas (the “HLV Lease”). These lease agreements provided for annual fixed rent (subject to escalation) of $773 million during an initial period, then rent consisting of both base rent and variable rent elements. The lease agreements had a 15-year initial term and four five-year renewal options. The lease agreements included escalation provisions beginning in year two of the initial term and continuing through the renewal terms. The lease agreements also included provisions for variable rent payments calculated, in part, based on increases or decreases of net revenue of the underlying lease properties, commencing in year eight of the initial term and continuing through the renewal terms. The fair value of the real estate assets and the related failed sale-leaseback financing obligations were estimated based on the present value of the estimated future lease payments over the lease term of 15 years, plus renewal options, using an imputed discount rate of approximately 11.25%.</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closing of the Merger on July 20, 2020, the Company and certain of its affiliates consummated a series of transactions with VICI in accordance with the MTA and the purchase and sales agreements entered on September 26, 2019. The Company and certain of its affiliates consummated sale-leaseback transactions related to Harrah’s New Orleans, Harrah’s Laughlin and Harrah’s Resort Atlantic City, including the Harrah’s Atlantic City Waterfront Conference Center, for approximately $1.8 billion of net proceeds. The Non-CPLV lease was amended to include these properties (as amended, the “Regional Lease”), and was further amended to increase the annual rent thereunder by $154 million in the aggregate related to such added properties and extend the term of such lease so that following the amendment of such lease there will be 15 years remaining until the expiration of the initial term. The Joliet Lease term was also amended such that 15 years remain until the expiration of the initial term.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Former Caesars entered into a Golf Course Use Agreement with VICI, which has a 35-year term (inclusive of all renewal periods), pursuant to which such affiliates of the Company agreed to pay (i) an annual payment of $10 million, subject to escalation, (ii) an annual use fee of $3 million, subject to escalation beginning in the second year, and (iii) certain per-round fees, all as more particularly set forth in the Golf Course Use Agreement. Furthermore, the term of the Golf Course Use Agreement was extended such that there will be 15 years remaining until the expiration of the initial term.</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amendment to the Regional Lease also contains a put-call agreement related to the Centaur properties, which are Hoosier Park and Indiana Grand, pursuant to which the Company may require VICI to purchase and lease back (as lessor) the real estate components of the gaming and racetrack facilities of Hoosier Park and Indiana Grand and VICI may require the Company to sell to VICI and lease back (as lessee) the real estate components of such gaming and racetrack facilities. Election by either party to put or call the Centaur properties must be made during the election period beginning January 1, 2022 and ending December 31, 2024. Upon either party exercising their option, the Centaur properties would be sold at the price in accordance with the agreement and subsequently leased back to CEI by adding the leaseback to the pre-existing Regional lease agreement. As such, the Centaur properties would be leased back over the remaining term of the Regional lease agreement and the Regional lease agreement annual rental payments would be increased by the amount of rent required to achieve a rent coverage ratio of 1.3 as of the exercise date. A liability of $6 million associated with this agreement has been recorded within Other long-term liabilities.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in connection with the Merger, the Company received a one-time payment from VICI of approximately $1.4 billion for amendments to the CPLV Lease (as amended, the “Las Vegas Lease”) to, among other things, (i) add the land and improvements of HLV to the lease and terminate the HLV Lease, (ii) add the rent payable with respect to the HLV Lease and further increase the annual rent payable with respect to HLV by approximately $15 million, (iii) increase the annual rent with respect to CPLV by approximately $84 million and (iv) extend the term of such lease so that following the amendment of such lease there will be 15 years remaining until the expiration of the initial term. In connection with this modification of the CPLV Lease, the land and building components subject to the lease amendments described above did not qualify for sale-leaseback accounting. The modifications to the VICI Leases described above were accounted for as post-combination debt modifications.</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24, 2020, the Company entered into an agreement to sell Caesars Southern Indiana to the EBCI for $250 million, subject to a customary working capital adjustment. As a result of this transaction, Caesars’ annual payments to VICI Properties under the Regional Lease will decline by $33 million upon closing of the transaction, and variable rent under the lease shall exclude net revenue attributable to Caesars Southern Indiana.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GLPI Leases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9.75%. The value of the failed sale-leaseback financing obligations is dependent upon assumptions regarding the amount of the lease payments and the estimated discount rate of the lease payments required by a market participant.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GLPI Master Lease provides for the lease of land, buildings, structures and other improvements on the land (including barges and riverboats), easements and similar appurtenances to the land and improvements relating to the operation of the leased properties. The GLPI Master Lease provides for an initial term of 20 years (as amended below) with no purchase option. At the Company’s option, the GLPI Master Lease may be extended for up to four five-year renewal terms beyond the initial 20-year term (as amended below).</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15, 2020, the Company entered into an Amended and Restated Master Lease with GLPI, which, among other things, (i) extended the initial term from 15 to 20 years (through September 2038), with four five-year renewals at the Company’s option, (ii) commencing October 1, 2020, removed the percentage rent payable in exchange for an increase to the non-escalating portion of land base rent to $24 million, (iii) amended the dates on which, and the amounts by which, the escalating portion of base rent escalates, and (iv) provided certain relief under the operating, capital expenditure and financial covenants in the event of facility closures due to public health emergencies, governmental restrictions and certain other instances of unavoidable delay. The amendment to the GLPI Master Lease became effective on July 17, 2020 following receipt of required regulatory approvals. If the Company elects to renew the term of the GLPI Master Lease, the renewal will be effective as to all, but not less than all, of the leased property then subject to the GLPI Master Lease. The GLPI Master Lease does not provide the Company with the option to purchase the leased property and the Company does not have the ability to terminate its obligations under the GLPI Master Lease prior to its expiration without GLPI’s consent.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2020, the Company received approval from Missouri Gaming Commission to sell the real estate underlying Lumière to GLPI and leaseback the property under a long-term financing obligation. On September 29, 2020, the sale was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consummated, resulting in satisfaction in full of the Lumière loan, and the Company entered into a lease with respect to the Lumière real estate (the</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“Lumière Lease”) with an initial term that ends on October 31, 2033 and four five-year renewal options. As of December 31, 2020, the Lumière loan in amount of $246 million has been satisfied in full and the real estate has been refinanced under a financing obligation.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October 27, 2020, the Company’s Exchanging Subsidiaries entered into an Exchange Agreement with GLPI pursuant to which the Exchanging Subsidiaries agreed to transfer the real estate relating to the Isle Casino Bettendorf and Isle Casino Hotel Waterloo to GLPI in exchange for the real estate relating to Evansville. The exchange transaction closed on December 18, 2020 and as a result of the lease being classified as a finance obligation the exchange was accounted for as a debt modification. As a result of the exchange, the real estate relating to Evansville was removed from the GLPI Master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Lease and the real estate relating to Isle Casino Bettendorf and Isle Casino Hotel Waterloo is now subject to the GLPI Master Lease.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amendments and transactions above, the land and building components subject to the lease amendments described above did not qualify for sale-leaseback accounting and are accounted for as debt modifications.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these failed sale-leaseback transactions, the Company continues to reflect the real estate assets on the Balance Sheets in Property and equipment, net as if the Company was the legal owner, and continues to recognize depreciation expense over their estimated useful lives.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payments related to the GLPI Leases, including the Lumière Lease, and VICI Leases financing obligation, as amended,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GLPI Leases</w:t>
            </w:r>
          </w:p>
        </w:tc>
        <w:tc>
          <w:tcPr>
            <w:tcW w:w="2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auto"/>
              </w:rPr>
              <w:t>VICI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future payments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49,566</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6"/>
                <w:szCs w:val="16"/>
                <w:color w:val="auto"/>
              </w:rPr>
              <w:t>Less: Amounts representing interest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(39,459)</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Plus: Residual values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Arial" w:cs="Arial" w:eastAsia="Arial" w:hAnsi="Arial"/>
                <w:sz w:val="16"/>
                <w:szCs w:val="16"/>
                <w:color w:val="auto"/>
              </w:rPr>
              <w:t>Financing obligation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payments made relating to our long-term financing obligations during the years ended December 31, 2020 and 2019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88"/>
              </w:rPr>
              <w:t xml:space="preserve">GLPI Leases </w:t>
            </w:r>
            <w:r>
              <w:rPr>
                <w:rFonts w:ascii="Arial" w:cs="Arial" w:eastAsia="Arial" w:hAnsi="Arial"/>
                <w:sz w:val="21"/>
                <w:szCs w:val="21"/>
                <w:b w:val="1"/>
                <w:bCs w:val="1"/>
                <w:i w:val="1"/>
                <w:iCs w:val="1"/>
                <w:color w:val="auto"/>
                <w:w w:val="88"/>
                <w:vertAlign w:val="superscript"/>
              </w:rPr>
              <w:t>(a)</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w w:val="91"/>
              </w:rPr>
              <w:t xml:space="preserve">VICI Leases </w:t>
            </w:r>
            <w:r>
              <w:rPr>
                <w:rFonts w:ascii="Arial" w:cs="Arial" w:eastAsia="Arial" w:hAnsi="Arial"/>
                <w:sz w:val="21"/>
                <w:szCs w:val="21"/>
                <w:b w:val="1"/>
                <w:bCs w:val="1"/>
                <w:i w:val="1"/>
                <w:iCs w:val="1"/>
                <w:color w:val="auto"/>
                <w:w w:val="91"/>
                <w:vertAlign w:val="superscript"/>
              </w:rPr>
              <w:t>(a)</w:t>
            </w:r>
          </w:p>
        </w:tc>
        <w:tc>
          <w:tcPr>
            <w:tcW w:w="84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w w:val="90"/>
              </w:rPr>
              <w:t>December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w w:val="90"/>
              </w:rPr>
              <w:t>December 31,</w:t>
            </w:r>
          </w:p>
        </w:tc>
        <w:tc>
          <w:tcPr>
            <w:tcW w:w="840" w:type="dxa"/>
            <w:vAlign w:val="bottom"/>
            <w:tcBorders>
              <w:bottom w:val="single" w:sz="8" w:color="auto"/>
            </w:tcBorders>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principal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5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For the initial periods of the GLPI and VICI Leases, cash payments are less than the interest expense recognized, which causes the failed-sale leaseback obligation to increase during the initial years of the lease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Covenants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GLPI Leases and VICI Leases contains certain operating, capital expenditure and financial covenants thereunder, and the Company’s ability to maintain compliance with these covenants was also negatively impacted by the COVID-19 public health emergency. On June 15, 2020, the Company entered into an amendment to the GLPI Master Lease which provides certain relief under these covenants in the event of facility closures due to public health emergencies, governmental restrictions and certain other instances of unavoidable delay. Furthermore, the Company obtained waivers from VICI with relation to annual capital expenditure requirements for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year ended December 31, 2020, we recognized approximately $450 million in lease revenue related to lodging arrangements, which is included in Hotel revenues in the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 of Operations, and during the year ended December 31, 2020, we recognized approximately $3 million in lease revenue related to conventions.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 into long-term real estate leasing arrangements with third-party lessees at our properties. As of December 31, 2020, the remaining terms of these operating leases ranged from 1 to 85 years, some of which include options to extend the lease term for up to five years. In addition to minimum rental commitments, certain of our operating leases provide for contingent payments including contingent rentals based on a percentage of revenues in excess of specified amounts and reimbursements for common area maintenance and utilities charges.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In addition, to maintain the value of our leased assets, certain leases include specific maintenance requirements of the lessees or maintenance is performed by the Company on behalf of the lessees. During the year ended December 31, 2020, we recognized approximately $41 million of real estate lease revenue, which is included in Other revenue in the Statement of Operations. Real estate lease revenue includes $13 million of variable rental income for the year ended December 31, 2020.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Maturity of Lease Receivables as of December 31,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8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8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8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8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20" w:type="dxa"/>
            <w:vAlign w:val="bottom"/>
            <w:tcBorders>
              <w:bottom w:val="single" w:sz="8" w:color="CCEEFF"/>
            </w:tcBorders>
          </w:tcPr>
          <w:p>
            <w:pPr>
              <w:spacing w:after="0"/>
              <w:rPr>
                <w:sz w:val="18"/>
                <w:szCs w:val="18"/>
                <w:color w:val="auto"/>
              </w:rPr>
            </w:pPr>
          </w:p>
        </w:tc>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Litigation,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various legal proceedings. Such proceedings can be costly, time consuming and unpredictable and, therefore, no assurance can be given that the final outcome of such proceedings will not materially impact our consolidated financial condition or results of operations. While we maintain insurance coverage that we believe is adequate to mitigate the risks of such proceedings, no assurance can be given that the amount or scope of existing insurance coverage will be sufficient to cover losses arising from such matters.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14, 2020, the Company filed a lawsuit for damages and declaratory relief in state court in New York relating to a transfer fee of $50 million that was assessed by the Indiana Gaming Commission upon the Company’s purchase of Hoosier Park Racino and Casino in 2017 from Centaur Holdings, LLC. Contemporaneous with the filing of the lawsuit, the Company notified Centaur that it was withholding payment of $50 million from Centaur Holdings that was otherwise due as a portion of a deferred payment for the purchase from Centaur. In the lawsuit, the Company seeks a declaration from the Court that the Sellers are required to indemnify Caesars for its losses arising out of or relating to payment of the transfer fee and that the Company is entitled to offset the $50 million transfer fee against payments otherwise due to Centaur. The Defendants in that suit have filed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ind w:right="1180"/>
        <w:spacing w:after="0" w:line="438" w:lineRule="auto"/>
        <w:rPr>
          <w:sz w:val="20"/>
          <w:szCs w:val="20"/>
          <w:color w:val="auto"/>
        </w:rPr>
      </w:pPr>
      <w:r>
        <w:rPr>
          <w:rFonts w:ascii="Arial" w:cs="Arial" w:eastAsia="Arial" w:hAnsi="Arial"/>
          <w:sz w:val="18"/>
          <w:szCs w:val="18"/>
          <w:color w:val="auto"/>
        </w:rPr>
        <w:t xml:space="preserve">Motions to Dismiss the Company’s claims. Briefing on the Motion has been concluded and the parties will await a decision from the Court.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a party to various legal and administrative proceedings, which have arisen in the normal course of our business. Estimated losses are accrued for these proceedings when the loss is probable and can be estimated. The current liability for the estimated losses associated with these proceedings is not material to our consolidated financial condition and those estimated losses are not expected to have a material impact on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Horsemen and Pari-mutuel Clerks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Interstate Horse Racing Act and the state racing laws in Ohio and Florida require that, in order to simulcast races, we have written agreements with the horse owners and trainers at those racetracks. In Ohio and Florida, we must have an agreement with the representative of the horse owners. We have all the requisite agreements in place referenced in this sub section at Scioto Downs and Pompano. Certain agreements referenced above may be terminated upon written notice by either party.</w:t>
      </w:r>
    </w:p>
    <w:p>
      <w:pPr>
        <w:spacing w:after="0" w:line="133" w:lineRule="exact"/>
        <w:rPr>
          <w:sz w:val="20"/>
          <w:szCs w:val="20"/>
          <w:color w:val="auto"/>
        </w:rPr>
      </w:pPr>
    </w:p>
    <w:p>
      <w:pPr>
        <w:ind w:right="440"/>
        <w:spacing w:after="0" w:line="438" w:lineRule="auto"/>
        <w:rPr>
          <w:sz w:val="20"/>
          <w:szCs w:val="20"/>
          <w:color w:val="auto"/>
        </w:rPr>
      </w:pPr>
      <w:r>
        <w:rPr>
          <w:rFonts w:ascii="Arial" w:cs="Arial" w:eastAsia="Arial" w:hAnsi="Arial"/>
          <w:sz w:val="18"/>
          <w:szCs w:val="18"/>
          <w:color w:val="auto"/>
        </w:rPr>
        <w:t xml:space="preserve">The following contractual commitments were assumed by the Company associated with Former Caesars as result of the consummation of the Merger. </w:t>
      </w:r>
      <w:r>
        <w:rPr>
          <w:rFonts w:ascii="Arial" w:cs="Arial" w:eastAsia="Arial" w:hAnsi="Arial"/>
          <w:sz w:val="18"/>
          <w:szCs w:val="18"/>
          <w:i w:val="1"/>
          <w:iCs w:val="1"/>
          <w:u w:val="single" w:color="auto"/>
          <w:color w:val="auto"/>
        </w:rPr>
        <w:t>Extension of Casino Operating Contract and Ground Lease for Harrah’s New Orleans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 2020, the Company and the State of Louisiana, by and through the Louisiana Gaming Control Board (the “LGCB”), entered into an Amended and Restated Casino Operating Contract (as amended by a First Amendment to the Amended and Restated Casino Operating Contract dated April 9, 2020, the “Casino Operating Contract”) to amend and restate the casino operating contract between the Company and the LGCB with respect to Harrah’s New Orleans to, among other things: (a) extend the term of the Company’s authority to conduct gaming operations at Harrah’s New Orleans for thirty (30) years to 2054; (b) require the Company to make (i) a capital investment of $325 million on or around Harrah’s New Orleans by July 15, 2024 (subject to extensions for force majeure events) (the “Capital Investment”), (ii) certain one-time payments totaling $65 million to the City of New Orleans (the “City”) and the State of Louisiana, (iii) annual payments totaling $9 million to the City and the State of Louisiana and (iv) an annual license payment of $3 million to the LGCB starting April 1, 2022; and (c) delay the date by which the Company must deliver certain payments to the State of Louisiana and the City primarily driven by the reopening date of the casino.</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3, 2020, the Company, New Orleans Building Corporation (“NOBC”) and the City (collectively, the “Ground Lease Parties”) entered into a Second Amended and Restated Lease Agreement (as amended by a letter agreement of the same date, the “Ground Lease”) to amend and restate the ground lease among the Ground Lease Parties with respect to Harrah’s New Orleans to, among other things: (a) require the Company to make (i) the Capital Investment, (ii) certain payments to the City as also required by the Casino Operating Contract and (iii) certain one-time payments totaling $29 million to NOBC; (b) increase the minimum amount of certain annual payments to be made by the Company to NOBC; (c) provide that NOBC approves (subject to the satisfaction of certain conditions) of (i) the consummation of the Merger and (ii) a sale-leaseback transaction between the Company and an affiliate of VICI; and (d) delay the date by which the Company must deliver certain payments to the City and NOBC primarily driven by the reopening date of the casino.</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Former Caesars made certain of the payments described above for a total of $61 million, of which $47 million was reflected as additional gaming rights acquired. Subsequent to the Merger, the Company made additional payments totaling approximately $20 million which were also reflected as additional gaming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agreements with certain professional sports leagues and teams, sporting event facilities and sports television networks for tickets, suites, and advertising, marketing, promotional and sponsorship opportunities. As of December 31, 2020, obligations related to these agreements were $304 million with contracts extending through 2035, which includes leasing of event suites that are generally considered short term leases for which we do not record a right of use asset or lease liability. We recognize expenses in the period services are rendered in accordance with the various agreements. In addition, assets or liabilities may be recorded related to the timing of payments as required by the respective agreement. On September 1, 2020, we amended our agreement with Turner Sports, Inc. for advertising and televised specials. On September 10, 2020, the Company entered into a multi-year agreement with ESPN including link integrations from ESPN’s website and app to sportsbooks with our sports betting partner, William Hill.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was $223 million as of December 31, 2020.</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Due to the novel nature of the disruption resulting from the COVID-19 public health emergency, actuarial data is limited for determining its effect. 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 Alternatively, as a result of the current work stoppages, a reduction of claims in future periods could be beneficial to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Uncertainties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2009, Harrah’s New Orleans has undergone audits by state and local departments of revenue related to sales taxes on hotel rooms, parking and entertainment complimentaries. The periods that have been or are currently being audited are 2004 through 2016. In connection with these audits, certain periods have been paid under protest or are currently in various stages of litigation. On July 2, 2019, the judge denied Harrah’s New Orleans’ motion for partial summary judgment and granted the Department of Revenue’s (the “Department”) partial motion for summary judgment, finding that Harrah’s New Orleans owes state sales taxes, as well as district and New Orleans occupancy taxes to the Department on all discounted or complimentary rooms furnished by Harrah’s New Orleans to patrons or guests at Harrah’s New Orleans hotel and certain third party hotels. Harrah’s appealed the trial Court’s decision to the Louisiana Court of Appeal, which Appeal was rejected. Harrah’s has since petitioned to the Louisiana Supreme Court for review of the Appeals Court’s decision. On January 9, 2021, the Louisiana Supreme Court issued a ruling granting in part and denying in part the Company’s Petition for Appeal. In its decision, the Supreme Court upheld the lower Courts’ decisions that the Company must pay taxes for complimentaries at Harrah’s New Orleans, but overturned the lower Courts’ rulings that the Company must pay such taxes for third party hotels. This matter will now proceed to trial for a determination of the amount of taxes due pursuant to the Louisiana Supreme Court’s ruling. Under Former Caesars, $9 million has been paid under protest and is being held in escrow by the Department. Harrah’s New Orleans had accrued contingent liabilities of $43 million on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27, 2020 Hurricane Laura made landfall on Lake Charles as a Category 4 storm. The hurricane severely damaged the Isle of Capri Casino Lake Charles and the Company has recorded an insurance receivable of $44 million, of which $15 million related to fixed asset impairments and $29 million related to remediation costs and repairs that have been incurred in the year ended December 31, 2020. The property will remain closed until construction of a new land-based casino is complete.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Long-Term Debt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8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6"/>
              </w:rPr>
              <w:t>Final</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Rates</w:t>
            </w:r>
          </w:p>
        </w:tc>
        <w:tc>
          <w:tcPr>
            <w:tcW w:w="300" w:type="dxa"/>
            <w:vAlign w:val="bottom"/>
          </w:tcPr>
          <w:p>
            <w:pPr>
              <w:spacing w:after="0"/>
              <w:rPr>
                <w:sz w:val="13"/>
                <w:szCs w:val="13"/>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Face Value</w:t>
            </w:r>
          </w:p>
        </w:tc>
        <w:tc>
          <w:tcPr>
            <w:tcW w:w="280" w:type="dxa"/>
            <w:vAlign w:val="bottom"/>
          </w:tcPr>
          <w:p>
            <w:pPr>
              <w:spacing w:after="0"/>
              <w:rPr>
                <w:sz w:val="13"/>
                <w:szCs w:val="13"/>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rPr>
              <w:t>Maturity</w:t>
            </w: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CEI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6.25%</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3,333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CEI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line="219" w:lineRule="exact"/>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(a)</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ERI Term Loan</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line="219" w:lineRule="exact"/>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(b)</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CRC Incremental Term Loan</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16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88"/>
              </w:rPr>
              <w:t xml:space="preserve">variable </w:t>
            </w:r>
            <w:r>
              <w:rPr>
                <w:rFonts w:ascii="Arial" w:cs="Arial" w:eastAsia="Arial" w:hAnsi="Arial"/>
                <w:sz w:val="21"/>
                <w:szCs w:val="21"/>
                <w:i w:val="1"/>
                <w:iCs w:val="1"/>
                <w:color w:val="auto"/>
                <w:w w:val="88"/>
                <w:vertAlign w:val="superscript"/>
              </w:rPr>
              <w:t>(c)</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(a)</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Convention Center Mortgage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Lumière Loan</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5% Convertible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1"/>
        </w:trPr>
        <w:tc>
          <w:tcPr>
            <w:tcW w:w="20" w:type="dxa"/>
            <w:vAlign w:val="bottom"/>
            <w:shd w:val="clear" w:color="auto" w:fill="CCEEFF"/>
          </w:tcPr>
          <w:p>
            <w:pPr>
              <w:spacing w:after="0"/>
              <w:rPr>
                <w:sz w:val="24"/>
                <w:szCs w:val="24"/>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6% 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2026</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6%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4"/>
                <w:szCs w:val="24"/>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381"/>
        </w:trPr>
        <w:tc>
          <w:tcPr>
            <w:tcW w:w="20" w:type="dxa"/>
            <w:vAlign w:val="bottom"/>
            <w:shd w:val="clear" w:color="auto" w:fill="CCEEFF"/>
          </w:tcPr>
          <w:p>
            <w:pPr>
              <w:spacing w:after="0"/>
              <w:rPr>
                <w:sz w:val="24"/>
                <w:szCs w:val="24"/>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 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color w:val="auto"/>
              </w:rPr>
              <w:t>Total debt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14,159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6"/>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52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0" w:type="dxa"/>
            <w:vAlign w:val="bottom"/>
            <w:gridSpan w:val="4"/>
            <w:shd w:val="clear" w:color="auto" w:fill="CCEEFF"/>
          </w:tcPr>
          <w:p>
            <w:pPr>
              <w:ind w:left="240"/>
              <w:spacing w:after="0" w:line="216" w:lineRule="exact"/>
              <w:rPr>
                <w:sz w:val="20"/>
                <w:szCs w:val="20"/>
                <w:color w:val="auto"/>
              </w:rPr>
            </w:pPr>
            <w:r>
              <w:rPr>
                <w:rFonts w:ascii="Arial" w:cs="Arial" w:eastAsia="Arial" w:hAnsi="Arial"/>
                <w:sz w:val="16"/>
                <w:szCs w:val="16"/>
                <w:color w:val="auto"/>
                <w:w w:val="91"/>
              </w:rPr>
              <w:t xml:space="preserve">Unamortized premiums, discounts and deferred finance charges </w:t>
            </w:r>
            <w:r>
              <w:rPr>
                <w:rFonts w:ascii="Arial" w:cs="Arial" w:eastAsia="Arial" w:hAnsi="Arial"/>
                <w:sz w:val="21"/>
                <w:szCs w:val="21"/>
                <w:i w:val="1"/>
                <w:iCs w:val="1"/>
                <w:color w:val="auto"/>
                <w:w w:val="91"/>
                <w:vertAlign w:val="superscript"/>
              </w:rPr>
              <w:t>(d)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460"/>
              <w:spacing w:after="0"/>
              <w:rPr>
                <w:sz w:val="20"/>
                <w:szCs w:val="20"/>
                <w:color w:val="auto"/>
              </w:rPr>
            </w:pPr>
            <w:r>
              <w:rPr>
                <w:rFonts w:ascii="Arial" w:cs="Arial" w:eastAsia="Arial" w:hAnsi="Arial"/>
                <w:sz w:val="16"/>
                <w:szCs w:val="16"/>
                <w:color w:val="auto"/>
              </w:rPr>
              <w:t>Fair value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15,466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Borrowing rates for our revolving credit facilities vary based on the election made at the time of draw down.</w:t>
      </w:r>
    </w:p>
    <w:p>
      <w:pPr>
        <w:ind w:left="320" w:hanging="312"/>
        <w:spacing w:after="0" w:line="187" w:lineRule="auto"/>
        <w:tabs>
          <w:tab w:leader="none" w:pos="320" w:val="left"/>
        </w:tabs>
        <w:numPr>
          <w:ilvl w:val="0"/>
          <w:numId w:val="5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LIBOR plus 2.75%.</w:t>
      </w:r>
    </w:p>
    <w:p>
      <w:pPr>
        <w:ind w:left="320" w:hanging="312"/>
        <w:spacing w:after="0" w:line="187" w:lineRule="auto"/>
        <w:tabs>
          <w:tab w:leader="none" w:pos="320" w:val="left"/>
        </w:tabs>
        <w:numPr>
          <w:ilvl w:val="0"/>
          <w:numId w:val="5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LIBOR plus 4.50%.</w:t>
      </w:r>
    </w:p>
    <w:p>
      <w:pPr>
        <w:ind w:left="320" w:hanging="312"/>
        <w:spacing w:after="0" w:line="186" w:lineRule="auto"/>
        <w:tabs>
          <w:tab w:leader="none" w:pos="320" w:val="left"/>
        </w:tabs>
        <w:numPr>
          <w:ilvl w:val="0"/>
          <w:numId w:val="5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Approximately $7 million of deferred financing costs related to our revolving credit facilities are included within Other assets, net as of December 31, 2019.</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w w:val="89"/>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15,023</w:t>
            </w:r>
          </w:p>
        </w:tc>
      </w:tr>
      <w:tr>
        <w:trPr>
          <w:trHeight w:val="213"/>
        </w:trPr>
        <w:tc>
          <w:tcPr>
            <w:tcW w:w="2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4" w:lineRule="auto"/>
        <w:tabs>
          <w:tab w:leader="none" w:pos="327" w:val="left"/>
        </w:tabs>
        <w:numPr>
          <w:ilvl w:val="0"/>
          <w:numId w:val="5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Debt principal payments are estimated amounts based on maturity dates and potential borrowings under our revolving credit facilities. Interest payments are estimated based on the forward-looking LIBOR curve and include the estimated impact of the seven interest rate swap agreements related to our CRC Credit Facility (see Note 8). Actual payments may differ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current portion of long-term debt as of December 31, 2020 includes the principal payments on the term loans, other unsecured borrowings, and special improvement district bonds that are contractually due within 12 months.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December 31, 2020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Debt Transactions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party to a credit agreement with JPMorgan Chase Bank, N.A., as administrative agent, and the lenders party thereto dated as of April 17, 2017 (as amended the “ERI Credit Facility”), consisting of a $1.5 billion term loan facility (the “ERI Term Loan”) and a $500 million revolving credit facility (the “ERI Revolving Credit Facility”).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maintain liquidity and provide financial flexibility as the effects of COVID-19 continued to evolve and impact global financial markets, the Company borrowed $465 million under the revolving credit facility on March 16, 2020, which we repaid in July 2020 utilizing, in part, proceeds from the sale of the Company’s interests in Kansas City and Vicksburg.</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2020, Colt Merger Sub, Inc., a wholly-owned subsidiary of the Company (the “Escrow Issuer”), issued $3.4 billion aggregate principal amount of 6.25% Senior Secured Notes due 2025, $1.8 billion aggregate principal amount of 8.125% Senior Notes due 2027 and $1.0 billion aggregate principal amount of 5.75% Senior Secured Notes due 2025 (agreements defined below).</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in connection with the closing of the Merger, the Company entered into a new credit agreement (“CEI Credit Agreement”), which provide a five-year senior secured revolving credit facility in an aggregate principal amount of $1.2 billion. In addition, Caesars Resort Collection, LLC (“CRC”) entered into incremental amendments to the CRC Credit Agreement, which provided a $1.8 billion incremental term loan (agreements defined below).</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portion of the proceeds from these arrangements was used to prepay in full the loans outstanding and terminate all commitments under the ERI Credit Facility, and to satisfy and discharge the Company’s 6% Senior Notes due 2025, 6% Senior Notes due 2026 and the 7% Senior Notes due 2023.</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6% Senior Notes due 2025 were redeemed at a redemption price of 104.5%, the 7% Senior Notes due 2023 were redeemed at a redemption price of 103.5%, and $210 million aggregate principal amount of the 6% Senior Notes due 2026 was redeemed at a redemption price of 106% with the remaining balance redeemed at a redemption price of 100% of the aggregate principal amount thereof plus the Applicable Premium, as defined in the indenture for the 6% Senior Notes due 2026. The redemption of these senior notes resulted in a loss on extinguishment of $132 million during the year ended December 31, 2020, which is recorded within Loss on extinguishment of debt on the Statement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 commencing January 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Secured Notes will mature on July 1, 2027 with interest payable semi-annually in cash in arrears on January 1 and July 1 of each year, commencing January 1, 2021.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the Escrow Issuer entered into a new credit agreement with JPMorgan Chase Bank, N.A., as administrative agent, U.S. Bank National Association, as collateral agent, and certain banks and other financial institutions and lenders party thereto, which provide for a five-year CEI Revolving Credit Facility in an aggregate principal amount of $1.2 billion (the “CEI Revolving Credit Facility”). The CEI Revolving Credit Facility matures in 2025 and includes a letter of credit sub-facility of $250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the Company is required to pay a commitment fee in respect of any unused commitments under CEI Revolving Credit Facility in the amount of 0.50% of principal amount of the commitments of all lenders,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$1.2 billion of available borrowing capacity under the CEI Revolving Credit Facility, after consideration of $19 million in outstanding letters of credit under CEI Revolving Credit Facility, as of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Company issued $1.0 billion in aggregate principal amount of 5.75% Senior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CRC Senior Secured Notes. The CRC Senior Secured Notes will mature on July 1, 2025 with interest payable semi-annually in cash in arrears on January 1 and July 1 of each year, commencing January 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loan agreement with VICI to borrow a five-year, $400 million Forum Convention Center mortgage loan (the “Mortgage Loan”). The Mortgage Loan bears interest at a rate of, initially, 7.7% per annum, which escalates annually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Lumière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borrowed $246 million from GLPI to fund the purchase price of the real estate underlying Lumière, which was scheduled to mature on October 1, 2020. On June 24, 2020, the Company received approval from Missouri Gaming Commission to sell the real estate underlying Lumière to GLPI and leaseback the property under a long-term financing obligation. As of December 31, 2020, the Lumière loan has been satisfied in full and the real estate has been refinanced under a financing obligation. See Note 10</w:t>
      </w:r>
      <w:r>
        <w:rPr>
          <w:rFonts w:ascii="Arial" w:cs="Arial" w:eastAsia="Arial" w:hAnsi="Arial"/>
          <w:sz w:val="18"/>
          <w:szCs w:val="18"/>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Debt Activity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Former Caesars and its subsidiaries incurred the following indebtedness that remained outstanding following the consummation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CRC is party to the Credit Agreement, dated as of December 22, 2017 (as amended, the “CRC Credit Agreement”),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CRC Term Loan matures in 2024. The CRC Incremental Term Loan matures in 2025. The CRC Revolving Credit Facility matures in 2022 and includes a letter of credit sub-facility. The CRC Term Loan requires scheduled quarterly principal payments in amounts equal to 0.25% of the original aggregate principal amount, with the balance due at maturity. The CRC Credit Agreement also includes customary voluntary and mandatory prepayment provisions, subject to certain exceptions. As of December 31, 2020, approximately $65 million was committed to outstanding letters of credit. As of December 31, 2020, there were no borrowings outstanding under the CRC Revolving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4.50%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16, 2017, CRC issued $1.7 billion aggregate principal amount of 5.25% senior notes due 2025 (the “CRC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Former Caesars 5% Convertible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6, 2017, Former Caesars issued $1.1 billion aggregate principal amount of 5.00% convertible senior notes maturing in 2024 (the “5% Convertible Notes”).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5% Convertible Notes are convertible into the weighted average of the number of shares of Company Common Stock and amount of cash actually received per share by holders of common stock of Former Caesars that made elections for consideration in the Merger. As of December 31, 2020, we have paid approximately $903 million and issued approximately 10.8 million shares upon conversion of $770 million in aggregate principal amount of the 5% Convertible Notes during 2020.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determined that the 5% Convertible Notes contain derivative features that require bifurcation. The Company separately accounts for the liability component and equity conversion option of the 5% Convertible Notes. The difference between the overall instrument value and the value of the liability component was assumed to be the value of the equity conversion option component. The value of the liability is determined based on a discounted cash flow of the debt instrument. See Note 8 for more information on the 5% Convertible Notes’ fair value measurements.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amortization of the debt issuance costs and the discount and/or premium associated with the Company’s indebtedness totaled $80 million, $8 million and $6 million for the years ended December 31, 2020, 2019 and 2018, respectively. Amortization of debt issuance costs is computed using the effective interest method and is included in interest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Summary of Debt and Revolving Credit Facility Cash Flows from Financing Activities in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Proceeds</w:t>
            </w:r>
          </w:p>
        </w:tc>
        <w:tc>
          <w:tcPr>
            <w:tcW w:w="400" w:type="dxa"/>
            <w:vAlign w:val="bottom"/>
          </w:tcPr>
          <w:p>
            <w:pPr>
              <w:spacing w:after="0"/>
              <w:rPr>
                <w:sz w:val="16"/>
                <w:szCs w:val="16"/>
                <w:color w:val="auto"/>
              </w:rPr>
            </w:pPr>
          </w:p>
        </w:tc>
        <w:tc>
          <w:tcPr>
            <w:tcW w:w="19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Repayments</w:t>
            </w:r>
          </w:p>
        </w:tc>
        <w:tc>
          <w:tcPr>
            <w:tcW w:w="120" w:type="dxa"/>
            <w:vAlign w:val="bottom"/>
          </w:tcPr>
          <w:p>
            <w:pPr>
              <w:spacing w:after="0"/>
              <w:rPr>
                <w:sz w:val="16"/>
                <w:szCs w:val="16"/>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w w:val="87"/>
              </w:rPr>
              <w:t>Debt issuance and extension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jc w:val="right"/>
              <w:ind w:right="539"/>
              <w:spacing w:after="0" w:line="175" w:lineRule="exact"/>
              <w:rPr>
                <w:sz w:val="20"/>
                <w:szCs w:val="20"/>
                <w:color w:val="auto"/>
              </w:rPr>
            </w:pPr>
            <w:r>
              <w:rPr>
                <w:rFonts w:ascii="Arial" w:cs="Arial" w:eastAsia="Arial" w:hAnsi="Arial"/>
                <w:sz w:val="16"/>
                <w:szCs w:val="16"/>
                <w:b w:val="1"/>
                <w:bCs w:val="1"/>
                <w:color w:val="auto"/>
              </w:rPr>
              <w:t>costs and fees*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CEI Senior Secured Notes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CEI Revolving Credit Facility</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ERI Term Loan</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CRC Term Loan</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CRC Incremental Term Loan</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CRC Senior Secured Notes</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Convention Center Mortgage Loan</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CEI Senior Notes</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 Senior Notes 2026</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6% Senior Notes 2025</w:t>
            </w:r>
          </w:p>
        </w:tc>
        <w:tc>
          <w:tcPr>
            <w:tcW w:w="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 Senior Notes</w:t>
            </w:r>
          </w:p>
        </w:tc>
        <w:tc>
          <w:tcPr>
            <w:tcW w:w="4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ERI Revolving Credit Facility</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Does not include lease related extinguishment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Credit Agreement, the CEI Revolving Credit Facility and the indentures governing the CEI Senior Secured Notes, the CEI Senior Notes, the CRC Senior Secured Notes and the CRC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for the 5% Convertible Notes contained limited covenants as a result of amendments that became effective in connection with the consummation of the Merger. 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results of operations have been materially adversely affected by the impacts of the COVID-19 public health emergency. As a result, the current terms of the CEI Credit Agreement and the CRC Credit Agreement provide that the financial covenant measurement period is not effective through September 30, 2021 so long as the Company and CRC, respectively, comply with a minimum liquidity requirement, which includes any such availability under the applicable revolving credit facilities.</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2020, the Company was in compliance with all of the applicable financial covenants under the CEI Credit Agreement, the CRC Credit Agreement, CEI Senior Secured Notes, CEI Senior Notes, and CRC Senior Secured Notes, 5% Convertible Notes and CRC 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are guaranteed on a senior unsecured basis by such subsidiaries.</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CEI and its subsidiary guarantors (subject to certain exceptions). The CRC Notes are guaranteed on a senior unsecured basis by such subsidiaries.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which are recorded on a gross basis. Such fees are based upon a predetermined percentage of handle as contracted with the other race tracks.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Non-gaming Revenues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Hotel, food and beverage, and other operating revenues are recognized as services are performed and is the net amount collected from the customer for such goods and services. Hotel, food and beverage services have been determined to be separate, stand-alone performance obligations and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for the current year. Refer to Note 1 and Note 19 for additional information on the Company’s reportable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Managed,</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CIE</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 2019</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Managed,</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CIE</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 2018</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Managed,</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CIE</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issue credit to approved casino customers following investigations of creditworthiness. Business or economic conditions or other significant events could affect the collectability of these receivables. Accounts receivable are non-interest bearing and are initially recorded at cost.</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play represents a significant portion of our overall table games volume. We maintain strict controls over the issuance of markers and aggressively pursue collection from those customers who fail to pay their marker balances timely. These collection efforts include the mailing of statements and delinquency notices, personal contacts, the use of outside collection agencies and civil litigation. Markers are generally legally enforceable instruments in the United States. Markers are not legally enforceable instruments in some foreign countries, but the United States assets of foreign customers may be reached to satisfy judgments entered in the United States. We consider the likelihood and difficulty of enforceability, among other factors, when we issue credit to customers who are not residents of the United States.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Trade receivables, including casino and hotel receivables, are typically non-interest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historical collection experience and reasonable forecasts which consider current economic and business conditions. Management believes that as of December 31, 2020 and 2019, no significant concentrations of credit risk related to receivables existed.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Uncollectible Accounts Receivable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bad debts.</w:t>
      </w:r>
    </w:p>
    <w:p>
      <w:pPr>
        <w:sectPr>
          <w:pgSz w:w="11900" w:h="16838" w:orient="portrait"/>
          <w:cols w:equalWidth="0" w:num="1">
            <w:col w:w="11240"/>
          </w:cols>
          <w:pgMar w:left="320" w:top="121" w:right="3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include the following amounts: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 and pari-mutuel commissions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Food and beverage and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Balance Sheet as of</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December 31, 2019</w:t>
            </w:r>
          </w:p>
        </w:tc>
      </w:tr>
      <w:tr>
        <w:trPr>
          <w:trHeight w:val="22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6"/>
        </w:trPr>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
        </w:trPr>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ectPr>
          <w:pgSz w:w="11900" w:h="16838" w:orient="portrait"/>
          <w:cols w:equalWidth="0" w:num="2">
            <w:col w:w="6840" w:space="720"/>
            <w:col w:w="36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i w:val="1"/>
          <w:iCs w:val="1"/>
          <w:color w:val="auto"/>
        </w:rPr>
        <w:t>Allowance for Doubtful Accounts</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Contracts</w:t>
            </w:r>
          </w:p>
        </w:tc>
        <w:tc>
          <w:tcPr>
            <w:tcW w:w="360" w:type="dxa"/>
            <w:vAlign w:val="bottom"/>
          </w:tcPr>
          <w:p>
            <w:pPr>
              <w:spacing w:after="0"/>
              <w:rPr>
                <w:sz w:val="17"/>
                <w:szCs w:val="17"/>
                <w:color w:val="auto"/>
              </w:rPr>
            </w:pPr>
          </w:p>
        </w:tc>
        <w:tc>
          <w:tcPr>
            <w:tcW w:w="1520" w:type="dxa"/>
            <w:vAlign w:val="bottom"/>
            <w:gridSpan w:val="2"/>
          </w:tcPr>
          <w:p>
            <w:pPr>
              <w:ind w:left="240"/>
              <w:spacing w:after="0" w:line="199"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i w:val="1"/>
                <w:iCs w:val="1"/>
                <w:color w:val="auto"/>
                <w:vertAlign w:val="superscript"/>
              </w:rPr>
              <w:t>(a)</w:t>
            </w:r>
          </w:p>
        </w:tc>
        <w:tc>
          <w:tcPr>
            <w:tcW w:w="400" w:type="dxa"/>
            <w:vAlign w:val="bottom"/>
          </w:tcPr>
          <w:p>
            <w:pPr>
              <w:spacing w:after="0"/>
              <w:rPr>
                <w:sz w:val="17"/>
                <w:szCs w:val="17"/>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January 1, 2018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6"/>
                <w:szCs w:val="16"/>
                <w:color w:val="auto"/>
              </w:rPr>
              <w:t>Acquisitions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6"/>
                <w:szCs w:val="16"/>
                <w:color w:val="auto"/>
              </w:rPr>
              <w:t>Write-offs less recoveries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December 31, 2018</w:t>
            </w:r>
          </w:p>
        </w:tc>
        <w:tc>
          <w:tcPr>
            <w:tcW w:w="3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Write-offs less recoveries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Balance as of December 31, 2019</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Former Caesars consolidation </w:t>
            </w:r>
            <w:r>
              <w:rPr>
                <w:rFonts w:ascii="Arial" w:cs="Arial" w:eastAsia="Arial" w:hAnsi="Arial"/>
                <w:sz w:val="21"/>
                <w:szCs w:val="21"/>
                <w:i w:val="1"/>
                <w:iCs w:val="1"/>
                <w:color w:val="auto"/>
                <w:vertAlign w:val="superscript"/>
              </w:rPr>
              <w:t>(b)</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Write-offs less recoveries</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Balance as of December 31, 2020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20" w:hanging="312"/>
        <w:spacing w:after="0" w:line="229" w:lineRule="auto"/>
        <w:tabs>
          <w:tab w:leader="none" w:pos="320" w:val="left"/>
        </w:tabs>
        <w:numPr>
          <w:ilvl w:val="0"/>
          <w:numId w:val="5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includes allowance associated with lease receivables under ASC 842. See Note 10 for further details.</w:t>
      </w:r>
    </w:p>
    <w:p>
      <w:pPr>
        <w:ind w:left="320" w:hanging="312"/>
        <w:spacing w:after="0" w:line="186" w:lineRule="auto"/>
        <w:tabs>
          <w:tab w:leader="none" w:pos="320" w:val="left"/>
        </w:tabs>
        <w:numPr>
          <w:ilvl w:val="0"/>
          <w:numId w:val="5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Note 3 for further details relating to the acquisition of Former Caesars.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customer,(2) player loyalty program obligations, subsequently combined as Caesars Rewards, which represents the deferred allocation of revenue relating to reward credits granted to Caesars Rewards members based on on-property spending, including gaming, hotel, dining, retail shopping, and player loyalty program incentives earned, and (3) customer deposits and other deferred revenue, which is primarily funds deposited by customers related to gaming play, advance payments received for goods and services yet to be provided (such as advance ticket sales, deposits on rooms and convention space or for unpaid wagers), and deferred revenues associated with the Company’s existing interests in William Hill (see Note 5). Except for deferred revenues related to William Hill, these liabilities are generally expected to be recognized as revenue within one year of being purchased, earned, or deposited and are recorded within accrued other liabilities on the Company’s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Chip Liability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the impact on gaming revenues on an annual basis to reflect an estimate of the change in the value of outstanding chips that are not expected to be redeemed. This estimate is determined by measuring the difference between the total value of chips placed in service less the value of chips under our control. This measurement is performed on an annual basis utilizing a methodology in which a consistent formula is applied to estimate the percentage of chips not in our custody that are not expected to be redeemed. In addition to the formula, certain judgments are made with regard to various denominations and souvenir chips. The outstanding chip liability is included in accrued other liabilities on the Consolidated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Rewards Loyalty Program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Caesars Rewards grants Reward Credits to Caesars Rewards Members based on on-property spending, including gaming, hotel, dining, and retail shopping at all Caesars-affiliated properties. Members may redeem Reward Credits for complimentary or discounted goods and services such as rooms, food and beverages, merchandise, free play, entertainment, and travel accommodations. Members are able to accumulate Reward Credits over time that they may redeem at their discretion under the terms of the program. A member’s Reward Credit balance is forfeited if the member does not earn at least one Reward Credit during a continuous six-month period.</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the significance of the Caesars Rewards program and the ability for customers to accumulate Reward Credits based on their past play, we have determined that Reward Credits granted in conjunction with other earning activity represent a performance obligation. As a result, for transactions in which Reward Credits are earned, we allocate a portion of the transaction price to the Reward Credits that are earned based upon the relative standalone selling prices (“SSP”) of the goods and services involved. When the activity underlying the “earning” of the Reward Credits has a wide range of selling prices and is highly variable, such as in the case of gaming activities, we use the residual approach in this allocation by computing the value of the Reward Credits as described below and allocating the residual amount to the gaming activity. This allocation results in a significant portion of the transaction price being deferred and presented as a Contract liability on our accompanying Balance Sheets. Any amounts allocated to Contract liabilities are recognized as revenue when the Reward Credits are redeemed in accordance with the specific recognition policy of the activity for which the credits are redeemed. This balance is further described below under Contract Liabilities.</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Caesars Rewards loyalty program includes various tiers that offer different benefits, and members are able to earn credits towards tier status, which generally enables them to receive discounts similar to those provided as complimentaries described below. We have determined that any such discounts received as a result of tier status do not represent material rights, and therefore, we do not account for them as distinct performance obligations.</w:t>
      </w:r>
    </w:p>
    <w:p>
      <w:pPr>
        <w:spacing w:after="0" w:line="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determined the SSP of a Reward Credit by computing the redemption value of credits expected to be redeemed. Because Reward Credits are not otherwise independently sold, we analyzed all Reward Credit redemption activity over the preceding calendar year and determined the redemption value based on the fair market value of the goods and services for which the Reward Credits were redeemed. We have applied the practical expedient under the portfolio approach to our Reward Credit transactions because of the similarity of gaming and other transactions and the homogeneity of Reward Credits.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determining the SSP for Reward Credits, we also determined that there is generally an amount of Reward Credits that is not redeemed, which is considered “breakage.” We recognize the expected breakage proportionally with the pattern of revenue recognized related to the redemption of Reward Credits. We periodically reassess our customer behaviors and revise our expectations as deemed necessary on a prospective basis.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Outstanding Chip Liability</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Customer Deposits and Other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0" w:type="dxa"/>
            <w:vAlign w:val="bottom"/>
            <w:tcBorders>
              <w:bottom w:val="single" w:sz="8" w:color="auto"/>
            </w:tcBorders>
            <w:gridSpan w:val="4"/>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Deferred 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9"/>
              <w:spacing w:after="0" w:line="172" w:lineRule="exact"/>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Balance at December 31</w:t>
            </w: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Increase / (decrease)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December 31, 2020 balances exclude liabilities related to assets held for sale recorded in 2020 and 2019 (see Note 4). The significant change in contract and contract-related liabilities during the year ended December 31, 2020 was primarily due to the liabilities assumed subsequent to the Merger with Former Caesars. The significant change in customer deposits and other deferred revenue during the year ended December 31, 2019 was primarily attributed to the Company’s interests in William Hill received in exchange for providing a skin to William Hill for use over time. which is recorded in other long-term liabilities on the Consolidated Balance Sheets (see Note 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Complimentaries</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Company offers discretionary coupons and other discretionary complimentaries to customers outside of the loyalty program. Such complimentaries are provided in conjunction with other revenue</w:t>
      </w:r>
      <w:r>
        <w:rPr>
          <w:rFonts w:ascii="MS PGothic" w:cs="MS PGothic" w:eastAsia="MS PGothic" w:hAnsi="MS PGothic"/>
          <w:sz w:val="16"/>
          <w:szCs w:val="16"/>
          <w:color w:val="auto"/>
        </w:rPr>
        <w:t>‑</w:t>
      </w:r>
      <w:r>
        <w:rPr>
          <w:rFonts w:ascii="Arial" w:cs="Arial" w:eastAsia="Arial" w:hAnsi="Arial"/>
          <w:sz w:val="16"/>
          <w:szCs w:val="16"/>
          <w:color w:val="auto"/>
        </w:rPr>
        <w:t>earning activities and are generally provided to encourage additional customer spending on those activities. Accordingly, the Company allocates a portion of the transaction price received from such customers to the complimentary goods and services. The Company performs this allocation based on the SSP of the underlying goods and services, which is determined based upon the weighted-average cash sales prices received for similar services at similar points during the year. 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is recorded as an expense when incurred.</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revenues included complimentaries and loyalty point redemptions totaling $401 million, $292 million and $211 million for the years ended December 31, 2020,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(“EPS”) is computed by dividing net income (loss) by the weighted average shares outstanding during the reporting period. Diluted EPS is computed similarly to basic EPS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required disclosure of the reconciliation of the numerators and denominators of the basic and diluted net income per share computations during the years ended December 31, 2020, 2019 and 2018:</w:t>
      </w:r>
    </w:p>
    <w:p>
      <w:pPr>
        <w:spacing w:after="0" w:line="157"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9"/>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2018</w:t>
            </w:r>
          </w:p>
        </w:tc>
      </w:tr>
      <w:tr>
        <w:trPr>
          <w:trHeight w:val="21"/>
        </w:trPr>
        <w:tc>
          <w:tcPr>
            <w:tcW w:w="23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available to Caesars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7000" w:type="dxa"/>
            <w:vAlign w:val="bottom"/>
            <w:gridSpan w:val="2"/>
          </w:tcPr>
          <w:p>
            <w:pPr>
              <w:spacing w:after="0"/>
              <w:rPr>
                <w:sz w:val="20"/>
                <w:szCs w:val="20"/>
                <w:color w:val="auto"/>
              </w:rPr>
            </w:pPr>
            <w:r>
              <w:rPr>
                <w:rFonts w:ascii="Arial" w:cs="Arial" w:eastAsia="Arial" w:hAnsi="Arial"/>
                <w:sz w:val="16"/>
                <w:szCs w:val="16"/>
                <w:color w:val="auto"/>
              </w:rPr>
              <w:t>Shares outstanding: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shares outstanding – 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7000" w:type="dxa"/>
            <w:vAlign w:val="bottom"/>
            <w:gridSpan w:val="2"/>
          </w:tcPr>
          <w:p>
            <w:pPr>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 awards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00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diluted</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2340" w:type="dxa"/>
            <w:vAlign w:val="bottom"/>
            <w:shd w:val="clear" w:color="auto" w:fill="CCEEFF"/>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7000" w:type="dxa"/>
            <w:vAlign w:val="bottom"/>
            <w:gridSpan w:val="2"/>
          </w:tcPr>
          <w:p>
            <w:pPr>
              <w:spacing w:after="0"/>
              <w:rPr>
                <w:sz w:val="20"/>
                <w:szCs w:val="20"/>
                <w:color w:val="auto"/>
              </w:rPr>
            </w:pPr>
            <w:r>
              <w:rPr>
                <w:rFonts w:ascii="Arial" w:cs="Arial" w:eastAsia="Arial" w:hAnsi="Arial"/>
                <w:sz w:val="16"/>
                <w:szCs w:val="16"/>
                <w:color w:val="auto"/>
              </w:rPr>
              <w:t>Basic (loss) income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(loss) income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Calculation of EPS</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tcBorders>
              <w:top w:val="single" w:sz="8" w:color="auto"/>
            </w:tcBorders>
          </w:tcPr>
          <w:p>
            <w:pPr>
              <w:jc w:val="right"/>
              <w:ind w:right="59"/>
              <w:spacing w:after="0" w:line="175" w:lineRule="exact"/>
              <w:rPr>
                <w:sz w:val="20"/>
                <w:szCs w:val="20"/>
                <w:color w:val="auto"/>
              </w:rPr>
            </w:pPr>
            <w:r>
              <w:rPr>
                <w:rFonts w:ascii="Arial" w:cs="Arial" w:eastAsia="Arial" w:hAnsi="Arial"/>
                <w:sz w:val="16"/>
                <w:szCs w:val="16"/>
                <w:b w:val="1"/>
                <w:bCs w:val="1"/>
                <w:color w:val="auto"/>
              </w:rPr>
              <w:t>2020</w:t>
            </w:r>
          </w:p>
        </w:tc>
        <w:tc>
          <w:tcPr>
            <w:tcW w:w="1420" w:type="dxa"/>
            <w:vAlign w:val="bottom"/>
            <w:tcBorders>
              <w:top w:val="single" w:sz="8" w:color="auto"/>
            </w:tcBorders>
            <w:gridSpan w:val="3"/>
          </w:tcPr>
          <w:p>
            <w:pPr>
              <w:jc w:val="right"/>
              <w:ind w:right="140"/>
              <w:spacing w:after="0" w:line="175" w:lineRule="exact"/>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5% Convertible notes</w:t>
            </w: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anti-dilutive common stock</w:t>
            </w: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Stock-Based Compensation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or restricted stock units (“RSUs”), performance stock units, market-based stock units (“MSUs”), stock appreciation rights, and other stock-based awards or dividend equivalents. Forfeitures are recognized in the period in which they occur.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 Plans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(“Board”) adopted ERI’s 2015 Equity Incentive Plan (“2015 Plan”) on January 23, 2015 and the Company’s stockholders subsequently approved the adoption of the 2015 Plan on June 23, 2015. On March 28, 2019, the Company’s Board approved an amendment to the 2015 Plan and the Company’s stockholders subsequently approved the adoption of the amended and restated 2015 Plan on June 24, 2019. The amendment to the 2015 Plan allows for 3 million shares available for grant, plus the number of shares available for issuance under the 2015 Plan on the date the Company’s stockholders approved the amendment.</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Upon consummation of the Merger, the Company assumed the outstanding awards under the Former Caesars’ incentive plans, including the 2012 Performance Incentive Plan (the “2012 Incentive Plan”) and the 2017 Performance Incentive Plan (the “2017 Incentive Plan”). As of December 31, 2020, there were approximately 111 thousand options outstanding under the 2012 Incentive Plan, which will expire between years 2022 and 2025 and there were no RSUs outstanding under the 2012 Incentive Plan. Under the 2017 Incentive Plan, a total of 14 million shares of our common stock have been authorized for issuance. No options have been granted under the 2017 Incentive Plan. As a result of the Merger, the Company no longer issues awards under the 2012 and 2017 Incentive Plans, as all future awards are issued under the 2015 Plan. As of December 31, 2020, the Company had 6 million shares available for grant under the 2015 Plan, of which 2 million of unissued common shares were assumed from the Former Caesars’ 2017 Incentive Plan.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 options primarily vest ratably over three years. Certain RSUs granted to employees and executive officers vest and become non-forfeitable upon the third anniversary of the date of grant, and certain RSUs granted to employees and executive officers vest ratably either over three or four years. RSUs granted to non-employee directors generally vest immediately and are issued on the vesting date, or may be deferred until a later date such as the date that is the earlier of termination of service on the Board or the consummation of a change of control of the Company.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 MSUs cliff vest over three years.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Merger, Former Caesars’ outstanding performance-based stock options ceased to represent an option or right to acquire shares of Former Caesars common stock and were converted into an option or right to purchase shares of Company Common Stock on the same terms and conditions as were applicable to such option immediately prior to the consummation of the Merger. Former Caesars’ unvested RSUs and MSUs were converted into a number of RSUs or MSUs, as applicable, in respect of shares of Company Common Stock and remained subject to the same terms and conditions as were applicable to such RSUs and MSUs immediately prior to the consummation of the Merger.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during the year ended December 31, 2020, the Company granted both RSUs and MSUs to members of management. Vesting of the awards varies, and includes awards that cliff vest after a two or three year service period, as well as awards that vest ratably on each anniversary during the three year service period. In addition, awards were granted to certain key individuals related to their efforts and the related shareholder return from potential transactions. Vesting of the awards is subject to various service and performance conditions and will accelerate and vest immediately upon the closing of a qualifying transaction as defined by the agreements. Certain awards contained a market-based performance condition with which the fair value of the awards was determined based on a Monte Carlo simulation. The grant date fair value for these awards with a market-based performance condition was approximately $7 million.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consolidated statements of income was $78 million, $20 million and $13 million during the years ended December 31, 2020, 2019 and 2018, respectively. These amounts are included in corporate expenses and, in the case of certain property positions, general and administrative expenses in the Company’s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 Activity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2020, as part of the annual incentive program, the Company granted RSUs to employees of the Company with an aggregate fair value of $63 million. Each RSU represents the right to receive payment in respect of one share of the Company’s Common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Merger, on July 20, 2020, each Former Caesars’ RSU that was eligible to vest based solely on the passage of time that was outstanding as of immediately prior to the consummation of the Merger was converted into a RSU in respect of Company Common Stock and remained subject to the same terms and conditions as were applicable as of immediately prior to the consummation of the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RSUs activity, including performance awards, for the year ended December 31, 2020 is presented in the following table: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40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b w:val="1"/>
                <w:bCs w:val="1"/>
                <w:color w:val="auto"/>
              </w:rPr>
              <w:t xml:space="preserve">Value </w:t>
            </w:r>
            <w:r>
              <w:rPr>
                <w:rFonts w:ascii="Arial" w:cs="Arial" w:eastAsia="Arial" w:hAnsi="Arial"/>
                <w:sz w:val="21"/>
                <w:szCs w:val="21"/>
                <w:b w:val="1"/>
                <w:bCs w:val="1"/>
                <w:i w:val="1"/>
                <w:iCs w:val="1"/>
                <w:color w:val="auto"/>
                <w:vertAlign w:val="superscript"/>
              </w:rPr>
              <w:t>(a)</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16"/>
        </w:trPr>
        <w:tc>
          <w:tcPr>
            <w:tcW w:w="83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i w:val="1"/>
                <w:iCs w:val="1"/>
                <w:color w:val="auto"/>
                <w:vertAlign w:val="superscript"/>
              </w:rPr>
              <w:t>(b)</w:t>
            </w:r>
          </w:p>
        </w:tc>
        <w:tc>
          <w:tcPr>
            <w:tcW w:w="1400" w:type="dxa"/>
            <w:vAlign w:val="bottom"/>
          </w:tcPr>
          <w:p>
            <w:pPr>
              <w:jc w:val="right"/>
              <w:spacing w:after="0"/>
              <w:rPr>
                <w:sz w:val="20"/>
                <w:szCs w:val="20"/>
                <w:color w:val="auto"/>
              </w:rPr>
            </w:pPr>
            <w:r>
              <w:rPr>
                <w:rFonts w:ascii="Arial" w:cs="Arial" w:eastAsia="Arial" w:hAnsi="Arial"/>
                <w:sz w:val="16"/>
                <w:szCs w:val="16"/>
                <w:color w:val="auto"/>
              </w:rPr>
              <w:t>1,307,059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(c)</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1,876,969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tcPr>
          <w:p>
            <w:pPr>
              <w:jc w:val="right"/>
              <w:spacing w:after="0"/>
              <w:rPr>
                <w:sz w:val="20"/>
                <w:szCs w:val="20"/>
                <w:color w:val="auto"/>
              </w:rPr>
            </w:pPr>
            <w:r>
              <w:rPr>
                <w:rFonts w:ascii="Arial" w:cs="Arial" w:eastAsia="Arial" w:hAnsi="Arial"/>
                <w:sz w:val="16"/>
                <w:szCs w:val="16"/>
                <w:color w:val="auto"/>
              </w:rPr>
              <w:t>(1,477,352)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Unvested outstanding as of 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grant date fair value of RSUs, which is the share price of our common stock on the grant date.</w:t>
      </w:r>
    </w:p>
    <w:p>
      <w:pPr>
        <w:ind w:left="320" w:hanging="312"/>
        <w:spacing w:after="0" w:line="187" w:lineRule="auto"/>
        <w:tabs>
          <w:tab w:leader="none" w:pos="320" w:val="left"/>
        </w:tabs>
        <w:numPr>
          <w:ilvl w:val="0"/>
          <w:numId w:val="5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Included are 21,965 RSUs granted to non-employee members of the Board during the year ended December 31, 2020.</w:t>
      </w:r>
    </w:p>
    <w:p>
      <w:pPr>
        <w:ind w:left="320" w:hanging="312"/>
        <w:spacing w:after="0" w:line="186" w:lineRule="auto"/>
        <w:tabs>
          <w:tab w:leader="none" w:pos="320" w:val="left"/>
        </w:tabs>
        <w:numPr>
          <w:ilvl w:val="0"/>
          <w:numId w:val="5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Assumed RSU shares of Former Caesars as of the Merger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Market-Based Stock Unit Activity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 ended December 31, 2020, the Company granted approximately 450 thousand MSUs that are scheduled to cliff vest in three years. On the vesting date, recipients will receive between 0% and 200% of the granted MSUs in the form of Company Common Stock based on the achievement of specified market and service conditions. Based on the terms and conditions of the awards, the grant date fair value of the MSUs was determined using a Monte Carlo simulation model. Key assumptions for the Monte 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year ended December 31, 2020 was $20 million.</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Merger, on July 20, 2020, each MSU of Former Caesars was converted into a MSU in respect of shares of Company Common Stock and remained subject to the same terms and conditions as were applicable as of immediately prior to the consummation of the Merger.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64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Units</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Weighted- Average</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3"/>
                <w:szCs w:val="23"/>
                <w:b w:val="1"/>
                <w:bCs w:val="1"/>
                <w:i w:val="1"/>
                <w:iCs w:val="1"/>
                <w:color w:val="auto"/>
                <w:vertAlign w:val="superscript"/>
              </w:rPr>
              <w:t>(a)</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2019</w:t>
            </w:r>
          </w:p>
        </w:tc>
        <w:tc>
          <w:tcPr>
            <w:tcW w:w="1880" w:type="dxa"/>
            <w:vAlign w:val="bottom"/>
            <w:gridSpan w:val="3"/>
            <w:shd w:val="clear" w:color="auto" w:fill="CCEEFF"/>
          </w:tcPr>
          <w:p>
            <w:pPr>
              <w:ind w:left="1420"/>
              <w:spacing w:after="0"/>
              <w:rPr>
                <w:sz w:val="20"/>
                <w:szCs w:val="20"/>
                <w:color w:val="auto"/>
              </w:rPr>
            </w:pPr>
            <w:r>
              <w:rPr>
                <w:rFonts w:ascii="Arial" w:cs="Arial" w:eastAsia="Arial" w:hAnsi="Arial"/>
                <w:sz w:val="16"/>
                <w:szCs w:val="16"/>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40" w:type="dxa"/>
            <w:vAlign w:val="bottom"/>
          </w:tcPr>
          <w:p>
            <w:pPr>
              <w:jc w:val="right"/>
              <w:spacing w:after="0"/>
              <w:rPr>
                <w:sz w:val="20"/>
                <w:szCs w:val="20"/>
                <w:color w:val="auto"/>
              </w:rPr>
            </w:pPr>
            <w:r>
              <w:rPr>
                <w:rFonts w:ascii="Arial" w:cs="Arial" w:eastAsia="Arial" w:hAnsi="Arial"/>
                <w:sz w:val="16"/>
                <w:szCs w:val="16"/>
                <w:color w:val="auto"/>
              </w:rPr>
              <w:t>449,639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(b)</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Vested</w:t>
            </w:r>
          </w:p>
        </w:tc>
        <w:tc>
          <w:tcPr>
            <w:tcW w:w="1640" w:type="dxa"/>
            <w:vAlign w:val="bottom"/>
          </w:tcPr>
          <w:p>
            <w:pPr>
              <w:jc w:val="right"/>
              <w:spacing w:after="0"/>
              <w:rPr>
                <w:sz w:val="20"/>
                <w:szCs w:val="20"/>
                <w:color w:val="auto"/>
              </w:rPr>
            </w:pPr>
            <w:r>
              <w:rPr>
                <w:rFonts w:ascii="Arial" w:cs="Arial" w:eastAsia="Arial" w:hAnsi="Arial"/>
                <w:sz w:val="16"/>
                <w:szCs w:val="16"/>
                <w:color w:val="auto"/>
              </w:rPr>
              <w:t>(128,536)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47.09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Unvested outstanding as of December 31, 2020</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49.37</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5"/>
          </w:tcPr>
          <w:p>
            <w:pPr>
              <w:spacing w:after="0"/>
              <w:rPr>
                <w:sz w:val="20"/>
                <w:szCs w:val="20"/>
                <w:color w:val="auto"/>
              </w:rPr>
            </w:pPr>
            <w:r>
              <w:rPr>
                <w:rFonts w:ascii="Arial" w:cs="Arial" w:eastAsia="Arial" w:hAnsi="Arial"/>
                <w:sz w:val="18"/>
                <w:szCs w:val="18"/>
                <w:color w:val="auto"/>
              </w:rPr>
              <w:t>____________________</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40" w:type="dxa"/>
            <w:vAlign w:val="bottom"/>
            <w:gridSpan w:val="2"/>
          </w:tcPr>
          <w:p>
            <w:pPr>
              <w:spacing w:after="0"/>
              <w:rPr>
                <w:sz w:val="20"/>
                <w:szCs w:val="20"/>
                <w:color w:val="auto"/>
              </w:rPr>
            </w:pPr>
            <w:r>
              <w:rPr>
                <w:rFonts w:ascii="Arial" w:cs="Arial" w:eastAsia="Arial" w:hAnsi="Arial"/>
                <w:sz w:val="9"/>
                <w:szCs w:val="9"/>
                <w:i w:val="1"/>
                <w:iCs w:val="1"/>
                <w:color w:val="auto"/>
              </w:rPr>
              <w:t>(a)</w:t>
            </w:r>
          </w:p>
        </w:tc>
        <w:tc>
          <w:tcPr>
            <w:tcW w:w="4640" w:type="dxa"/>
            <w:vAlign w:val="bottom"/>
            <w:gridSpan w:val="3"/>
            <w:vMerge w:val="restart"/>
          </w:tcPr>
          <w:p>
            <w:pPr>
              <w:ind w:left="180"/>
              <w:spacing w:after="0"/>
              <w:rPr>
                <w:sz w:val="20"/>
                <w:szCs w:val="20"/>
                <w:color w:val="auto"/>
              </w:rPr>
            </w:pPr>
            <w:r>
              <w:rPr>
                <w:rFonts w:ascii="Arial" w:cs="Arial" w:eastAsia="Arial" w:hAnsi="Arial"/>
                <w:sz w:val="14"/>
                <w:szCs w:val="14"/>
                <w:i w:val="1"/>
                <w:iCs w:val="1"/>
                <w:color w:val="auto"/>
                <w:w w:val="94"/>
              </w:rPr>
              <w:t>Represents the fair value determined using a Monte Carlo simulation model.</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4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(b)</w:t>
            </w:r>
          </w:p>
        </w:tc>
        <w:tc>
          <w:tcPr>
            <w:tcW w:w="464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40" w:type="dxa"/>
            <w:vAlign w:val="bottom"/>
            <w:gridSpan w:val="2"/>
            <w:vMerge w:val="continue"/>
          </w:tcPr>
          <w:p>
            <w:pPr>
              <w:spacing w:after="0"/>
              <w:rPr>
                <w:sz w:val="9"/>
                <w:szCs w:val="9"/>
                <w:color w:val="auto"/>
              </w:rPr>
            </w:pPr>
          </w:p>
        </w:tc>
        <w:tc>
          <w:tcPr>
            <w:tcW w:w="4640" w:type="dxa"/>
            <w:vAlign w:val="bottom"/>
            <w:gridSpan w:val="3"/>
            <w:vMerge w:val="restart"/>
          </w:tcPr>
          <w:p>
            <w:pPr>
              <w:ind w:left="180"/>
              <w:spacing w:after="0"/>
              <w:rPr>
                <w:sz w:val="20"/>
                <w:szCs w:val="20"/>
                <w:color w:val="auto"/>
              </w:rPr>
            </w:pPr>
            <w:r>
              <w:rPr>
                <w:rFonts w:ascii="Arial" w:cs="Arial" w:eastAsia="Arial" w:hAnsi="Arial"/>
                <w:sz w:val="14"/>
                <w:szCs w:val="14"/>
                <w:i w:val="1"/>
                <w:iCs w:val="1"/>
                <w:color w:val="auto"/>
              </w:rPr>
              <w:t>Assumed MSU shares of Former Caesars as of the Merger date.</w:t>
            </w: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4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4780" w:type="dxa"/>
            <w:vAlign w:val="bottom"/>
            <w:gridSpan w:val="5"/>
          </w:tcPr>
          <w:p>
            <w:pPr>
              <w:spacing w:after="0"/>
              <w:rPr>
                <w:sz w:val="20"/>
                <w:szCs w:val="20"/>
                <w:color w:val="auto"/>
              </w:rPr>
            </w:pPr>
            <w:r>
              <w:rPr>
                <w:rFonts w:ascii="Arial" w:cs="Arial" w:eastAsia="Arial" w:hAnsi="Arial"/>
                <w:sz w:val="18"/>
                <w:szCs w:val="18"/>
                <w:i w:val="1"/>
                <w:iCs w:val="1"/>
                <w:color w:val="auto"/>
              </w:rPr>
              <w:t>Stock Option Activity</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24"/>
                <w:szCs w:val="2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Outstanding as of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999"/>
              <w:spacing w:after="0"/>
              <w:rPr>
                <w:sz w:val="20"/>
                <w:szCs w:val="20"/>
                <w:color w:val="auto"/>
              </w:rPr>
            </w:pPr>
            <w:r>
              <w:rPr>
                <w:rFonts w:ascii="Arial" w:cs="Arial" w:eastAsia="Arial" w:hAnsi="Arial"/>
                <w:sz w:val="16"/>
                <w:szCs w:val="16"/>
                <w:color w:val="auto"/>
                <w:w w:val="89"/>
              </w:rPr>
              <w:t>3.28</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1520" w:type="dxa"/>
            <w:vAlign w:val="bottom"/>
          </w:tcPr>
          <w:p>
            <w:pPr>
              <w:jc w:val="right"/>
              <w:spacing w:after="0"/>
              <w:rPr>
                <w:sz w:val="20"/>
                <w:szCs w:val="20"/>
                <w:color w:val="auto"/>
              </w:rPr>
            </w:pPr>
            <w:r>
              <w:rPr>
                <w:rFonts w:ascii="Arial" w:cs="Arial" w:eastAsia="Arial" w:hAnsi="Arial"/>
                <w:sz w:val="16"/>
                <w:szCs w:val="16"/>
                <w:color w:val="auto"/>
              </w:rPr>
              <w:t>111,478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6"/>
                <w:szCs w:val="16"/>
                <w:color w:val="auto"/>
              </w:rPr>
              <w:t>Forfeited</w:t>
            </w: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6"/>
                <w:szCs w:val="16"/>
                <w:color w:val="auto"/>
              </w:rPr>
              <w:t>Outstanding as of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left="999"/>
              <w:spacing w:after="0"/>
              <w:rPr>
                <w:sz w:val="20"/>
                <w:szCs w:val="20"/>
                <w:color w:val="auto"/>
              </w:rPr>
            </w:pPr>
            <w:r>
              <w:rPr>
                <w:rFonts w:ascii="Arial" w:cs="Arial" w:eastAsia="Arial" w:hAnsi="Arial"/>
                <w:sz w:val="16"/>
                <w:szCs w:val="16"/>
                <w:color w:val="auto"/>
                <w:w w:val="89"/>
              </w:rPr>
              <w:t>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Vested and expected to vest as of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left="999"/>
              <w:spacing w:after="0"/>
              <w:rPr>
                <w:sz w:val="20"/>
                <w:szCs w:val="20"/>
                <w:color w:val="auto"/>
              </w:rPr>
            </w:pPr>
            <w:r>
              <w:rPr>
                <w:rFonts w:ascii="Arial" w:cs="Arial" w:eastAsia="Arial" w:hAnsi="Arial"/>
                <w:sz w:val="16"/>
                <w:szCs w:val="16"/>
                <w:color w:val="auto"/>
                <w:w w:val="89"/>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tcPr>
          <w:p>
            <w:pPr>
              <w:spacing w:after="0"/>
              <w:rPr>
                <w:sz w:val="16"/>
                <w:szCs w:val="16"/>
                <w:color w:val="auto"/>
              </w:rPr>
            </w:pPr>
          </w:p>
        </w:tc>
        <w:tc>
          <w:tcPr>
            <w:tcW w:w="4760" w:type="dxa"/>
            <w:vAlign w:val="bottom"/>
            <w:tcBorders>
              <w:top w:val="single" w:sz="8" w:color="CCEEFF"/>
            </w:tcBorders>
            <w:gridSpan w:val="4"/>
          </w:tcPr>
          <w:p>
            <w:pPr>
              <w:spacing w:after="0"/>
              <w:rPr>
                <w:sz w:val="20"/>
                <w:szCs w:val="20"/>
                <w:color w:val="auto"/>
              </w:rPr>
            </w:pPr>
            <w:r>
              <w:rPr>
                <w:rFonts w:ascii="Arial" w:cs="Arial" w:eastAsia="Arial" w:hAnsi="Arial"/>
                <w:sz w:val="16"/>
                <w:szCs w:val="16"/>
                <w:color w:val="auto"/>
              </w:rPr>
              <w:t>Exercisable as of December 31, 2020</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60,549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left="999"/>
              <w:spacing w:after="0"/>
              <w:rPr>
                <w:sz w:val="20"/>
                <w:szCs w:val="20"/>
                <w:color w:val="auto"/>
              </w:rPr>
            </w:pPr>
            <w:r>
              <w:rPr>
                <w:rFonts w:ascii="Arial" w:cs="Arial" w:eastAsia="Arial" w:hAnsi="Arial"/>
                <w:sz w:val="16"/>
                <w:szCs w:val="16"/>
                <w:color w:val="auto"/>
                <w:w w:val="89"/>
              </w:rPr>
              <w:t>2.58</w:t>
            </w: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780" w:type="dxa"/>
            <w:vAlign w:val="bottom"/>
            <w:gridSpan w:val="5"/>
            <w:vMerge w:val="restart"/>
          </w:tcPr>
          <w:p>
            <w:pPr>
              <w:spacing w:after="0"/>
              <w:rPr>
                <w:sz w:val="20"/>
                <w:szCs w:val="20"/>
                <w:color w:val="auto"/>
              </w:rPr>
            </w:pPr>
            <w:r>
              <w:rPr>
                <w:rFonts w:ascii="Arial" w:cs="Arial" w:eastAsia="Arial" w:hAnsi="Arial"/>
                <w:sz w:val="18"/>
                <w:szCs w:val="18"/>
                <w:color w:val="auto"/>
              </w:rPr>
              <w:t>____________________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gridSpan w:val="5"/>
            <w:vMerge w:val="continue"/>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40" w:type="dxa"/>
            <w:vAlign w:val="bottom"/>
            <w:gridSpan w:val="2"/>
          </w:tcPr>
          <w:p>
            <w:pPr>
              <w:spacing w:after="0"/>
              <w:rPr>
                <w:sz w:val="20"/>
                <w:szCs w:val="20"/>
                <w:color w:val="auto"/>
              </w:rPr>
            </w:pPr>
            <w:r>
              <w:rPr>
                <w:rFonts w:ascii="Arial" w:cs="Arial" w:eastAsia="Arial" w:hAnsi="Arial"/>
                <w:sz w:val="9"/>
                <w:szCs w:val="9"/>
                <w:i w:val="1"/>
                <w:iCs w:val="1"/>
                <w:color w:val="auto"/>
              </w:rPr>
              <w:t>(a)</w:t>
            </w:r>
          </w:p>
        </w:tc>
        <w:tc>
          <w:tcPr>
            <w:tcW w:w="4640" w:type="dxa"/>
            <w:vAlign w:val="bottom"/>
            <w:gridSpan w:val="3"/>
            <w:vMerge w:val="restart"/>
          </w:tcPr>
          <w:p>
            <w:pPr>
              <w:ind w:left="180"/>
              <w:spacing w:after="0"/>
              <w:rPr>
                <w:sz w:val="20"/>
                <w:szCs w:val="20"/>
                <w:color w:val="auto"/>
              </w:rPr>
            </w:pPr>
            <w:r>
              <w:rPr>
                <w:rFonts w:ascii="Arial" w:cs="Arial" w:eastAsia="Arial" w:hAnsi="Arial"/>
                <w:sz w:val="14"/>
                <w:szCs w:val="14"/>
                <w:i w:val="1"/>
                <w:iCs w:val="1"/>
                <w:color w:val="auto"/>
              </w:rPr>
              <w:t>Assumed stock options of Former Caesars as of the Merger date.</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4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760" w:type="dxa"/>
            <w:vAlign w:val="bottom"/>
            <w:gridSpan w:val="4"/>
          </w:tcPr>
          <w:p>
            <w:pPr>
              <w:spacing w:after="0"/>
              <w:rPr>
                <w:sz w:val="20"/>
                <w:szCs w:val="20"/>
                <w:color w:val="auto"/>
              </w:rPr>
            </w:pPr>
            <w:r>
              <w:rPr>
                <w:rFonts w:ascii="Arial" w:cs="Arial" w:eastAsia="Arial" w:hAnsi="Arial"/>
                <w:sz w:val="18"/>
                <w:szCs w:val="18"/>
                <w:i w:val="1"/>
                <w:iCs w:val="1"/>
                <w:color w:val="auto"/>
              </w:rPr>
              <w:t>Stock Option Exercises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gridSpan w:val="6"/>
            <w:vMerge w:val="restart"/>
          </w:tcPr>
          <w:p>
            <w:pPr>
              <w:jc w:val="center"/>
              <w:ind w:right="59"/>
              <w:spacing w:after="0"/>
              <w:rPr>
                <w:sz w:val="20"/>
                <w:szCs w:val="20"/>
                <w:color w:val="auto"/>
              </w:rPr>
            </w:pPr>
            <w:r>
              <w:rPr>
                <w:rFonts w:ascii="Arial" w:cs="Arial" w:eastAsia="Arial" w:hAnsi="Arial"/>
                <w:sz w:val="16"/>
                <w:szCs w:val="16"/>
                <w:b w:val="1"/>
                <w:bCs w:val="1"/>
                <w:color w:val="auto"/>
                <w:w w:val="90"/>
              </w:rPr>
              <w:t>Years Ended 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vMerge w:val="continue"/>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5"/>
              </w:rPr>
              <w:t>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9"/>
              <w:spacing w:after="0" w:line="172" w:lineRule="exact"/>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9"/>
              <w:spacing w:after="0" w:line="172" w:lineRule="exact"/>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Option Exercises: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6"/>
                <w:szCs w:val="16"/>
                <w:color w:val="auto"/>
              </w:rPr>
              <w:t>Number of options exercised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70,608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left="10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120,120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received for options exercised</w:t>
            </w:r>
          </w:p>
        </w:tc>
        <w:tc>
          <w:tcPr>
            <w:tcW w:w="15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6"/>
                <w:szCs w:val="16"/>
                <w:color w:val="auto"/>
              </w:rPr>
              <w:t>Aggregate intrinsic value of options exercised</w:t>
            </w:r>
          </w:p>
        </w:tc>
        <w:tc>
          <w:tcPr>
            <w:tcW w:w="15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center"/>
              <w:ind w:left="1039"/>
              <w:spacing w:after="0"/>
              <w:rPr>
                <w:sz w:val="20"/>
                <w:szCs w:val="20"/>
                <w:color w:val="auto"/>
              </w:rPr>
            </w:pPr>
            <w:r>
              <w:rPr>
                <w:rFonts w:ascii="Arial" w:cs="Arial" w:eastAsia="Arial" w:hAnsi="Arial"/>
                <w:sz w:val="16"/>
                <w:szCs w:val="16"/>
                <w:color w:val="auto"/>
                <w:w w:val="99"/>
              </w:rPr>
              <w:t>—</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Unrecognized Compensation Cost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$92 million of unrecognized compensation expense, which is expected to be recognized over a weighted-average period of 1.5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Offerings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19, 2020, the Company completed the public offering of 20,700,000 shares (including the shares sold pursuant to the underwriters’ overallotment option) of Company Common Stock, at an offering price of $39.00 per share, which provided $772 million of proceeds, net of fees and estimated expenses of $35 million.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October 1, 2020, the Company completed the public offering of 35,650,000 shares (including the shares sold pursuant to the underwriters’ overallotment option) of Company Common Stock, at an offering price of $56.00 per share, which provided $1.9 billion of proceeds, net of fees and estimated expenses of $50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2018, the Board authorized a $150 million common stock repurchase program (the “Share Repurchase Program”) pursuant to which the Company may, from time to time, repurchase shares of common stock on the open market (either with 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 Company has acquired 223,823 shares of common stock at an aggregate value of $9 million and an average of $40.80 per share. No shares were repurchased during the years ended December 31, 2020 or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offered several 401(k) plans to substantially all employees who are not covered by collective bargaining agreements, who meet certain eligibility requirements, namely terms of service. During 2019, all existing 401(k) plans merged into a single plan. Under the combined plan, the employer matches contributions equal to 50% of the first 6%. In connection with the Merger, the Company assumed Former Caesars’ 401(k) plan and makes comparable matching contributions to employees covered by its plan document.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matching contribution expense totaled $10 million, $6 million and $3 million for the years ended December 31, 2020, 2019 and 2018, respectively.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Mountaineer’s qualified defined contribution plan (established by West Virginia legislation) covered substantially all of its employees. Contributions to the ERI 401(k) Plan for the benefit of Mountaineer employees were $1 million for the year ended December 31, 2018. Mountaineer was sold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Defined-Benefit Plan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2020, the fair value of the plan assets was $1 million, and the fair value of the benefit obligations was $1 million. The plan assets are comprised primarily of money market and mutual funds whose values are determined based on quoted market prices and are classified in Level 1 of the fair value hierarchy. We did not make cash contributions to the Scioto Downs pension plan during 2020, 2019 and 2018.</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also sponsors a defined-benefit plan for certain Tropicana Casino and Resort, Atlantic City employees under a Variable Annuity Pension Plan. As of December 31, 2020, the fair value of both, the plan assets and benefit obligations, was $20 million. Contributions to the plan were $2 million during both years ended December 31, 2020 and 2019.</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Merger, the Company assumed a defined-benefit plan for employees of the London Clubs International subsidiary that provides benefits based on final pensionable salary. The plan is no longer accepting participants or employee contributions. The assets of the plan are held in a separate trustee-administered fund, and death-in-service benefits, professional fees, and other expenses are paid by the pension plan. Annual contributions are made as required. We account for this plan under the immediate recognition method, under which actuarial gains and losses are recognized in our Statements of Operations in the year in which the gains and losses occur rather than deferring them into Other comprehensive income/(loss) and amortizing them over future periods. Any such amounts are recorded in the fourth quarter of each year, and during 2020, we recognized a gain of $7 million. These amounts do not reflect current compensation costs and are recorded outside of Income from operations, within discontinued operations on our Statements of Operations.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total plan assets were $244 million with projected benefit obligations totaling $264 million, resulting in a net pension liability of $20 million, which is recorded within liabilities held for sale on our Balance Sheets. As of December 31, 2020, our estimated long-term expected return on assets for this plan is 3.9% with a 1.4% discount rate. For the year ended December 31, 2020, we contributed $4 million to the plan.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Merger, CEI assumed Former Caesars deferred compensation plans, the Caesars Entertainment Corporation Executive Supplemental Savings Plan III (“ESSP III”) and the Caesars Entertainment Corporation Outside Director Deferred Compensation Plan. These plans are unfunded, non-qualified deferred compensation plans. Payment obligations pursuant to the plans are unsecured general obligations of the Company and affiliates of the Company employing participants in the ESSP III. The liability as of December 31, 2020 was $2 million, which was recorded in Deferred credits and other liabilities.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 Plans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certain current and former employees of Caesars, and our subsidiaries and affiliates, have balances under: (i) the Harrah’s Entertainment, Inc. Executive Supplemental Savings Plan, (ii) the Harrah’s Entertainment, Inc. Executive Supplemental Savings Plan II, (iii) the Park Place Entertainment Corporation Executive Deferred Compensation Plan, (iv) the Harrah’s Entertainment, Inc. Deferred Compensation Plan, and (v) the Harrah’s Entertainment, Inc. Executive Deferred Compensation Plan (collectively, the “existing deferred compensation plans”). These plans are deferred compensation plans that allow certain employees an opportunity to save for retirement and other purposes.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plans is now frozen and is no longer accepting contributions. However, participants may still earn returns on existing plan balances based upon their selected investment alternatives, which are reflected in their deferral accounts. The total liability recorded in Deferred credits and other liabilities for these plans was $49 million as of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Trust Assets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CEI is a party to a trust agreement (the “Trust Agreement”) and an escrow agreement with respect to all five of the existing deferred compensation plans (the “Escrow Agreement”), each structured as so-called “rabbi trust” arrangements, which holds assets that may be used to satisfy obligations under the existing deferred compensation plans above. Amounts held pursuant to the Trust Agreement and the Escrow Agreement were approximately $94 million as of December 31, 2020 and have been reflected within Deferred charges and other assets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Merger, the Company continues to contribute to a number of multi-employer defined benefit pension plans under the terms of collective bargaining agreements that cover union-represented employees of Former Caesars. Prior to the Merger, no significant contributions were made to such plans. The risks of participating in these multi-employer plans are different from a single-employer plan in the following respects:</w:t>
      </w:r>
    </w:p>
    <w:p>
      <w:pPr>
        <w:spacing w:after="0" w:line="11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94" w:lineRule="exact"/>
        <w:rPr>
          <w:rFonts w:ascii="Arial" w:cs="Arial" w:eastAsia="Arial" w:hAnsi="Arial"/>
          <w:sz w:val="16"/>
          <w:szCs w:val="16"/>
          <w:color w:val="auto"/>
        </w:rPr>
      </w:pPr>
    </w:p>
    <w:p>
      <w:pPr>
        <w:ind w:left="660" w:hanging="328"/>
        <w:spacing w:after="0" w:line="277" w:lineRule="auto"/>
        <w:tabs>
          <w:tab w:leader="none" w:pos="6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116" w:lineRule="exact"/>
        <w:rPr>
          <w:rFonts w:ascii="Arial" w:cs="Arial" w:eastAsia="Arial" w:hAnsi="Arial"/>
          <w:sz w:val="18"/>
          <w:szCs w:val="18"/>
          <w:color w:val="auto"/>
        </w:rPr>
      </w:pPr>
    </w:p>
    <w:p>
      <w:pPr>
        <w:ind w:left="660" w:hanging="328"/>
        <w:spacing w:after="0" w:line="277" w:lineRule="auto"/>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the Company may be required to pay those plans an amount based on the underfunding of the plan, referred to as a “withdrawal liability.”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Multi-employer Pension Plan Participation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Pension Protection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83"/>
              <w:spacing w:after="0"/>
              <w:rPr>
                <w:sz w:val="20"/>
                <w:szCs w:val="20"/>
                <w:color w:val="auto"/>
              </w:rPr>
            </w:pPr>
            <w:r>
              <w:rPr>
                <w:rFonts w:ascii="Arial" w:cs="Arial" w:eastAsia="Arial" w:hAnsi="Arial"/>
                <w:sz w:val="16"/>
                <w:szCs w:val="16"/>
                <w:b w:val="1"/>
                <w:bCs w:val="1"/>
                <w:color w:val="auto"/>
                <w:w w:val="91"/>
              </w:rPr>
              <w:t>Contributions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line="189" w:lineRule="exact"/>
              <w:rPr>
                <w:sz w:val="20"/>
                <w:szCs w:val="20"/>
                <w:color w:val="auto"/>
              </w:rPr>
            </w:pPr>
            <w:r>
              <w:rPr>
                <w:rFonts w:ascii="Arial" w:cs="Arial" w:eastAsia="Arial" w:hAnsi="Arial"/>
                <w:sz w:val="16"/>
                <w:szCs w:val="16"/>
                <w:b w:val="1"/>
                <w:bCs w:val="1"/>
                <w:color w:val="auto"/>
                <w:w w:val="89"/>
              </w:rPr>
              <w:t xml:space="preserve">Act Zone Status </w:t>
            </w:r>
            <w:r>
              <w:rPr>
                <w:rFonts w:ascii="Arial" w:cs="Arial" w:eastAsia="Arial" w:hAnsi="Arial"/>
                <w:sz w:val="21"/>
                <w:szCs w:val="21"/>
                <w:b w:val="1"/>
                <w:bCs w:val="1"/>
                <w:i w:val="1"/>
                <w:iCs w:val="1"/>
                <w:color w:val="auto"/>
                <w:w w:val="89"/>
                <w:vertAlign w:val="superscript"/>
              </w:rPr>
              <w:t>(a)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i w:val="1"/>
                <w:iCs w:val="1"/>
                <w:color w:val="auto"/>
                <w:w w:val="96"/>
              </w:rPr>
              <w:t>(In millions)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3"/>
              </w:rPr>
              <w:t>Expiration Date of</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EIN/Pension Plan</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FIP/RP</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Surcharge</w:t>
            </w: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Collective</w:t>
            </w:r>
          </w:p>
        </w:tc>
        <w:tc>
          <w:tcPr>
            <w:tcW w:w="0" w:type="dxa"/>
            <w:vAlign w:val="bottom"/>
          </w:tcPr>
          <w:p>
            <w:pPr>
              <w:spacing w:after="0"/>
              <w:rPr>
                <w:sz w:val="1"/>
                <w:szCs w:val="1"/>
                <w:color w:val="auto"/>
              </w:rPr>
            </w:pPr>
          </w:p>
        </w:tc>
      </w:tr>
      <w:tr>
        <w:trPr>
          <w:trHeight w:val="162"/>
        </w:trPr>
        <w:tc>
          <w:tcPr>
            <w:tcW w:w="2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Pension Fund</w:t>
            </w:r>
          </w:p>
        </w:tc>
        <w:tc>
          <w:tcPr>
            <w:tcW w:w="120" w:type="dxa"/>
            <w:vAlign w:val="bottom"/>
            <w:vMerge w:val="restart"/>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center"/>
              <w:ind w:right="8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Bargaining</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4"/>
              </w:rPr>
              <w:t xml:space="preserve">Status </w:t>
            </w:r>
            <w:r>
              <w:rPr>
                <w:rFonts w:ascii="Arial" w:cs="Arial" w:eastAsia="Arial" w:hAnsi="Arial"/>
                <w:sz w:val="21"/>
                <w:szCs w:val="21"/>
                <w:b w:val="1"/>
                <w:bCs w:val="1"/>
                <w:i w:val="1"/>
                <w:iCs w:val="1"/>
                <w:color w:val="auto"/>
                <w:w w:val="84"/>
                <w:vertAlign w:val="superscript"/>
              </w:rPr>
              <w:t>(b)</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Imposed</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Agreement </w:t>
            </w:r>
            <w:r>
              <w:rPr>
                <w:rFonts w:ascii="Arial" w:cs="Arial" w:eastAsia="Arial" w:hAnsi="Arial"/>
                <w:sz w:val="21"/>
                <w:szCs w:val="21"/>
                <w:b w:val="1"/>
                <w:bCs w:val="1"/>
                <w:i w:val="1"/>
                <w:iCs w:val="1"/>
                <w:color w:val="auto"/>
                <w:w w:val="87"/>
                <w:vertAlign w:val="superscript"/>
              </w:rPr>
              <w:t>(c)</w:t>
            </w:r>
          </w:p>
        </w:tc>
        <w:tc>
          <w:tcPr>
            <w:tcW w:w="0" w:type="dxa"/>
            <w:vAlign w:val="bottom"/>
          </w:tcPr>
          <w:p>
            <w:pPr>
              <w:spacing w:after="0"/>
              <w:rPr>
                <w:sz w:val="1"/>
                <w:szCs w:val="1"/>
                <w:color w:val="auto"/>
              </w:rPr>
            </w:pPr>
          </w:p>
        </w:tc>
      </w:tr>
      <w:tr>
        <w:trPr>
          <w:trHeight w:val="142"/>
        </w:trPr>
        <w:tc>
          <w:tcPr>
            <w:tcW w:w="30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Southern Nevada Culinary and Bartenders</w:t>
            </w:r>
          </w:p>
        </w:tc>
        <w:tc>
          <w:tcPr>
            <w:tcW w:w="1400" w:type="dxa"/>
            <w:vAlign w:val="bottom"/>
            <w:shd w:val="clear" w:color="auto" w:fill="CCEEFF"/>
          </w:tcPr>
          <w:p>
            <w:pPr>
              <w:jc w:val="center"/>
              <w:spacing w:after="0" w:line="142" w:lineRule="exact"/>
              <w:rPr>
                <w:sz w:val="20"/>
                <w:szCs w:val="20"/>
                <w:color w:val="auto"/>
              </w:rPr>
            </w:pPr>
            <w:r>
              <w:rPr>
                <w:rFonts w:ascii="Arial" w:cs="Arial" w:eastAsia="Arial" w:hAnsi="Arial"/>
                <w:sz w:val="15"/>
                <w:szCs w:val="15"/>
                <w:color w:val="auto"/>
                <w:w w:val="91"/>
              </w:rPr>
              <w:t>88-6016617/001</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5"/>
                <w:szCs w:val="15"/>
                <w:color w:val="auto"/>
                <w:w w:val="86"/>
              </w:rPr>
              <w:t>Green</w:t>
            </w:r>
          </w:p>
        </w:tc>
        <w:tc>
          <w:tcPr>
            <w:tcW w:w="100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5"/>
                <w:szCs w:val="15"/>
                <w:color w:val="auto"/>
                <w:w w:val="93"/>
              </w:rPr>
              <w:t>No</w:t>
            </w:r>
          </w:p>
        </w:tc>
        <w:tc>
          <w:tcPr>
            <w:tcW w:w="180" w:type="dxa"/>
            <w:vAlign w:val="bottom"/>
            <w:shd w:val="clear" w:color="auto" w:fill="CCEEFF"/>
          </w:tcPr>
          <w:p>
            <w:pPr>
              <w:jc w:val="right"/>
              <w:ind w:right="4"/>
              <w:spacing w:after="0" w:line="142" w:lineRule="exact"/>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20"/>
              <w:spacing w:after="0" w:line="142" w:lineRule="exact"/>
              <w:rPr>
                <w:sz w:val="20"/>
                <w:szCs w:val="20"/>
                <w:color w:val="auto"/>
              </w:rPr>
            </w:pPr>
            <w:r>
              <w:rPr>
                <w:rFonts w:ascii="Arial" w:cs="Arial" w:eastAsia="Arial" w:hAnsi="Arial"/>
                <w:sz w:val="15"/>
                <w:szCs w:val="15"/>
                <w:color w:val="auto"/>
              </w:rPr>
              <w:t>No</w:t>
            </w:r>
          </w:p>
        </w:tc>
        <w:tc>
          <w:tcPr>
            <w:tcW w:w="1520" w:type="dxa"/>
            <w:vAlign w:val="bottom"/>
            <w:shd w:val="clear" w:color="auto" w:fill="CCEEFF"/>
          </w:tcPr>
          <w:p>
            <w:pPr>
              <w:jc w:val="center"/>
              <w:spacing w:after="0" w:line="142" w:lineRule="exact"/>
              <w:rPr>
                <w:sz w:val="20"/>
                <w:szCs w:val="20"/>
                <w:color w:val="auto"/>
              </w:rPr>
            </w:pPr>
            <w:r>
              <w:rPr>
                <w:rFonts w:ascii="Arial" w:cs="Arial" w:eastAsia="Arial" w:hAnsi="Arial"/>
                <w:sz w:val="15"/>
                <w:szCs w:val="15"/>
                <w:color w:val="auto"/>
                <w:w w:val="92"/>
              </w:rPr>
              <w:t>May 31, 2023</w:t>
            </w: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5"/>
                <w:szCs w:val="15"/>
                <w:color w:val="auto"/>
              </w:rPr>
              <w:t xml:space="preserve">Pension Plan </w:t>
            </w:r>
            <w:r>
              <w:rPr>
                <w:rFonts w:ascii="Arial" w:cs="Arial" w:eastAsia="Arial" w:hAnsi="Arial"/>
                <w:sz w:val="19"/>
                <w:szCs w:val="19"/>
                <w:i w:val="1"/>
                <w:iCs w:val="1"/>
                <w:color w:val="auto"/>
                <w:vertAlign w:val="superscript"/>
              </w:rPr>
              <w:t>(d)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9" w:lineRule="exact"/>
              <w:rPr>
                <w:sz w:val="20"/>
                <w:szCs w:val="20"/>
                <w:color w:val="auto"/>
              </w:rPr>
            </w:pPr>
            <w:r>
              <w:rPr>
                <w:rFonts w:ascii="Arial" w:cs="Arial" w:eastAsia="Arial" w:hAnsi="Arial"/>
                <w:sz w:val="15"/>
                <w:szCs w:val="15"/>
                <w:color w:val="auto"/>
                <w:w w:val="99"/>
              </w:rPr>
              <w:t>Legacy Plan of the UNITE HERE Retirement</w:t>
            </w:r>
          </w:p>
        </w:tc>
        <w:tc>
          <w:tcPr>
            <w:tcW w:w="1400" w:type="dxa"/>
            <w:vAlign w:val="bottom"/>
          </w:tcPr>
          <w:p>
            <w:pPr>
              <w:jc w:val="center"/>
              <w:spacing w:after="0" w:line="149" w:lineRule="exact"/>
              <w:rPr>
                <w:sz w:val="20"/>
                <w:szCs w:val="20"/>
                <w:color w:val="auto"/>
              </w:rPr>
            </w:pPr>
            <w:r>
              <w:rPr>
                <w:rFonts w:ascii="Arial" w:cs="Arial" w:eastAsia="Arial" w:hAnsi="Arial"/>
                <w:sz w:val="15"/>
                <w:szCs w:val="15"/>
                <w:color w:val="auto"/>
                <w:w w:val="91"/>
              </w:rPr>
              <w:t>82-0994119/001</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87"/>
              </w:rPr>
              <w:t>Red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84"/>
              </w:rPr>
              <w:t>Yes</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5"/>
                <w:szCs w:val="15"/>
                <w:color w:val="auto"/>
              </w:rPr>
              <w:t>No</w:t>
            </w:r>
          </w:p>
        </w:tc>
        <w:tc>
          <w:tcPr>
            <w:tcW w:w="1520" w:type="dxa"/>
            <w:vAlign w:val="bottom"/>
          </w:tcPr>
          <w:p>
            <w:pPr>
              <w:jc w:val="center"/>
              <w:spacing w:after="0" w:line="149" w:lineRule="exact"/>
              <w:rPr>
                <w:sz w:val="20"/>
                <w:szCs w:val="20"/>
                <w:color w:val="auto"/>
              </w:rPr>
            </w:pPr>
            <w:r>
              <w:rPr>
                <w:rFonts w:ascii="Arial" w:cs="Arial" w:eastAsia="Arial" w:hAnsi="Arial"/>
                <w:sz w:val="15"/>
                <w:szCs w:val="15"/>
                <w:color w:val="auto"/>
                <w:w w:val="93"/>
              </w:rPr>
              <w:t>Various up to May 31,</w:t>
            </w:r>
          </w:p>
        </w:tc>
        <w:tc>
          <w:tcPr>
            <w:tcW w:w="0" w:type="dxa"/>
            <w:vAlign w:val="bottom"/>
          </w:tcPr>
          <w:p>
            <w:pPr>
              <w:spacing w:after="0"/>
              <w:rPr>
                <w:sz w:val="1"/>
                <w:szCs w:val="1"/>
                <w:color w:val="auto"/>
              </w:rPr>
            </w:pPr>
          </w:p>
        </w:tc>
      </w:tr>
      <w:tr>
        <w:trPr>
          <w:trHeight w:val="203"/>
        </w:trPr>
        <w:tc>
          <w:tcPr>
            <w:tcW w:w="3000" w:type="dxa"/>
            <w:vAlign w:val="bottom"/>
            <w:gridSpan w:val="2"/>
          </w:tcPr>
          <w:p>
            <w:pPr>
              <w:ind w:left="180"/>
              <w:spacing w:after="0" w:line="202" w:lineRule="exact"/>
              <w:rPr>
                <w:sz w:val="20"/>
                <w:szCs w:val="20"/>
                <w:color w:val="auto"/>
              </w:rPr>
            </w:pPr>
            <w:r>
              <w:rPr>
                <w:rFonts w:ascii="Arial" w:cs="Arial" w:eastAsia="Arial" w:hAnsi="Arial"/>
                <w:sz w:val="23"/>
                <w:szCs w:val="23"/>
                <w:color w:val="auto"/>
                <w:vertAlign w:val="subscript"/>
              </w:rPr>
              <w:t>Fund</w:t>
            </w:r>
            <w:r>
              <w:rPr>
                <w:rFonts w:ascii="Arial" w:cs="Arial" w:eastAsia="Arial" w:hAnsi="Arial"/>
                <w:sz w:val="9"/>
                <w:szCs w:val="9"/>
                <w:i w:val="1"/>
                <w:iCs w:val="1"/>
                <w:color w:val="auto"/>
              </w:rPr>
              <w:t xml:space="preserve"> (d)(e)</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2023</w:t>
            </w: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Local 68 Engineers Union Pension Plan </w:t>
            </w:r>
            <w:r>
              <w:rPr>
                <w:rFonts w:ascii="Arial" w:cs="Arial" w:eastAsia="Arial" w:hAnsi="Arial"/>
                <w:sz w:val="19"/>
                <w:szCs w:val="19"/>
                <w:i w:val="1"/>
                <w:iCs w:val="1"/>
                <w:color w:val="auto"/>
                <w:vertAlign w:val="superscript"/>
              </w:rPr>
              <w:t>(d)(f)</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51-0176618/001</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Yellow</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4"/>
              </w:rPr>
              <w:t>Yes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No</w:t>
            </w:r>
          </w:p>
        </w:tc>
        <w:tc>
          <w:tcPr>
            <w:tcW w:w="15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April 30, 2022</w:t>
            </w: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Painters IUPAT</w:t>
            </w:r>
          </w:p>
        </w:tc>
        <w:tc>
          <w:tcPr>
            <w:tcW w:w="1400" w:type="dxa"/>
            <w:vAlign w:val="bottom"/>
          </w:tcPr>
          <w:p>
            <w:pPr>
              <w:jc w:val="center"/>
              <w:spacing w:after="0" w:line="149" w:lineRule="exact"/>
              <w:rPr>
                <w:sz w:val="20"/>
                <w:szCs w:val="20"/>
                <w:color w:val="auto"/>
              </w:rPr>
            </w:pPr>
            <w:r>
              <w:rPr>
                <w:rFonts w:ascii="Arial" w:cs="Arial" w:eastAsia="Arial" w:hAnsi="Arial"/>
                <w:sz w:val="15"/>
                <w:szCs w:val="15"/>
                <w:color w:val="auto"/>
                <w:w w:val="91"/>
              </w:rPr>
              <w:t>52-6073909/001</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99"/>
              </w:rPr>
              <w:t>Yellow</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w w:val="84"/>
              </w:rPr>
              <w:t>Yes</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5"/>
                <w:szCs w:val="15"/>
                <w:color w:val="auto"/>
              </w:rPr>
              <w:t>No</w:t>
            </w:r>
          </w:p>
        </w:tc>
        <w:tc>
          <w:tcPr>
            <w:tcW w:w="1520" w:type="dxa"/>
            <w:vAlign w:val="bottom"/>
          </w:tcPr>
          <w:p>
            <w:pPr>
              <w:jc w:val="center"/>
              <w:spacing w:after="0" w:line="149" w:lineRule="exact"/>
              <w:rPr>
                <w:sz w:val="20"/>
                <w:szCs w:val="20"/>
                <w:color w:val="auto"/>
              </w:rPr>
            </w:pPr>
            <w:r>
              <w:rPr>
                <w:rFonts w:ascii="Arial" w:cs="Arial" w:eastAsia="Arial" w:hAnsi="Arial"/>
                <w:sz w:val="15"/>
                <w:szCs w:val="15"/>
                <w:color w:val="auto"/>
                <w:w w:val="90"/>
              </w:rPr>
              <w:t>Various up to June 30,</w:t>
            </w: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Funds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gridSpan w:val="2"/>
          </w:tcPr>
          <w:p>
            <w:pPr>
              <w:ind w:left="220"/>
              <w:spacing w:after="0"/>
              <w:rPr>
                <w:sz w:val="20"/>
                <w:szCs w:val="20"/>
                <w:color w:val="auto"/>
              </w:rPr>
            </w:pPr>
            <w:r>
              <w:rPr>
                <w:rFonts w:ascii="Arial" w:cs="Arial" w:eastAsia="Arial" w:hAnsi="Arial"/>
                <w:sz w:val="15"/>
                <w:szCs w:val="15"/>
                <w:color w:val="auto"/>
              </w:rPr>
              <w:t>Total Contributions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340" w:hanging="332"/>
        <w:spacing w:after="0" w:line="225" w:lineRule="auto"/>
        <w:tabs>
          <w:tab w:leader="none" w:pos="327" w:val="left"/>
        </w:tabs>
        <w:numPr>
          <w:ilvl w:val="0"/>
          <w:numId w:val="5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Pension Protection Act zone status for applicable plan year beginning January 1, except where noted otherwise. The zone status is based on information that the Company received from the plan administrator and is certified by the plan’s actuary. Among other factors, plans in the red zone are generally less than 65% funded, plans in the yellow zone are between 65% and less than 80% funded, and plans in the green zone are at least 80% funded. All plans detailed in the table above utilized extended amortization provisions to calculate zone status.</w:t>
      </w:r>
    </w:p>
    <w:p>
      <w:pPr>
        <w:spacing w:after="0" w:line="2"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5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Indicates plans for which a financial improvement plan (“FIP”) or a rehabilitation plan (“RP”) is either pending or has been implemented.</w:t>
      </w:r>
    </w:p>
    <w:p>
      <w:pPr>
        <w:ind w:left="320" w:hanging="312"/>
        <w:spacing w:after="0" w:line="187" w:lineRule="auto"/>
        <w:tabs>
          <w:tab w:leader="none" w:pos="320" w:val="left"/>
        </w:tabs>
        <w:numPr>
          <w:ilvl w:val="0"/>
          <w:numId w:val="5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terms of the current agreement continue indefinitely until either party provides appropriate notice of intent to terminate the contract.</w:t>
      </w:r>
    </w:p>
    <w:p>
      <w:pPr>
        <w:ind w:left="340" w:right="20" w:hanging="332"/>
        <w:spacing w:after="0" w:line="204" w:lineRule="auto"/>
        <w:tabs>
          <w:tab w:leader="none" w:pos="327" w:val="left"/>
        </w:tabs>
        <w:numPr>
          <w:ilvl w:val="0"/>
          <w:numId w:val="5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Prior to the Merger, Former Caesars provided more than 5% of the total contributions for the plan years ended December 31, 2019 and 2018. As of the date the financial statements were issued, Forms 5500 were not available for the 2020 plan year.</w:t>
      </w:r>
    </w:p>
    <w:p>
      <w:pPr>
        <w:spacing w:after="0" w:line="1" w:lineRule="exact"/>
        <w:rPr>
          <w:rFonts w:ascii="Arial" w:cs="Arial" w:eastAsia="Arial" w:hAnsi="Arial"/>
          <w:sz w:val="19"/>
          <w:szCs w:val="19"/>
          <w:i w:val="1"/>
          <w:iCs w:val="1"/>
          <w:color w:val="auto"/>
          <w:vertAlign w:val="superscript"/>
        </w:rPr>
      </w:pPr>
    </w:p>
    <w:p>
      <w:pPr>
        <w:jc w:val="both"/>
        <w:ind w:left="340" w:right="20" w:hanging="332"/>
        <w:spacing w:after="0" w:line="235" w:lineRule="auto"/>
        <w:tabs>
          <w:tab w:leader="none" w:pos="336" w:val="left"/>
        </w:tabs>
        <w:numPr>
          <w:ilvl w:val="0"/>
          <w:numId w:val="5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HEREIU Pension Fund consists of two separate plans, the Legacy Plan of the HEREIU Pension Fund and the Adjustable Plan of the HEREIU Pension Fund. CEI makes a single contribution to the HEREIU Pension Fund, the Trustees of which allocate such contribution between the Legacy Plan and the Adjustable Plan. The contribution amount reflected to the Legacy Plan is the aggregate contribution made to the HEREIU Pension Fund before such allocation between the Legacy Plan and the Adjustable Plan of the HEREIU Pension Fund.</w:t>
      </w:r>
    </w:p>
    <w:p>
      <w:pPr>
        <w:spacing w:after="0" w:line="1" w:lineRule="exact"/>
        <w:rPr>
          <w:rFonts w:ascii="Arial" w:cs="Arial" w:eastAsia="Arial" w:hAnsi="Arial"/>
          <w:sz w:val="17"/>
          <w:szCs w:val="17"/>
          <w:i w:val="1"/>
          <w:iCs w:val="1"/>
          <w:color w:val="auto"/>
          <w:vertAlign w:val="superscript"/>
        </w:rPr>
      </w:pPr>
    </w:p>
    <w:p>
      <w:pPr>
        <w:ind w:left="320" w:hanging="312"/>
        <w:spacing w:after="0" w:line="186" w:lineRule="auto"/>
        <w:tabs>
          <w:tab w:leader="none" w:pos="320" w:val="left"/>
        </w:tabs>
        <w:numPr>
          <w:ilvl w:val="0"/>
          <w:numId w:val="5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Plan years begin July 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provision for income taxes for the years ended December 31, 2020, 2019 and 2018 are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Components of Income/(Loss) Before Income Taxes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40" w:type="dxa"/>
            <w:vAlign w:val="bottom"/>
          </w:tcPr>
          <w:p>
            <w:pPr>
              <w:jc w:val="right"/>
              <w:ind w:right="61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39"/>
              <w:spacing w:after="0" w:line="169"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20" w:type="dxa"/>
            <w:vAlign w:val="bottom"/>
            <w:tcBorders>
              <w:bottom w:val="single" w:sz="8" w:color="CCEEFF"/>
            </w:tcBorders>
          </w:tcPr>
          <w:p>
            <w:pPr>
              <w:spacing w:after="0"/>
              <w:rPr>
                <w:sz w:val="18"/>
                <w:szCs w:val="18"/>
                <w:color w:val="auto"/>
              </w:rPr>
            </w:pPr>
          </w:p>
        </w:tc>
        <w:tc>
          <w:tcPr>
            <w:tcW w:w="5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Outside of the U.S.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i w:val="1"/>
                <w:iCs w:val="1"/>
                <w:color w:val="auto"/>
              </w:rPr>
              <w:t>Income Tax Provision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jc w:val="right"/>
              <w:ind w:right="559"/>
              <w:spacing w:after="0" w:line="169" w:lineRule="exact"/>
              <w:rPr>
                <w:sz w:val="20"/>
                <w:szCs w:val="20"/>
                <w:color w:val="auto"/>
              </w:rPr>
            </w:pPr>
            <w:r>
              <w:rPr>
                <w:rFonts w:ascii="Arial" w:cs="Arial" w:eastAsia="Arial" w:hAnsi="Arial"/>
                <w:sz w:val="16"/>
                <w:szCs w:val="16"/>
                <w:b w:val="1"/>
                <w:bCs w:val="1"/>
                <w:color w:val="auto"/>
              </w:rPr>
              <w:t>2020</w:t>
            </w:r>
          </w:p>
        </w:tc>
        <w:tc>
          <w:tcPr>
            <w:tcW w:w="2260" w:type="dxa"/>
            <w:vAlign w:val="bottom"/>
            <w:gridSpan w:val="2"/>
          </w:tcPr>
          <w:p>
            <w:pPr>
              <w:jc w:val="right"/>
              <w:ind w:right="400"/>
              <w:spacing w:after="0" w:line="169" w:lineRule="exact"/>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79"/>
              <w:spacing w:after="0" w:line="169"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Arial" w:cs="Arial" w:eastAsia="Arial" w:hAnsi="Arial"/>
                <w:sz w:val="16"/>
                <w:szCs w:val="16"/>
                <w:color w:val="auto"/>
              </w:rPr>
              <w:t>Current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60" w:type="dxa"/>
            <w:vAlign w:val="bottom"/>
            <w:gridSpan w:val="2"/>
            <w:shd w:val="clear" w:color="auto" w:fill="CCEEFF"/>
          </w:tcPr>
          <w:p>
            <w:pPr>
              <w:jc w:val="right"/>
              <w:ind w:right="1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5340" w:type="dxa"/>
            <w:vAlign w:val="bottom"/>
            <w:gridSpan w:val="3"/>
          </w:tcPr>
          <w:p>
            <w:pPr>
              <w:ind w:left="540"/>
              <w:spacing w:after="0"/>
              <w:rPr>
                <w:sz w:val="20"/>
                <w:szCs w:val="20"/>
                <w:color w:val="auto"/>
              </w:rPr>
            </w:pPr>
            <w:r>
              <w:rPr>
                <w:rFonts w:ascii="Arial" w:cs="Arial" w:eastAsia="Arial" w:hAnsi="Arial"/>
                <w:sz w:val="16"/>
                <w:szCs w:val="16"/>
                <w:color w:val="auto"/>
              </w:rPr>
              <w:t>State &amp;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Deferred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340" w:type="dxa"/>
            <w:vAlign w:val="bottom"/>
            <w:gridSpan w:val="3"/>
          </w:tcPr>
          <w:p>
            <w:pPr>
              <w:ind w:left="540"/>
              <w:spacing w:after="0"/>
              <w:rPr>
                <w:sz w:val="20"/>
                <w:szCs w:val="20"/>
                <w:color w:val="auto"/>
              </w:rPr>
            </w:pPr>
            <w:r>
              <w:rPr>
                <w:rFonts w:ascii="Arial" w:cs="Arial" w:eastAsia="Arial" w:hAnsi="Arial"/>
                <w:sz w:val="16"/>
                <w:szCs w:val="16"/>
                <w:color w:val="auto"/>
              </w:rPr>
              <w:t>Federal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w:t>
            </w: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State &amp; Local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6"/>
                <w:szCs w:val="16"/>
                <w:color w:val="auto"/>
              </w:rPr>
              <w:t>Outside of the U.S.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Current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c>
          <w:tcPr>
            <w:tcW w:w="2260" w:type="dxa"/>
            <w:vAlign w:val="bottom"/>
            <w:gridSpan w:val="2"/>
          </w:tcPr>
          <w:p>
            <w:pPr>
              <w:jc w:val="right"/>
              <w:ind w:right="12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Allocation of Income Tax Provision</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40" w:type="dxa"/>
            <w:vAlign w:val="bottom"/>
          </w:tcPr>
          <w:p>
            <w:pPr>
              <w:jc w:val="right"/>
              <w:ind w:right="61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39"/>
              <w:spacing w:after="0" w:line="169"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 provision applicable to:</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Company’s effective tax rate for the years ended December 31, 2020, 2019 and 2018: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20" w:type="dxa"/>
            <w:vAlign w:val="bottom"/>
            <w:gridSpan w:val="3"/>
          </w:tcPr>
          <w:p>
            <w:pPr>
              <w:spacing w:after="0"/>
              <w:rPr>
                <w:sz w:val="20"/>
                <w:szCs w:val="20"/>
                <w:color w:val="auto"/>
              </w:rPr>
            </w:pPr>
            <w:r>
              <w:rPr>
                <w:rFonts w:ascii="Arial" w:cs="Arial" w:eastAsia="Arial" w:hAnsi="Arial"/>
                <w:sz w:val="18"/>
                <w:szCs w:val="18"/>
                <w:i w:val="1"/>
                <w:iCs w:val="1"/>
                <w:color w:val="auto"/>
              </w:rPr>
              <w:t>Effective Income Tax Rate Reconciliation</w:t>
            </w:r>
          </w:p>
        </w:tc>
        <w:tc>
          <w:tcPr>
            <w:tcW w:w="660" w:type="dxa"/>
            <w:vAlign w:val="bottom"/>
          </w:tcPr>
          <w:p>
            <w:pPr>
              <w:spacing w:after="0"/>
              <w:rPr>
                <w:sz w:val="17"/>
                <w:szCs w:val="17"/>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auto"/>
                <w:w w:val="92"/>
              </w:rPr>
              <w:t>Years Ended December 31,</w:t>
            </w:r>
          </w:p>
        </w:tc>
        <w:tc>
          <w:tcPr>
            <w:tcW w:w="18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r>
      <w:tr>
        <w:trPr>
          <w:trHeight w:val="212"/>
        </w:trPr>
        <w:tc>
          <w:tcPr>
            <w:tcW w:w="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Federal 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6"/>
                <w:szCs w:val="16"/>
                <w:color w:val="auto"/>
              </w:rPr>
              <w:t>State and local taxes</w:t>
            </w:r>
          </w:p>
        </w:tc>
        <w:tc>
          <w:tcPr>
            <w:tcW w:w="660" w:type="dxa"/>
            <w:vAlign w:val="bottom"/>
          </w:tcPr>
          <w:p>
            <w:pPr>
              <w:jc w:val="right"/>
              <w:spacing w:after="0"/>
              <w:rPr>
                <w:sz w:val="20"/>
                <w:szCs w:val="20"/>
                <w:color w:val="auto"/>
              </w:rPr>
            </w:pPr>
            <w:r>
              <w:rPr>
                <w:rFonts w:ascii="Arial" w:cs="Arial" w:eastAsia="Arial" w:hAnsi="Arial"/>
                <w:sz w:val="16"/>
                <w:szCs w:val="16"/>
                <w:color w:val="auto"/>
              </w:rPr>
              <w:t>3.8 %</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 tax rate adjustment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3"/>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6"/>
                <w:szCs w:val="16"/>
                <w:color w:val="auto"/>
              </w:rPr>
              <w:t>Stock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Goodwill impairment and dispositions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6"/>
                <w:szCs w:val="16"/>
                <w:color w:val="auto"/>
              </w:rPr>
              <w:t>Nondeductible transaction expenses</w:t>
            </w: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Nondeductible convertible notes costs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6"/>
                <w:szCs w:val="16"/>
                <w:color w:val="auto"/>
              </w:rPr>
              <w:t>Decrease in uncertain tax positions</w:t>
            </w:r>
          </w:p>
        </w:tc>
        <w:tc>
          <w:tcPr>
            <w:tcW w:w="660" w:type="dxa"/>
            <w:vAlign w:val="bottom"/>
          </w:tcPr>
          <w:p>
            <w:pPr>
              <w:jc w:val="right"/>
              <w:spacing w:after="0"/>
              <w:rPr>
                <w:sz w:val="20"/>
                <w:szCs w:val="20"/>
                <w:color w:val="auto"/>
              </w:rPr>
            </w:pPr>
            <w:r>
              <w:rPr>
                <w:rFonts w:ascii="Arial" w:cs="Arial" w:eastAsia="Arial" w:hAnsi="Arial"/>
                <w:sz w:val="16"/>
                <w:szCs w:val="16"/>
                <w:color w:val="auto"/>
              </w:rPr>
              <w:t>0.9 %</w:t>
            </w:r>
          </w:p>
        </w:tc>
        <w:tc>
          <w:tcPr>
            <w:tcW w:w="8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tax benefit of foreign subsidiaries held for sale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6"/>
                <w:szCs w:val="16"/>
                <w:color w:val="auto"/>
              </w:rPr>
              <w:t>Tax Cuts and Jobs Act</w:t>
            </w: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6"/>
                <w:szCs w:val="16"/>
                <w:color w:val="auto"/>
              </w:rPr>
              <w:t>Tax credits</w:t>
            </w:r>
          </w:p>
        </w:tc>
        <w:tc>
          <w:tcPr>
            <w:tcW w:w="660" w:type="dxa"/>
            <w:vAlign w:val="bottom"/>
          </w:tcPr>
          <w:p>
            <w:pPr>
              <w:jc w:val="right"/>
              <w:spacing w:after="0"/>
              <w:rPr>
                <w:sz w:val="20"/>
                <w:szCs w:val="20"/>
                <w:color w:val="auto"/>
              </w:rPr>
            </w:pPr>
            <w:r>
              <w:rPr>
                <w:rFonts w:ascii="Arial" w:cs="Arial" w:eastAsia="Arial" w:hAnsi="Arial"/>
                <w:sz w:val="16"/>
                <w:szCs w:val="16"/>
                <w:color w:val="auto"/>
              </w:rPr>
              <w:t>0.1 %</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20" w:type="dxa"/>
            <w:vAlign w:val="bottom"/>
          </w:tcPr>
          <w:p>
            <w:pPr>
              <w:spacing w:after="0"/>
              <w:rPr>
                <w:sz w:val="18"/>
                <w:szCs w:val="18"/>
                <w:color w:val="auto"/>
              </w:rPr>
            </w:pPr>
          </w:p>
        </w:tc>
        <w:tc>
          <w:tcPr>
            <w:tcW w:w="6720" w:type="dxa"/>
            <w:vAlign w:val="bottom"/>
            <w:gridSpan w:val="3"/>
          </w:tcPr>
          <w:p>
            <w:pPr>
              <w:ind w:left="200"/>
              <w:spacing w:after="0"/>
              <w:rPr>
                <w:sz w:val="20"/>
                <w:szCs w:val="20"/>
                <w:color w:val="auto"/>
              </w:rPr>
            </w:pPr>
            <w:r>
              <w:rPr>
                <w:rFonts w:ascii="Arial" w:cs="Arial" w:eastAsia="Arial" w:hAnsi="Arial"/>
                <w:sz w:val="16"/>
                <w:szCs w:val="16"/>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35.2 %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29.8 %</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at December 31, 2020 and 2019 are as follows:</w:t>
      </w:r>
    </w:p>
    <w:p>
      <w:pPr>
        <w:spacing w:after="0" w:line="103"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Loss carryforwards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3"/>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investment - held for sale</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Allowance for doubtful accounts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Excess business interest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State combined reporting deduction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expenses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Credit carryforwards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CARES Act deferred payroll tax</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Compensation programs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Financing obligation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Long-term lease obligation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193"/>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Identified intangibles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Other debt-related items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Unrealized foreign exchange gain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Fixed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Right-of-use assets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deferred tax liabilities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Merger described in Note 3, the Company acquired $772 million of additional net deferred tax liabilities, net of necessary valuation allowances.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We have provided a valuation allowance on certain federal, state, and foreign deferred tax assets that were not deemed realizable based upon estimates of future taxable income. Included in the increase of valuation allowance of $1.9 billion is $1.4 billion that was acquired as a result of the Merger. Additionally, the Company increased its beginning of year valuation allowance by $8 million as a result of the Merger.</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federal, state and foreign net operating loss carryforwards of $3.0 billion, $9.2 billion and $127 million, respectively. The federal net operating loss includes $479 million that does not expire. The remaining federal and state net operating losses will begin to expire in 2030 and 2021, respectively. The foreign net operating losses do not expire. As of December 31, 2020, the Company had federal general business tax credit and research tax credit carryforwards of $108 million, which begin to expire in 2029.</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Section 382 of the Internal Revenue Code provides an annual limitation with respect to the ability of a corporation to utilize its net operating loss carryovers, as well as certain built-in losses, against future taxable income in the event of a change in ownership. The acquisition of Former Caesars in July 2020 resulted in a change in ownership for purposes of Section 382, making its provisions applicable to the Company. However, it is unlikely that the annual limitation on tax attribute usage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resulting from the acquisition will adversely affect the Company’s ability to utilize its net operating loss carryovers against its future taxable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Arial" w:cs="Arial" w:eastAsia="Arial" w:hAnsi="Arial"/>
                <w:sz w:val="18"/>
                <w:szCs w:val="18"/>
                <w:i w:val="1"/>
                <w:iCs w:val="1"/>
                <w:color w:val="auto"/>
              </w:rPr>
              <w:t>Reconciliation of Unrecognized Tax Benefits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40" w:type="dxa"/>
            <w:vAlign w:val="bottom"/>
          </w:tcPr>
          <w:p>
            <w:pPr>
              <w:jc w:val="right"/>
              <w:ind w:right="61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ind w:left="320"/>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ind w:left="320"/>
              <w:spacing w:after="0" w:line="169"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Balance as of beginning of year</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Acquisition of Former Caesars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Additions for tax positions of prior years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760" w:type="dxa"/>
            <w:vAlign w:val="bottom"/>
            <w:gridSpan w:val="3"/>
          </w:tcPr>
          <w:p>
            <w:pPr>
              <w:ind w:left="200"/>
              <w:spacing w:after="0"/>
              <w:rPr>
                <w:sz w:val="20"/>
                <w:szCs w:val="20"/>
                <w:color w:val="auto"/>
              </w:rPr>
            </w:pPr>
            <w:r>
              <w:rPr>
                <w:rFonts w:ascii="Arial" w:cs="Arial" w:eastAsia="Arial" w:hAnsi="Arial"/>
                <w:sz w:val="16"/>
                <w:szCs w:val="16"/>
                <w:color w:val="auto"/>
              </w:rPr>
              <w:t>Settlements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Expiration of statutes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rPr>
              <w:t>Balance as of end of year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137</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reserves for tax uncertainties within Accrued expenses and other current liabilities and Deferred credits and other liabilities in our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accrue interest and penalties related to unrecognized tax benefits in income tax expense. During 2020, we increased our accrual by $2 million, primarily due to the Merger. There was no accrual during 2019 and 2018. There was an accrual for the payment of interest and penalties of $2 million as of December 31, 2020. Included in the balances of unrecognized tax benefits as of December 31, 2020 was approximately $123 million of unrecognized tax benefits that, if recognized, would impact the effective tax rate.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the consolidated group. With few exceptions, the Company is no longer subject to US federal or state and local tax examinations by tax authorities for years before 2017. We believe that it is reasonably possible that the unrecognized tax benefits liability will not materially change within the next 12 months. Audit outcomes and the timing of audit settlements are subject to significant uncertainty. Although we believe that adequate provision has been made for such issues, there is the possibility that the ultimate resolution of such issues could have an adverse effect on our earnings. Conversely, if these issues are resolved favorably in the future, the related provision would be reduced, thus having a favorable impact on earnings.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REI owned approximately 4.1%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For each of the years ended December 31, 2020, 2019 and 2018, there were no related party transactions between the Company and the Carano Family other than compensation, including salary and equity incentives and the CSY Lease listed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which is an entity partially owned by REI (the “CSY Lease”). The CSY Lease expires on June 30, 2057. Rent pursuant to the CSY Lease amounted to $0.6 million in each of the years ended December 31, 2020, 2019 and 2018. As of December 31, 2020 and 2019 there were no amounts due to or from C. S. &amp; Y. Associates.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Horseshoe Baltimore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holds an interest in Horseshoe Baltimore of approximately 44.3% which is accounted for as an equity method investment and is considered to be a related party. These related party transactions include items such as casino management fees, reimbursement of various costs incurred by the Company, on behalf of Horseshoe Baltimore, and the allocation of other general corporate expenses. A summary of the transactions with Horseshoe Baltimore is provided in the table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120" w:type="dxa"/>
            <w:vAlign w:val="bottom"/>
            <w:gridSpan w:val="2"/>
          </w:tcPr>
          <w:p>
            <w:pPr>
              <w:jc w:val="center"/>
              <w:ind w:right="1039"/>
              <w:spacing w:after="0"/>
              <w:rPr>
                <w:sz w:val="20"/>
                <w:szCs w:val="20"/>
                <w:color w:val="auto"/>
              </w:rPr>
            </w:pPr>
            <w:r>
              <w:rPr>
                <w:rFonts w:ascii="Arial" w:cs="Arial" w:eastAsia="Arial" w:hAnsi="Arial"/>
                <w:sz w:val="18"/>
                <w:szCs w:val="18"/>
                <w:b w:val="1"/>
                <w:bCs w:val="1"/>
                <w:color w:val="auto"/>
                <w:w w:val="99"/>
              </w:rPr>
              <w:t>CAESARS ENTERTAINMENT, INC.</w:t>
            </w:r>
          </w:p>
        </w:tc>
        <w:tc>
          <w:tcPr>
            <w:tcW w:w="15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120" w:type="dxa"/>
            <w:vAlign w:val="bottom"/>
            <w:gridSpan w:val="2"/>
          </w:tcPr>
          <w:p>
            <w:pPr>
              <w:jc w:val="center"/>
              <w:ind w:right="1019"/>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500" w:type="dxa"/>
            <w:vAlign w:val="bottom"/>
          </w:tcPr>
          <w:p>
            <w:pPr>
              <w:spacing w:after="0"/>
              <w:rPr>
                <w:sz w:val="20"/>
                <w:szCs w:val="20"/>
                <w:color w:val="auto"/>
              </w:rPr>
            </w:pPr>
          </w:p>
        </w:tc>
      </w:tr>
      <w:tr>
        <w:trPr>
          <w:trHeight w:val="67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Year Ended December 31,</w:t>
            </w:r>
          </w:p>
        </w:tc>
      </w:tr>
      <w:tr>
        <w:trPr>
          <w:trHeight w:val="176"/>
        </w:trPr>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39"/>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Transactions with Horseshoe Baltimore</w:t>
            </w:r>
          </w:p>
        </w:tc>
        <w:tc>
          <w:tcPr>
            <w:tcW w:w="6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00" w:type="dxa"/>
            <w:vAlign w:val="bottom"/>
            <w:gridSpan w:val="2"/>
          </w:tcPr>
          <w:p>
            <w:pPr>
              <w:ind w:left="200"/>
              <w:spacing w:after="0"/>
              <w:rPr>
                <w:sz w:val="20"/>
                <w:szCs w:val="20"/>
                <w:color w:val="auto"/>
              </w:rPr>
            </w:pPr>
            <w:r>
              <w:rPr>
                <w:rFonts w:ascii="Arial" w:cs="Arial" w:eastAsia="Arial" w:hAnsi="Arial"/>
                <w:sz w:val="16"/>
                <w:szCs w:val="16"/>
                <w:color w:val="auto"/>
              </w:rPr>
              <w:t>Management fees</w:t>
            </w:r>
          </w:p>
        </w:tc>
        <w:tc>
          <w:tcPr>
            <w:tcW w:w="712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Allocated expenses</w:t>
            </w:r>
          </w:p>
        </w:tc>
        <w:tc>
          <w:tcPr>
            <w:tcW w:w="6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from/to Affiliates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due from or to affiliates for each counterparty represent the net receivable or payable as of the end of the reporting period primarily resulting from the transactions described above and settled on a net basis by each counterparty in accordance with the legal and contractual restrictions governing transactions by and among the Company’s consolidated entities.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Due from affiliates, net was $44 million and $4 million, respectively, and represented transactions with Horseshoe Baltimore and William Hill.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in addition to Corporate and Other. Following the Merger, the Company’s principal operating activities occur in three regionally-focused and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and</w:t>
      </w:r>
    </w:p>
    <w:p>
      <w:pPr>
        <w:spacing w:after="0" w:line="2" w:lineRule="exact"/>
        <w:rPr>
          <w:sz w:val="20"/>
          <w:szCs w:val="20"/>
          <w:color w:val="auto"/>
        </w:rPr>
      </w:pPr>
    </w:p>
    <w:p>
      <w:pPr>
        <w:ind w:firstLine="8"/>
        <w:spacing w:after="0" w:line="260"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Managed, International, CIE, in addition to Corporate and Other. See table below for a summary of these segments. Also, see Note 4, Note 6 and Note 7 for a discussion of the impairment of intangibles and long-lived assets related to certain segments.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December 31, 2020: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Las Vegas</w:t>
            </w:r>
          </w:p>
        </w:tc>
        <w:tc>
          <w:tcPr>
            <w:tcW w:w="10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gridSpan w:val="2"/>
          </w:tcPr>
          <w:p>
            <w:pPr>
              <w:ind w:left="2640"/>
              <w:spacing w:after="0"/>
              <w:rPr>
                <w:sz w:val="20"/>
                <w:szCs w:val="20"/>
                <w:color w:val="auto"/>
              </w:rPr>
            </w:pPr>
            <w:r>
              <w:rPr>
                <w:rFonts w:ascii="Arial" w:cs="Arial" w:eastAsia="Arial" w:hAnsi="Arial"/>
                <w:sz w:val="16"/>
                <w:szCs w:val="16"/>
                <w:b w:val="1"/>
                <w:bCs w:val="1"/>
                <w:color w:val="auto"/>
              </w:rPr>
              <w:t>Regional</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Managed, International, CIE</w:t>
            </w:r>
          </w:p>
        </w:tc>
      </w:tr>
      <w:tr>
        <w:trPr>
          <w:trHeight w:val="172"/>
        </w:trPr>
        <w:tc>
          <w:tcPr>
            <w:tcW w:w="2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5"/>
                <w:szCs w:val="15"/>
                <w:color w:val="auto"/>
              </w:rPr>
              <w:t xml:space="preserve">Bally’s Las Vegas </w:t>
            </w:r>
            <w:r>
              <w:rPr>
                <w:rFonts w:ascii="Arial" w:cs="Arial" w:eastAsia="Arial" w:hAnsi="Arial"/>
                <w:sz w:val="19"/>
                <w:szCs w:val="19"/>
                <w:i w:val="1"/>
                <w:iCs w:val="1"/>
                <w:color w:val="auto"/>
                <w:vertAlign w:val="superscript"/>
              </w:rPr>
              <w:t>(a)</w:t>
            </w:r>
          </w:p>
        </w:tc>
        <w:tc>
          <w:tcPr>
            <w:tcW w:w="294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Eldorado Resort Casino Reno</w:t>
            </w:r>
          </w:p>
        </w:tc>
        <w:tc>
          <w:tcPr>
            <w:tcW w:w="304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5"/>
                <w:szCs w:val="15"/>
                <w:color w:val="auto"/>
              </w:rPr>
              <w:t xml:space="preserve">Harrah’s Atlantic City </w:t>
            </w:r>
            <w:r>
              <w:rPr>
                <w:rFonts w:ascii="Arial" w:cs="Arial" w:eastAsia="Arial" w:hAnsi="Arial"/>
                <w:sz w:val="19"/>
                <w:szCs w:val="19"/>
                <w:i w:val="1"/>
                <w:iCs w:val="1"/>
                <w:color w:val="auto"/>
                <w:vertAlign w:val="superscript"/>
              </w:rPr>
              <w:t>(a)</w:t>
            </w:r>
          </w:p>
        </w:tc>
        <w:tc>
          <w:tcPr>
            <w:tcW w:w="268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6"/>
                <w:szCs w:val="16"/>
                <w:i w:val="1"/>
                <w:iCs w:val="1"/>
                <w:color w:val="auto"/>
              </w:rPr>
              <w:t>Managed</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Caesars Palace Las Vegas </w:t>
            </w:r>
            <w:r>
              <w:rPr>
                <w:rFonts w:ascii="Arial" w:cs="Arial" w:eastAsia="Arial" w:hAnsi="Arial"/>
                <w:sz w:val="21"/>
                <w:szCs w:val="21"/>
                <w:i w:val="1"/>
                <w:iCs w:val="1"/>
                <w:color w:val="auto"/>
                <w:vertAlign w:val="superscript"/>
              </w:rPr>
              <w:t>(a)</w:t>
            </w:r>
          </w:p>
        </w:tc>
        <w:tc>
          <w:tcPr>
            <w:tcW w:w="294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Harrah’s Laughlin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Ak-Chin </w:t>
            </w:r>
            <w:r>
              <w:rPr>
                <w:rFonts w:ascii="Arial" w:cs="Arial" w:eastAsia="Arial" w:hAnsi="Arial"/>
                <w:sz w:val="21"/>
                <w:szCs w:val="21"/>
                <w:i w:val="1"/>
                <w:iCs w:val="1"/>
                <w:color w:val="auto"/>
                <w:vertAlign w:val="superscript"/>
              </w:rPr>
              <w:t>(a)</w:t>
            </w: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The Cromwell </w:t>
            </w:r>
            <w:r>
              <w:rPr>
                <w:rFonts w:ascii="Arial" w:cs="Arial" w:eastAsia="Arial" w:hAnsi="Arial"/>
                <w:sz w:val="21"/>
                <w:szCs w:val="21"/>
                <w:i w:val="1"/>
                <w:iCs w:val="1"/>
                <w:color w:val="auto"/>
                <w:vertAlign w:val="superscript"/>
              </w:rPr>
              <w:t>(a)</w:t>
            </w:r>
          </w:p>
        </w:tc>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Harrah’s New Orleans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Cherokee </w:t>
            </w:r>
            <w:r>
              <w:rPr>
                <w:rFonts w:ascii="Arial" w:cs="Arial" w:eastAsia="Arial" w:hAnsi="Arial"/>
                <w:sz w:val="21"/>
                <w:szCs w:val="21"/>
                <w:i w:val="1"/>
                <w:iCs w:val="1"/>
                <w:color w:val="auto"/>
                <w:vertAlign w:val="superscript"/>
              </w:rPr>
              <w:t>(a)</w:t>
            </w:r>
          </w:p>
        </w:tc>
      </w:tr>
      <w:tr>
        <w:trPr>
          <w:trHeight w:val="216"/>
        </w:trPr>
        <w:tc>
          <w:tcPr>
            <w:tcW w:w="2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Flamingo Las Vegas </w:t>
            </w:r>
            <w:r>
              <w:rPr>
                <w:rFonts w:ascii="Arial" w:cs="Arial" w:eastAsia="Arial" w:hAnsi="Arial"/>
                <w:sz w:val="21"/>
                <w:szCs w:val="21"/>
                <w:i w:val="1"/>
                <w:iCs w:val="1"/>
                <w:color w:val="auto"/>
                <w:vertAlign w:val="superscript"/>
              </w:rPr>
              <w:t>(a)</w:t>
            </w:r>
          </w:p>
        </w:tc>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Hoosier Park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Harrah’s Cherokee Valley River </w:t>
            </w:r>
            <w:r>
              <w:rPr>
                <w:rFonts w:ascii="Arial" w:cs="Arial" w:eastAsia="Arial" w:hAnsi="Arial"/>
                <w:sz w:val="21"/>
                <w:szCs w:val="21"/>
                <w:i w:val="1"/>
                <w:iCs w:val="1"/>
                <w:color w:val="auto"/>
                <w:vertAlign w:val="superscript"/>
              </w:rPr>
              <w:t>(a)</w:t>
            </w: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Harrah’s Las Vegas </w:t>
            </w:r>
            <w:r>
              <w:rPr>
                <w:rFonts w:ascii="Arial" w:cs="Arial" w:eastAsia="Arial" w:hAnsi="Arial"/>
                <w:sz w:val="21"/>
                <w:szCs w:val="21"/>
                <w:i w:val="1"/>
                <w:iCs w:val="1"/>
                <w:color w:val="auto"/>
                <w:vertAlign w:val="superscript"/>
              </w:rPr>
              <w:t>(a)</w:t>
            </w:r>
          </w:p>
        </w:tc>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Tropicana Laughlin Hotel &amp; Casino</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Indiana Grand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w w:val="95"/>
              </w:rPr>
              <w:t xml:space="preserve">Harrah’s Resort Southern California </w:t>
            </w:r>
            <w:r>
              <w:rPr>
                <w:rFonts w:ascii="Arial" w:cs="Arial" w:eastAsia="Arial" w:hAnsi="Arial"/>
                <w:sz w:val="21"/>
                <w:szCs w:val="21"/>
                <w:i w:val="1"/>
                <w:iCs w:val="1"/>
                <w:color w:val="auto"/>
                <w:w w:val="95"/>
                <w:vertAlign w:val="superscript"/>
              </w:rPr>
              <w:t>(a)</w:t>
            </w:r>
          </w:p>
        </w:tc>
      </w:tr>
      <w:tr>
        <w:trPr>
          <w:trHeight w:val="216"/>
        </w:trPr>
        <w:tc>
          <w:tcPr>
            <w:tcW w:w="2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The LINQ Hotel &amp; Casino </w:t>
            </w:r>
            <w:r>
              <w:rPr>
                <w:rFonts w:ascii="Arial" w:cs="Arial" w:eastAsia="Arial" w:hAnsi="Arial"/>
                <w:sz w:val="21"/>
                <w:szCs w:val="21"/>
                <w:i w:val="1"/>
                <w:iCs w:val="1"/>
                <w:color w:val="auto"/>
                <w:vertAlign w:val="superscript"/>
              </w:rPr>
              <w:t>(a)</w:t>
            </w:r>
          </w:p>
        </w:tc>
        <w:tc>
          <w:tcPr>
            <w:tcW w:w="2940" w:type="dxa"/>
            <w:vAlign w:val="bottom"/>
          </w:tcPr>
          <w:p>
            <w:pPr>
              <w:ind w:left="20"/>
              <w:spacing w:after="0"/>
              <w:rPr>
                <w:sz w:val="20"/>
                <w:szCs w:val="20"/>
                <w:color w:val="auto"/>
              </w:rPr>
            </w:pPr>
            <w:r>
              <w:rPr>
                <w:rFonts w:ascii="Arial" w:cs="Arial" w:eastAsia="Arial" w:hAnsi="Arial"/>
                <w:sz w:val="16"/>
                <w:szCs w:val="16"/>
                <w:color w:val="auto"/>
              </w:rPr>
              <w:t>Isle Casino Hotel - Blackhawk</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Bally’s Atlantic City </w:t>
            </w:r>
            <w:r>
              <w:rPr>
                <w:rFonts w:ascii="Arial" w:cs="Arial" w:eastAsia="Arial" w:hAnsi="Arial"/>
                <w:sz w:val="21"/>
                <w:szCs w:val="21"/>
                <w:i w:val="1"/>
                <w:iCs w:val="1"/>
                <w:color w:val="auto"/>
                <w:vertAlign w:val="superscript"/>
              </w:rPr>
              <w:t>(a)(i)</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(a)(h)</w:t>
            </w: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Paris Las Vegas </w:t>
            </w:r>
            <w:r>
              <w:rPr>
                <w:rFonts w:ascii="Arial" w:cs="Arial" w:eastAsia="Arial" w:hAnsi="Arial"/>
                <w:sz w:val="21"/>
                <w:szCs w:val="21"/>
                <w:i w:val="1"/>
                <w:iCs w:val="1"/>
                <w:color w:val="auto"/>
                <w:vertAlign w:val="superscript"/>
              </w:rPr>
              <w:t>(a)</w:t>
            </w:r>
          </w:p>
        </w:tc>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Lady Luck Casino - Black Hawk</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Caesars Atlantic City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Windsor </w:t>
            </w:r>
            <w:r>
              <w:rPr>
                <w:rFonts w:ascii="Arial" w:cs="Arial" w:eastAsia="Arial" w:hAnsi="Arial"/>
                <w:sz w:val="21"/>
                <w:szCs w:val="21"/>
                <w:i w:val="1"/>
                <w:iCs w:val="1"/>
                <w:color w:val="auto"/>
                <w:vertAlign w:val="superscript"/>
              </w:rPr>
              <w:t>(a)</w:t>
            </w:r>
          </w:p>
        </w:tc>
      </w:tr>
      <w:tr>
        <w:trPr>
          <w:trHeight w:val="162"/>
        </w:trPr>
        <w:tc>
          <w:tcPr>
            <w:tcW w:w="2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Planet Hollywood Resort &amp; Casino</w:t>
            </w:r>
          </w:p>
        </w:tc>
        <w:tc>
          <w:tcPr>
            <w:tcW w:w="2940" w:type="dxa"/>
            <w:vAlign w:val="bottom"/>
          </w:tcPr>
          <w:p>
            <w:pPr>
              <w:ind w:left="20"/>
              <w:spacing w:after="0" w:line="162" w:lineRule="exact"/>
              <w:rPr>
                <w:sz w:val="20"/>
                <w:szCs w:val="20"/>
                <w:color w:val="auto"/>
              </w:rPr>
            </w:pPr>
            <w:r>
              <w:rPr>
                <w:rFonts w:ascii="Arial" w:cs="Arial" w:eastAsia="Arial" w:hAnsi="Arial"/>
                <w:sz w:val="16"/>
                <w:szCs w:val="16"/>
                <w:color w:val="auto"/>
              </w:rPr>
              <w:t>Isle Casino Waterloo</w:t>
            </w:r>
          </w:p>
        </w:tc>
        <w:tc>
          <w:tcPr>
            <w:tcW w:w="3040" w:type="dxa"/>
            <w:vAlign w:val="bottom"/>
            <w:gridSpan w:val="2"/>
          </w:tcPr>
          <w:p>
            <w:pPr>
              <w:ind w:left="100"/>
              <w:spacing w:after="0" w:line="162" w:lineRule="exact"/>
              <w:rPr>
                <w:sz w:val="20"/>
                <w:szCs w:val="20"/>
                <w:color w:val="auto"/>
              </w:rPr>
            </w:pPr>
            <w:r>
              <w:rPr>
                <w:rFonts w:ascii="Arial" w:cs="Arial" w:eastAsia="Arial" w:hAnsi="Arial"/>
                <w:sz w:val="14"/>
                <w:szCs w:val="14"/>
                <w:color w:val="auto"/>
              </w:rPr>
              <w:t xml:space="preserve">Caesars Southern Indiana </w:t>
            </w:r>
            <w:r>
              <w:rPr>
                <w:rFonts w:ascii="Arial" w:cs="Arial" w:eastAsia="Arial" w:hAnsi="Arial"/>
                <w:sz w:val="18"/>
                <w:szCs w:val="18"/>
                <w:i w:val="1"/>
                <w:iCs w:val="1"/>
                <w:color w:val="auto"/>
                <w:vertAlign w:val="superscript"/>
              </w:rPr>
              <w:t>(a)(b)(e)</w:t>
            </w:r>
          </w:p>
        </w:tc>
        <w:tc>
          <w:tcPr>
            <w:tcW w:w="2680" w:type="dxa"/>
            <w:vAlign w:val="bottom"/>
            <w:gridSpan w:val="5"/>
          </w:tcPr>
          <w:p>
            <w:pPr>
              <w:ind w:left="20"/>
              <w:spacing w:after="0" w:line="162" w:lineRule="exact"/>
              <w:rPr>
                <w:sz w:val="20"/>
                <w:szCs w:val="20"/>
                <w:color w:val="auto"/>
              </w:rPr>
            </w:pPr>
            <w:r>
              <w:rPr>
                <w:rFonts w:ascii="Arial" w:cs="Arial" w:eastAsia="Arial" w:hAnsi="Arial"/>
                <w:sz w:val="14"/>
                <w:szCs w:val="14"/>
                <w:color w:val="auto"/>
              </w:rPr>
              <w:t xml:space="preserve">Kings &amp; Queens Casino </w:t>
            </w:r>
            <w:r>
              <w:rPr>
                <w:rFonts w:ascii="Arial" w:cs="Arial" w:eastAsia="Arial" w:hAnsi="Arial"/>
                <w:sz w:val="18"/>
                <w:szCs w:val="18"/>
                <w:i w:val="1"/>
                <w:iCs w:val="1"/>
                <w:color w:val="auto"/>
                <w:vertAlign w:val="superscript"/>
              </w:rPr>
              <w:t>(a)</w:t>
            </w:r>
          </w:p>
        </w:tc>
      </w:tr>
      <w:tr>
        <w:trPr>
          <w:trHeight w:val="140"/>
        </w:trPr>
        <w:tc>
          <w:tcPr>
            <w:tcW w:w="2580" w:type="dxa"/>
            <w:vAlign w:val="bottom"/>
            <w:gridSpan w:val="2"/>
          </w:tcPr>
          <w:p>
            <w:pPr>
              <w:ind w:left="20"/>
              <w:spacing w:after="0"/>
              <w:rPr>
                <w:sz w:val="20"/>
                <w:szCs w:val="20"/>
                <w:color w:val="auto"/>
              </w:rPr>
            </w:pPr>
            <w:r>
              <w:rPr>
                <w:rFonts w:ascii="Arial" w:cs="Arial" w:eastAsia="Arial" w:hAnsi="Arial"/>
                <w:sz w:val="11"/>
                <w:szCs w:val="11"/>
                <w:i w:val="1"/>
                <w:iCs w:val="1"/>
                <w:color w:val="auto"/>
              </w:rPr>
              <w:t>(a)</w:t>
            </w:r>
          </w:p>
        </w:tc>
        <w:tc>
          <w:tcPr>
            <w:tcW w:w="2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24"/>
        </w:trPr>
        <w:tc>
          <w:tcPr>
            <w:tcW w:w="25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Isle Casino Bettendorf</w:t>
            </w:r>
          </w:p>
        </w:tc>
        <w:tc>
          <w:tcPr>
            <w:tcW w:w="3040" w:type="dxa"/>
            <w:vAlign w:val="bottom"/>
            <w:gridSpan w:val="2"/>
            <w:shd w:val="clear" w:color="auto" w:fill="CCEEFF"/>
          </w:tcPr>
          <w:p>
            <w:pPr>
              <w:ind w:left="100"/>
              <w:spacing w:after="0" w:line="224" w:lineRule="exact"/>
              <w:rPr>
                <w:sz w:val="20"/>
                <w:szCs w:val="20"/>
                <w:color w:val="auto"/>
              </w:rPr>
            </w:pPr>
            <w:r>
              <w:rPr>
                <w:rFonts w:ascii="Arial" w:cs="Arial" w:eastAsia="Arial" w:hAnsi="Arial"/>
                <w:sz w:val="16"/>
                <w:szCs w:val="16"/>
                <w:color w:val="auto"/>
              </w:rPr>
              <w:t xml:space="preserve">Harrah’s Council Bluffs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24"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(a)</w:t>
            </w:r>
          </w:p>
        </w:tc>
      </w:tr>
      <w:tr>
        <w:trPr>
          <w:trHeight w:val="176"/>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Isle of Capri Casino Boonville</w:t>
            </w:r>
          </w:p>
        </w:tc>
        <w:tc>
          <w:tcPr>
            <w:tcW w:w="3040" w:type="dxa"/>
            <w:vAlign w:val="bottom"/>
            <w:gridSpan w:val="2"/>
          </w:tcPr>
          <w:p>
            <w:pPr>
              <w:ind w:left="100"/>
              <w:spacing w:after="0" w:line="176" w:lineRule="exact"/>
              <w:rPr>
                <w:sz w:val="20"/>
                <w:szCs w:val="20"/>
                <w:color w:val="auto"/>
              </w:rPr>
            </w:pPr>
            <w:r>
              <w:rPr>
                <w:rFonts w:ascii="Arial" w:cs="Arial" w:eastAsia="Arial" w:hAnsi="Arial"/>
                <w:sz w:val="15"/>
                <w:szCs w:val="15"/>
                <w:color w:val="auto"/>
              </w:rPr>
              <w:t xml:space="preserve">Harrah’s Gulf Coast </w:t>
            </w:r>
            <w:r>
              <w:rPr>
                <w:rFonts w:ascii="Arial" w:cs="Arial" w:eastAsia="Arial" w:hAnsi="Arial"/>
                <w:sz w:val="20"/>
                <w:szCs w:val="20"/>
                <w:i w:val="1"/>
                <w:iCs w:val="1"/>
                <w:color w:val="auto"/>
                <w:vertAlign w:val="superscript"/>
              </w:rPr>
              <w:t>(a)</w:t>
            </w:r>
          </w:p>
        </w:tc>
        <w:tc>
          <w:tcPr>
            <w:tcW w:w="268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International</w:t>
            </w:r>
          </w:p>
        </w:tc>
      </w:tr>
      <w:tr>
        <w:trPr>
          <w:trHeight w:val="21"/>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Isle of Capri Casino Kansas City </w:t>
            </w:r>
            <w:r>
              <w:rPr>
                <w:rFonts w:ascii="Arial" w:cs="Arial" w:eastAsia="Arial" w:hAnsi="Arial"/>
                <w:sz w:val="21"/>
                <w:szCs w:val="21"/>
                <w:i w:val="1"/>
                <w:iCs w:val="1"/>
                <w:color w:val="auto"/>
                <w:vertAlign w:val="superscript"/>
              </w:rPr>
              <w:t>(d)</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Caesars Cairo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Isle Casino Racing Pompano Park</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Harrah’s Lake Tahoe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Ramses Casino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Eldorado Resort Casino Shreveport </w:t>
            </w:r>
            <w:r>
              <w:rPr>
                <w:rFonts w:ascii="Arial" w:cs="Arial" w:eastAsia="Arial" w:hAnsi="Arial"/>
                <w:sz w:val="21"/>
                <w:szCs w:val="21"/>
                <w:i w:val="1"/>
                <w:iCs w:val="1"/>
                <w:color w:val="auto"/>
                <w:vertAlign w:val="superscript"/>
              </w:rPr>
              <w:t>(c)(j)</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Harrah’s Louisiana Downs </w:t>
            </w:r>
            <w:r>
              <w:rPr>
                <w:rFonts w:ascii="Arial" w:cs="Arial" w:eastAsia="Arial" w:hAnsi="Arial"/>
                <w:sz w:val="21"/>
                <w:szCs w:val="21"/>
                <w:i w:val="1"/>
                <w:iCs w:val="1"/>
                <w:color w:val="auto"/>
                <w:vertAlign w:val="superscript"/>
              </w:rPr>
              <w:t>(a)(b)(f)</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Emerald Casino Resort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Isle of Capri Casino Hotel Lake Charles</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Harrah’s Metropolis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Alea Glasgow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Belle of Baton Rouge Casino &amp; Hotel </w:t>
            </w:r>
            <w:r>
              <w:rPr>
                <w:rFonts w:ascii="Arial" w:cs="Arial" w:eastAsia="Arial" w:hAnsi="Arial"/>
                <w:sz w:val="21"/>
                <w:szCs w:val="21"/>
                <w:i w:val="1"/>
                <w:iCs w:val="1"/>
                <w:color w:val="auto"/>
                <w:vertAlign w:val="superscript"/>
              </w:rPr>
              <w:t>(k)</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Harrah’s North Kansas City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Alea Nottingham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Harrah’s Philadelphia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Empire Casino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Lady Luck Casino Vicksburg </w:t>
            </w:r>
            <w:r>
              <w:rPr>
                <w:rFonts w:ascii="Arial" w:cs="Arial" w:eastAsia="Arial" w:hAnsi="Arial"/>
                <w:sz w:val="21"/>
                <w:szCs w:val="21"/>
                <w:i w:val="1"/>
                <w:iCs w:val="1"/>
                <w:color w:val="auto"/>
                <w:vertAlign w:val="superscript"/>
              </w:rPr>
              <w:t>(d)</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Harrah’s Reno </w:t>
            </w:r>
            <w:r>
              <w:rPr>
                <w:rFonts w:ascii="Arial" w:cs="Arial" w:eastAsia="Arial" w:hAnsi="Arial"/>
                <w:sz w:val="21"/>
                <w:szCs w:val="21"/>
                <w:i w:val="1"/>
                <w:iCs w:val="1"/>
                <w:color w:val="auto"/>
                <w:vertAlign w:val="superscript"/>
              </w:rPr>
              <w:t>(a)(g)</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Manchester235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Trop Casino Greenville</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Harveys Lake Tahoe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Playboy Club London </w:t>
            </w:r>
            <w:r>
              <w:rPr>
                <w:rFonts w:ascii="Arial" w:cs="Arial" w:eastAsia="Arial" w:hAnsi="Arial"/>
                <w:sz w:val="21"/>
                <w:szCs w:val="21"/>
                <w:i w:val="1"/>
                <w:iCs w:val="1"/>
                <w:color w:val="auto"/>
                <w:vertAlign w:val="superscript"/>
              </w:rPr>
              <w:t>(a)(b)</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Gaming Scioto Downs</w:t>
            </w:r>
          </w:p>
        </w:tc>
        <w:tc>
          <w:tcPr>
            <w:tcW w:w="30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Horseshoe Bossier City </w:t>
            </w:r>
            <w:r>
              <w:rPr>
                <w:rFonts w:ascii="Arial" w:cs="Arial" w:eastAsia="Arial" w:hAnsi="Arial"/>
                <w:sz w:val="21"/>
                <w:szCs w:val="21"/>
                <w:i w:val="1"/>
                <w:iCs w:val="1"/>
                <w:color w:val="auto"/>
                <w:vertAlign w:val="superscript"/>
              </w:rPr>
              <w:t>(a)</w:t>
            </w:r>
          </w:p>
        </w:tc>
        <w:tc>
          <w:tcPr>
            <w:tcW w:w="2680" w:type="dxa"/>
            <w:vAlign w:val="bottom"/>
            <w:gridSpan w:val="5"/>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Rendezvous Brighton </w:t>
            </w:r>
            <w:r>
              <w:rPr>
                <w:rFonts w:ascii="Arial" w:cs="Arial" w:eastAsia="Arial" w:hAnsi="Arial"/>
                <w:sz w:val="21"/>
                <w:szCs w:val="21"/>
                <w:i w:val="1"/>
                <w:iCs w:val="1"/>
                <w:color w:val="auto"/>
                <w:vertAlign w:val="superscript"/>
              </w:rPr>
              <w:t>(a)(b)</w:t>
            </w: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w w:val="96"/>
              </w:rPr>
              <w:t>Tropicana Casino and Resort, Atlantic City</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Horseshoe Council Bluffs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The Sportsman </w:t>
            </w:r>
            <w:r>
              <w:rPr>
                <w:rFonts w:ascii="Arial" w:cs="Arial" w:eastAsia="Arial" w:hAnsi="Arial"/>
                <w:sz w:val="21"/>
                <w:szCs w:val="21"/>
                <w:i w:val="1"/>
                <w:iCs w:val="1"/>
                <w:color w:val="auto"/>
                <w:vertAlign w:val="superscript"/>
              </w:rPr>
              <w:t>(a)(b)</w:t>
            </w:r>
          </w:p>
        </w:tc>
      </w:tr>
      <w:tr>
        <w:trPr>
          <w:trHeight w:val="176"/>
        </w:trPr>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Grand Victoria Casino</w:t>
            </w:r>
          </w:p>
        </w:tc>
        <w:tc>
          <w:tcPr>
            <w:tcW w:w="30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5"/>
                <w:szCs w:val="15"/>
                <w:color w:val="auto"/>
              </w:rPr>
              <w:t xml:space="preserve">Horseshoe Hammond </w:t>
            </w:r>
            <w:r>
              <w:rPr>
                <w:rFonts w:ascii="Arial" w:cs="Arial" w:eastAsia="Arial" w:hAnsi="Arial"/>
                <w:sz w:val="20"/>
                <w:szCs w:val="20"/>
                <w:i w:val="1"/>
                <w:iCs w:val="1"/>
                <w:color w:val="auto"/>
                <w:vertAlign w:val="superscript"/>
              </w:rPr>
              <w:t>(a)(b)(e)</w:t>
            </w:r>
          </w:p>
        </w:tc>
        <w:tc>
          <w:tcPr>
            <w:tcW w:w="268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i w:val="1"/>
                <w:iCs w:val="1"/>
                <w:color w:val="auto"/>
              </w:rPr>
              <w:t>CIE</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Lumière Place Casino</w:t>
            </w:r>
          </w:p>
        </w:tc>
        <w:tc>
          <w:tcPr>
            <w:tcW w:w="3040" w:type="dxa"/>
            <w:vAlign w:val="bottom"/>
            <w:gridSpan w:val="2"/>
          </w:tcPr>
          <w:p>
            <w:pPr>
              <w:ind w:left="100"/>
              <w:spacing w:after="0" w:line="216" w:lineRule="exact"/>
              <w:rPr>
                <w:sz w:val="20"/>
                <w:szCs w:val="20"/>
                <w:color w:val="auto"/>
              </w:rPr>
            </w:pPr>
            <w:r>
              <w:rPr>
                <w:rFonts w:ascii="Arial" w:cs="Arial" w:eastAsia="Arial" w:hAnsi="Arial"/>
                <w:sz w:val="16"/>
                <w:szCs w:val="16"/>
                <w:color w:val="auto"/>
              </w:rPr>
              <w:t xml:space="preserve">Horseshoe Tunica </w:t>
            </w:r>
            <w:r>
              <w:rPr>
                <w:rFonts w:ascii="Arial" w:cs="Arial" w:eastAsia="Arial" w:hAnsi="Arial"/>
                <w:sz w:val="21"/>
                <w:szCs w:val="21"/>
                <w:i w:val="1"/>
                <w:iCs w:val="1"/>
                <w:color w:val="auto"/>
                <w:vertAlign w:val="superscript"/>
              </w:rPr>
              <w:t>(a)</w:t>
            </w:r>
          </w:p>
        </w:tc>
        <w:tc>
          <w:tcPr>
            <w:tcW w:w="268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Caesars Interactive Entertainment </w:t>
            </w:r>
            <w:r>
              <w:rPr>
                <w:rFonts w:ascii="Arial" w:cs="Arial" w:eastAsia="Arial" w:hAnsi="Arial"/>
                <w:sz w:val="21"/>
                <w:szCs w:val="21"/>
                <w:i w:val="1"/>
                <w:iCs w:val="1"/>
                <w:color w:val="auto"/>
                <w:vertAlign w:val="superscript"/>
              </w:rPr>
              <w:t>(a)</w:t>
            </w:r>
          </w:p>
        </w:tc>
      </w:tr>
      <w:tr>
        <w:trPr>
          <w:trHeight w:val="216"/>
        </w:trPr>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These properties were acquired from the Merger with Former Caesars on July 20, 2020.</w:t>
      </w: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As a result of the Merger, these properties met the requirements for presentation as discontinued operations and held for sale as of December 31, 2020.</w:t>
      </w:r>
    </w:p>
    <w:p>
      <w:pPr>
        <w:ind w:left="340" w:right="20" w:hanging="332"/>
        <w:spacing w:after="0" w:line="204" w:lineRule="auto"/>
        <w:tabs>
          <w:tab w:leader="none" w:pos="336"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April 2020, the Company entered into an agreement to sell Eldorado Shreveport and MontBleu. The sale of Eldorado Shreveport closed on December 23, 2020 and the sale of MontBleu is expected to close in the first half of 2021. As of December 31, 2020, MontBleu's assets and liabilities were classified as held for sale.</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Kansas City and Vicksburg were sold on July 1, 2020.</w:t>
      </w:r>
    </w:p>
    <w:p>
      <w:pPr>
        <w:jc w:val="both"/>
        <w:ind w:left="340" w:right="20" w:hanging="332"/>
        <w:spacing w:after="0" w:line="235" w:lineRule="auto"/>
        <w:tabs>
          <w:tab w:leader="none" w:pos="336" w:val="left"/>
        </w:tabs>
        <w:numPr>
          <w:ilvl w:val="0"/>
          <w:numId w:val="5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On October 27, 2020, the Company entered into an agreement to sell Evansville, which is expected to close mid-2021, and on December 24, 2020, the Company entered into an agreement to sell Caesars Southern Indiana, which is expected to close in the third quarter of 2021. In addition, the Company plans to enter into an agreement to divest of Horseshoe Hammond prior to December 31, 2021, as the deadline was extended by the Indiana Gaming Commission. As of December 31, 2020, Evansville’s assets and liabilities were classified as held for sale.</w:t>
      </w:r>
    </w:p>
    <w:p>
      <w:pPr>
        <w:spacing w:after="0" w:line="1" w:lineRule="exact"/>
        <w:rPr>
          <w:rFonts w:ascii="Arial" w:cs="Arial" w:eastAsia="Arial" w:hAnsi="Arial"/>
          <w:sz w:val="17"/>
          <w:szCs w:val="17"/>
          <w:i w:val="1"/>
          <w:iCs w:val="1"/>
          <w:color w:val="auto"/>
          <w:vertAlign w:val="superscript"/>
        </w:rPr>
      </w:pP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On September 3, 2020, the Company entered into an agreement to sell Harrah’s Louisiana Downs, which is expected to close in the first half of 2021.</w:t>
      </w: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Harrah’s Reno was sold on September 30, 2020.</w:t>
      </w: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As of December 31, 2020, Horseshoe Baltimore was 44.3% owned and held as an equity-method investment.</w:t>
      </w: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Bally's Atlantic City was sold on November 18, 2020.</w:t>
      </w:r>
    </w:p>
    <w:p>
      <w:pPr>
        <w:ind w:left="320" w:hanging="312"/>
        <w:spacing w:after="0" w:line="187" w:lineRule="auto"/>
        <w:tabs>
          <w:tab w:leader="none" w:pos="320" w:val="left"/>
        </w:tabs>
        <w:numPr>
          <w:ilvl w:val="0"/>
          <w:numId w:val="5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Eldorado Resorts Casino Shreveport was sold on December 23, 2020.</w:t>
      </w:r>
    </w:p>
    <w:p>
      <w:pPr>
        <w:ind w:left="340" w:right="20" w:hanging="332"/>
        <w:spacing w:after="0" w:line="210" w:lineRule="auto"/>
        <w:tabs>
          <w:tab w:leader="none" w:pos="336" w:val="left"/>
        </w:tabs>
        <w:numPr>
          <w:ilvl w:val="0"/>
          <w:numId w:val="5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December 1, 2020, the Company entered into an agreement to sell Belle of Baton Rouge to Casino Queen Holdings, which is expected to close in mid-2021. As of December 31, 2020, Belle of Baton Rouge's assets and liabilities were classified as held for sale.</w:t>
      </w:r>
    </w:p>
    <w:p>
      <w:pPr>
        <w:spacing w:after="0" w:line="3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our properties listed above, other domestic and international properties, including Harrah’s Northern California, are authorized to use the brands and marks of Caesars Entertainment, Inc. Additionally, a few of our properties operate off-track betting locations, including Hoosier Park, which operates Winner’s Circle Indianapolis and Winner’s Circle New Haven; and Indiana Grand, which operates Winner’s Circle Clarksville. The LINQ Promenade, listed above in our Las Vegas segment,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sets forth, for the periods indicated, certain operating data for the Company’s three reportable segments, in addition to Corporate and Other. We recast previously reported segment amounts to conform to the way management assesses results and allocates resources for the current year.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100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gridSpan w:val="3"/>
          </w:tcPr>
          <w:p>
            <w:pPr>
              <w:ind w:left="88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Managed, International, CIE: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i w:val="1"/>
                <w:iCs w:val="1"/>
                <w:color w:val="auto"/>
              </w:rPr>
              <w:t>Corporate and Other:</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 By Segment to Net (Loss) Income Attributable to Caesars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operating expenses and is comprised of net income/(loss) before (i) interest expense, net of interest capitalized and interest income, (ii) income tax (benefit)/provision,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6"/>
                <w:szCs w:val="16"/>
                <w:color w:val="auto"/>
              </w:rPr>
              <w:t>Managed, International, CIE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r>
      <w:tr>
        <w:trPr>
          <w:trHeight w:val="199"/>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Reconciliation to net (loss) income attributable to Caesars: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i w:val="1"/>
                <w:iCs w:val="1"/>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i w:val="1"/>
                <w:iCs w:val="1"/>
                <w:color w:val="auto"/>
                <w:vertAlign w:val="superscript"/>
              </w:rPr>
              <w:t>(b)</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Other (loss) income </w:t>
            </w:r>
            <w:r>
              <w:rPr>
                <w:rFonts w:ascii="Arial" w:cs="Arial" w:eastAsia="Arial" w:hAnsi="Arial"/>
                <w:sz w:val="21"/>
                <w:szCs w:val="21"/>
                <w:i w:val="1"/>
                <w:iCs w:val="1"/>
                <w:color w:val="auto"/>
                <w:vertAlign w:val="superscript"/>
              </w:rPr>
              <w:t>(c)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46"/>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Transaction costs and other operating costs </w:t>
            </w:r>
            <w:r>
              <w:rPr>
                <w:rFonts w:ascii="Arial" w:cs="Arial" w:eastAsia="Arial" w:hAnsi="Arial"/>
                <w:sz w:val="21"/>
                <w:szCs w:val="21"/>
                <w:i w:val="1"/>
                <w:iCs w:val="1"/>
                <w:color w:val="auto"/>
                <w:vertAlign w:val="superscript"/>
              </w:rPr>
              <w:t>(d)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Net (loss) income attributable to Caesars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Taxes are recorded at the consolidated level and not estimated or recorded to our Las Vegas, Regional, and Managed, International, CIE segments.</w:t>
      </w:r>
    </w:p>
    <w:p>
      <w:pPr>
        <w:ind w:left="320" w:hanging="312"/>
        <w:spacing w:after="0" w:line="187" w:lineRule="auto"/>
        <w:tabs>
          <w:tab w:leader="none" w:pos="320" w:val="left"/>
        </w:tabs>
        <w:numPr>
          <w:ilvl w:val="0"/>
          <w:numId w:val="6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Loss on extinguishment of debt for the year ended December 31, 2020 primarily represents loss on early repayment of debt in connection with the consummation of the Merger.</w:t>
      </w:r>
    </w:p>
    <w:p>
      <w:pPr>
        <w:jc w:val="both"/>
        <w:ind w:left="340" w:hanging="332"/>
        <w:spacing w:after="0" w:line="235" w:lineRule="auto"/>
        <w:tabs>
          <w:tab w:leader="none" w:pos="336" w:val="left"/>
        </w:tabs>
        <w:numPr>
          <w:ilvl w:val="0"/>
          <w:numId w:val="60"/>
        </w:numPr>
        <w:rPr>
          <w:rFonts w:ascii="Arial" w:cs="Arial" w:eastAsia="Arial" w:hAnsi="Arial"/>
          <w:sz w:val="17"/>
          <w:szCs w:val="17"/>
          <w:i w:val="1"/>
          <w:iCs w:val="1"/>
          <w:color w:val="212529"/>
          <w:vertAlign w:val="superscript"/>
        </w:rPr>
      </w:pPr>
      <w:r>
        <w:rPr>
          <w:rFonts w:ascii="Arial" w:cs="Arial" w:eastAsia="Arial" w:hAnsi="Arial"/>
          <w:sz w:val="13"/>
          <w:szCs w:val="13"/>
          <w:i w:val="1"/>
          <w:iCs w:val="1"/>
          <w:color w:val="auto"/>
        </w:rPr>
        <w:t>Other (loss) income for the year ended December 31, 2020 primarily represents gains resulting from the change in the foreign currency exchange rate associated with restricted cash held in GBP and a derivative contract associated with our expected acquisition of William Hill, gains on William Hill UK and Flutter stock held by the Company and realized gains on conversion of CEC’s 5% convertible notes. Partially offsetting these gains is a loss on the change in fair value of the derivative liability related to CEC’s 5% convertible notes.</w:t>
      </w:r>
    </w:p>
    <w:p>
      <w:pPr>
        <w:spacing w:after="0" w:line="1" w:lineRule="exact"/>
        <w:rPr>
          <w:rFonts w:ascii="Arial" w:cs="Arial" w:eastAsia="Arial" w:hAnsi="Arial"/>
          <w:sz w:val="17"/>
          <w:szCs w:val="17"/>
          <w:i w:val="1"/>
          <w:iCs w:val="1"/>
          <w:color w:val="212529"/>
          <w:vertAlign w:val="superscript"/>
        </w:rPr>
      </w:pPr>
    </w:p>
    <w:p>
      <w:pPr>
        <w:ind w:left="340" w:hanging="332"/>
        <w:spacing w:after="0" w:line="204" w:lineRule="auto"/>
        <w:tabs>
          <w:tab w:leader="none" w:pos="327" w:val="left"/>
        </w:tabs>
        <w:numPr>
          <w:ilvl w:val="0"/>
          <w:numId w:val="6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Transaction costs and other operating costs for the year ended December 31, 2020 primarily represent costs related to the Merger, various contract or license termination exit costs, professional services, other acquisition costs and severance costs.</w:t>
      </w:r>
    </w:p>
    <w:p>
      <w:pPr>
        <w:spacing w:after="0" w:line="1" w:lineRule="exact"/>
        <w:rPr>
          <w:rFonts w:ascii="Arial" w:cs="Arial" w:eastAsia="Arial" w:hAnsi="Arial"/>
          <w:sz w:val="19"/>
          <w:szCs w:val="19"/>
          <w:i w:val="1"/>
          <w:iCs w:val="1"/>
          <w:color w:val="auto"/>
          <w:vertAlign w:val="superscript"/>
        </w:rPr>
      </w:pPr>
    </w:p>
    <w:p>
      <w:pPr>
        <w:ind w:left="320" w:hanging="312"/>
        <w:spacing w:after="0" w:line="186" w:lineRule="auto"/>
        <w:tabs>
          <w:tab w:leader="none" w:pos="320" w:val="left"/>
        </w:tabs>
        <w:numPr>
          <w:ilvl w:val="0"/>
          <w:numId w:val="6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represent internal labor charges related to certain departed executives, retention bonuses, business optimization expenses and contract labor.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00" w:type="dxa"/>
            <w:vAlign w:val="bottom"/>
          </w:tcPr>
          <w:p>
            <w:pPr>
              <w:jc w:val="right"/>
              <w:ind w:right="45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74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Regional </w:t>
            </w:r>
            <w:r>
              <w:rPr>
                <w:rFonts w:ascii="Arial" w:cs="Arial" w:eastAsia="Arial" w:hAnsi="Arial"/>
                <w:sz w:val="21"/>
                <w:szCs w:val="21"/>
                <w:i w:val="1"/>
                <w:iCs w:val="1"/>
                <w:color w:val="auto"/>
                <w:vertAlign w:val="superscript"/>
              </w:rPr>
              <w:t>(a)</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gridSpan w:val="2"/>
          </w:tcPr>
          <w:p>
            <w:pPr>
              <w:ind w:left="120"/>
              <w:spacing w:after="0"/>
              <w:rPr>
                <w:sz w:val="20"/>
                <w:szCs w:val="20"/>
                <w:color w:val="auto"/>
              </w:rPr>
            </w:pPr>
            <w:r>
              <w:rPr>
                <w:rFonts w:ascii="Arial" w:cs="Arial" w:eastAsia="Arial" w:hAnsi="Arial"/>
                <w:sz w:val="16"/>
                <w:szCs w:val="16"/>
                <w:color w:val="auto"/>
              </w:rPr>
              <w:t xml:space="preserve">Managed, International, CIE </w:t>
            </w:r>
            <w:r>
              <w:rPr>
                <w:rFonts w:ascii="Arial" w:cs="Arial" w:eastAsia="Arial" w:hAnsi="Arial"/>
                <w:sz w:val="21"/>
                <w:szCs w:val="21"/>
                <w:i w:val="1"/>
                <w:iCs w:val="1"/>
                <w:color w:val="auto"/>
                <w:vertAlign w:val="superscript"/>
              </w:rPr>
              <w:t>(a)</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6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$6 million of capital expenditures related to properties classified as discontinued operations for the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Balance Sheet as of</w:t>
            </w:r>
          </w:p>
        </w:tc>
        <w:tc>
          <w:tcPr>
            <w:tcW w:w="6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40" w:type="dxa"/>
            <w:vAlign w:val="bottom"/>
            <w:gridSpan w:val="3"/>
          </w:tcPr>
          <w:p>
            <w:pPr>
              <w:ind w:left="80"/>
              <w:spacing w:after="0" w:line="172" w:lineRule="exact"/>
              <w:rPr>
                <w:sz w:val="20"/>
                <w:szCs w:val="20"/>
                <w:color w:val="auto"/>
              </w:rPr>
            </w:pPr>
            <w:r>
              <w:rPr>
                <w:rFonts w:ascii="Arial" w:cs="Arial" w:eastAsia="Arial" w:hAnsi="Arial"/>
                <w:sz w:val="16"/>
                <w:szCs w:val="16"/>
                <w:b w:val="1"/>
                <w:bCs w:val="1"/>
                <w:color w:val="auto"/>
                <w:w w:val="99"/>
              </w:rPr>
              <w:t>December 31, 2020</w:t>
            </w:r>
          </w:p>
        </w:tc>
        <w:tc>
          <w:tcPr>
            <w:tcW w:w="1440" w:type="dxa"/>
            <w:vAlign w:val="bottom"/>
            <w:gridSpan w:val="2"/>
          </w:tcPr>
          <w:p>
            <w:pPr>
              <w:jc w:val="right"/>
              <w:spacing w:after="0" w:line="172" w:lineRule="exact"/>
              <w:rPr>
                <w:sz w:val="20"/>
                <w:szCs w:val="20"/>
                <w:color w:val="auto"/>
              </w:rPr>
            </w:pPr>
            <w:r>
              <w:rPr>
                <w:rFonts w:ascii="Arial" w:cs="Arial" w:eastAsia="Arial" w:hAnsi="Arial"/>
                <w:sz w:val="16"/>
                <w:szCs w:val="16"/>
                <w:b w:val="1"/>
                <w:bCs w:val="1"/>
                <w:color w:val="auto"/>
                <w:w w:val="94"/>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Las Vegas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21,464</w:t>
            </w:r>
          </w:p>
        </w:tc>
        <w:tc>
          <w:tcPr>
            <w:tcW w:w="10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Regional</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w:t>
            </w:r>
          </w:p>
        </w:tc>
      </w:tr>
      <w:tr>
        <w:trPr>
          <w:trHeight w:val="240"/>
        </w:trPr>
        <w:tc>
          <w:tcPr>
            <w:tcW w:w="20" w:type="dxa"/>
            <w:vAlign w:val="bottom"/>
          </w:tcPr>
          <w:p>
            <w:pPr>
              <w:spacing w:after="0"/>
              <w:rPr>
                <w:sz w:val="20"/>
                <w:szCs w:val="20"/>
                <w:color w:val="auto"/>
              </w:rPr>
            </w:pPr>
          </w:p>
        </w:tc>
        <w:tc>
          <w:tcPr>
            <w:tcW w:w="8240" w:type="dxa"/>
            <w:vAlign w:val="bottom"/>
            <w:gridSpan w:val="2"/>
          </w:tcPr>
          <w:p>
            <w:pPr>
              <w:ind w:left="120"/>
              <w:spacing w:after="0"/>
              <w:rPr>
                <w:sz w:val="20"/>
                <w:szCs w:val="20"/>
                <w:color w:val="auto"/>
              </w:rPr>
            </w:pPr>
            <w:r>
              <w:rPr>
                <w:rFonts w:ascii="Arial" w:cs="Arial" w:eastAsia="Arial" w:hAnsi="Arial"/>
                <w:sz w:val="16"/>
                <w:szCs w:val="16"/>
                <w:color w:val="auto"/>
              </w:rPr>
              <w:t>Managed, International, CIE</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r>
      <w:tr>
        <w:trPr>
          <w:trHeight w:val="206"/>
        </w:trPr>
        <w:tc>
          <w:tcPr>
            <w:tcW w:w="20" w:type="dxa"/>
            <w:vAlign w:val="bottom"/>
          </w:tcPr>
          <w:p>
            <w:pPr>
              <w:spacing w:after="0"/>
              <w:rPr>
                <w:sz w:val="17"/>
                <w:szCs w:val="17"/>
                <w:color w:val="auto"/>
              </w:rPr>
            </w:pPr>
          </w:p>
        </w:tc>
        <w:tc>
          <w:tcPr>
            <w:tcW w:w="8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22"/>
                <w:szCs w:val="22"/>
                <w:b w:val="1"/>
                <w:bCs w:val="1"/>
                <w:color w:val="auto"/>
                <w:w w:val="85"/>
              </w:rPr>
              <w:t>Schedule I</w:t>
            </w:r>
          </w:p>
        </w:tc>
      </w:tr>
      <w:tr>
        <w:trPr>
          <w:trHeight w:val="4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60" w:type="dxa"/>
            <w:vAlign w:val="bottom"/>
            <w:gridSpan w:val="4"/>
          </w:tcPr>
          <w:p>
            <w:pPr>
              <w:jc w:val="center"/>
              <w:ind w:left="754"/>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60" w:type="dxa"/>
            <w:vAlign w:val="bottom"/>
          </w:tcPr>
          <w:p>
            <w:pPr>
              <w:jc w:val="center"/>
              <w:ind w:left="2434"/>
              <w:spacing w:after="0"/>
              <w:rPr>
                <w:sz w:val="20"/>
                <w:szCs w:val="20"/>
                <w:color w:val="auto"/>
              </w:rPr>
            </w:pPr>
            <w:r>
              <w:rPr>
                <w:rFonts w:ascii="Arial" w:cs="Arial" w:eastAsia="Arial" w:hAnsi="Arial"/>
                <w:sz w:val="18"/>
                <w:szCs w:val="18"/>
                <w:b w:val="1"/>
                <w:bCs w:val="1"/>
                <w:color w:val="auto"/>
                <w:w w:val="99"/>
              </w:rPr>
              <w:t>CAESARS ENTERTAINMENT, INC.</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60" w:type="dxa"/>
            <w:vAlign w:val="bottom"/>
          </w:tcPr>
          <w:p>
            <w:pPr>
              <w:jc w:val="center"/>
              <w:ind w:left="2434"/>
              <w:spacing w:after="0"/>
              <w:rPr>
                <w:sz w:val="20"/>
                <w:szCs w:val="20"/>
                <w:color w:val="auto"/>
              </w:rPr>
            </w:pPr>
            <w:r>
              <w:rPr>
                <w:rFonts w:ascii="Arial" w:cs="Arial" w:eastAsia="Arial" w:hAnsi="Arial"/>
                <w:sz w:val="18"/>
                <w:szCs w:val="18"/>
                <w:b w:val="1"/>
                <w:bCs w:val="1"/>
                <w:color w:val="auto"/>
                <w:w w:val="98"/>
              </w:rPr>
              <w:t>CONDENSED BALANCE SHEETS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79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220" w:type="dxa"/>
            <w:vAlign w:val="bottom"/>
          </w:tcPr>
          <w:p>
            <w:pPr>
              <w:jc w:val="right"/>
              <w:ind w:right="53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line="172"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160" w:type="dxa"/>
            <w:vAlign w:val="bottom"/>
            <w:shd w:val="clear" w:color="auto" w:fill="CCEEFF"/>
          </w:tcPr>
          <w:p>
            <w:pPr>
              <w:jc w:val="center"/>
              <w:ind w:right="674"/>
              <w:spacing w:after="0"/>
              <w:rPr>
                <w:sz w:val="20"/>
                <w:szCs w:val="20"/>
                <w:color w:val="auto"/>
              </w:rPr>
            </w:pPr>
            <w:r>
              <w:rPr>
                <w:rFonts w:ascii="Arial" w:cs="Arial" w:eastAsia="Arial" w:hAnsi="Arial"/>
                <w:sz w:val="16"/>
                <w:szCs w:val="16"/>
                <w:b w:val="1"/>
                <w:bCs w:val="1"/>
                <w:color w:val="auto"/>
                <w:w w:val="93"/>
              </w:rPr>
              <w:t>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3,038</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Intercompany receivables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19"/>
                <w:szCs w:val="19"/>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Investment in and advances to unconsolidated affiliates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20" w:type="dxa"/>
            <w:vAlign w:val="bottom"/>
          </w:tcPr>
          <w:p>
            <w:pPr>
              <w:spacing w:after="0"/>
              <w:rPr>
                <w:sz w:val="19"/>
                <w:szCs w:val="19"/>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w:t>
            </w:r>
          </w:p>
        </w:tc>
        <w:tc>
          <w:tcPr>
            <w:tcW w:w="2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60" w:type="dxa"/>
            <w:vAlign w:val="bottom"/>
          </w:tcPr>
          <w:p>
            <w:pPr>
              <w:jc w:val="center"/>
              <w:ind w:right="674"/>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9"/>
                <w:szCs w:val="19"/>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Intercompany payables</w:t>
            </w: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w:t>
            </w:r>
          </w:p>
        </w:tc>
        <w:tc>
          <w:tcPr>
            <w:tcW w:w="20" w:type="dxa"/>
            <w:vAlign w:val="bottom"/>
          </w:tcPr>
          <w:p>
            <w:pPr>
              <w:spacing w:after="0"/>
              <w:rPr>
                <w:sz w:val="18"/>
                <w:szCs w:val="18"/>
                <w:color w:val="auto"/>
              </w:rPr>
            </w:pP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20" w:type="dxa"/>
            <w:vAlign w:val="bottom"/>
          </w:tcPr>
          <w:p>
            <w:pPr>
              <w:spacing w:after="0"/>
              <w:rPr>
                <w:sz w:val="19"/>
                <w:szCs w:val="19"/>
                <w:color w:val="auto"/>
              </w:rPr>
            </w:pPr>
          </w:p>
        </w:tc>
      </w:tr>
      <w:tr>
        <w:trPr>
          <w:trHeight w:val="213"/>
        </w:trPr>
        <w:tc>
          <w:tcPr>
            <w:tcW w:w="7920" w:type="dxa"/>
            <w:vAlign w:val="bottom"/>
            <w:gridSpan w:val="3"/>
          </w:tcPr>
          <w:p>
            <w:pPr>
              <w:ind w:left="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900" w:type="dxa"/>
            <w:vAlign w:val="bottom"/>
            <w:gridSpan w:val="2"/>
          </w:tcPr>
          <w:p>
            <w:pPr>
              <w:ind w:left="4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2,511</w:t>
            </w:r>
          </w:p>
        </w:tc>
        <w:tc>
          <w:tcPr>
            <w:tcW w:w="20" w:type="dxa"/>
            <w:vAlign w:val="bottom"/>
          </w:tcPr>
          <w:p>
            <w:pPr>
              <w:spacing w:after="0"/>
              <w:rPr>
                <w:sz w:val="17"/>
                <w:szCs w:val="17"/>
                <w:color w:val="auto"/>
              </w:rPr>
            </w:pPr>
          </w:p>
        </w:tc>
      </w:tr>
      <w:tr>
        <w:trPr>
          <w:trHeight w:val="216"/>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5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80"/>
        </w:trPr>
        <w:tc>
          <w:tcPr>
            <w:tcW w:w="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22"/>
                <w:szCs w:val="22"/>
                <w:b w:val="1"/>
                <w:bCs w:val="1"/>
                <w:color w:val="auto"/>
                <w:w w:val="85"/>
              </w:rPr>
              <w:t>Schedule I</w:t>
            </w:r>
          </w:p>
        </w:tc>
      </w:tr>
      <w:tr>
        <w:trPr>
          <w:trHeight w:val="431"/>
        </w:trPr>
        <w:tc>
          <w:tcPr>
            <w:tcW w:w="760" w:type="dxa"/>
            <w:vAlign w:val="bottom"/>
          </w:tcPr>
          <w:p>
            <w:pPr>
              <w:spacing w:after="0"/>
              <w:rPr>
                <w:sz w:val="24"/>
                <w:szCs w:val="24"/>
                <w:color w:val="auto"/>
              </w:rPr>
            </w:pPr>
          </w:p>
        </w:tc>
        <w:tc>
          <w:tcPr>
            <w:tcW w:w="8960" w:type="dxa"/>
            <w:vAlign w:val="bottom"/>
            <w:gridSpan w:val="8"/>
          </w:tcPr>
          <w:p>
            <w:pPr>
              <w:jc w:val="center"/>
              <w:ind w:left="610"/>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gridSpan w:val="2"/>
          </w:tcPr>
          <w:p>
            <w:pPr>
              <w:jc w:val="center"/>
              <w:ind w:left="495"/>
              <w:spacing w:after="0"/>
              <w:rPr>
                <w:sz w:val="20"/>
                <w:szCs w:val="20"/>
                <w:color w:val="auto"/>
              </w:rPr>
            </w:pPr>
            <w:r>
              <w:rPr>
                <w:rFonts w:ascii="Arial" w:cs="Arial" w:eastAsia="Arial" w:hAnsi="Arial"/>
                <w:sz w:val="18"/>
                <w:szCs w:val="18"/>
                <w:b w:val="1"/>
                <w:bCs w:val="1"/>
                <w:color w:val="auto"/>
                <w:w w:val="99"/>
              </w:rPr>
              <w:t>CAESARS ENTERTAINMENT, INC.</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CONDENSED STATEMENTS OF OPERATIONS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2"/>
        </w:trPr>
        <w:tc>
          <w:tcPr>
            <w:tcW w:w="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44"/>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3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99"/>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497"/>
              <w:spacing w:after="0" w:line="172"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r>
      <w:tr>
        <w:trPr>
          <w:trHeight w:val="21"/>
        </w:trPr>
        <w:tc>
          <w:tcPr>
            <w:tcW w:w="7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3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Corporate expense</w:t>
            </w:r>
          </w:p>
        </w:tc>
        <w:tc>
          <w:tcPr>
            <w:tcW w:w="3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r>
      <w:tr>
        <w:trPr>
          <w:trHeight w:val="219"/>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Management fee</w:t>
            </w:r>
          </w:p>
        </w:tc>
        <w:tc>
          <w:tcPr>
            <w:tcW w:w="3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9"/>
                <w:szCs w:val="19"/>
                <w:color w:val="auto"/>
              </w:rPr>
            </w:pPr>
          </w:p>
        </w:tc>
      </w:tr>
      <w:tr>
        <w:trPr>
          <w:trHeight w:val="213"/>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3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19"/>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30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r>
      <w:tr>
        <w:trPr>
          <w:trHeight w:val="207"/>
        </w:trPr>
        <w:tc>
          <w:tcPr>
            <w:tcW w:w="35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operating expenses</w:t>
            </w:r>
          </w:p>
        </w:tc>
        <w:tc>
          <w:tcPr>
            <w:tcW w:w="30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r>
      <w:tr>
        <w:trPr>
          <w:trHeight w:val="212"/>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3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3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3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9"/>
                <w:szCs w:val="19"/>
                <w:color w:val="auto"/>
              </w:rPr>
            </w:pPr>
          </w:p>
        </w:tc>
      </w:tr>
      <w:tr>
        <w:trPr>
          <w:trHeight w:val="213"/>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Gain (loss) on interests in subsidiaries</w:t>
            </w:r>
          </w:p>
        </w:tc>
        <w:tc>
          <w:tcPr>
            <w:tcW w:w="3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8"/>
                <w:szCs w:val="18"/>
                <w:color w:val="auto"/>
              </w:rPr>
            </w:pPr>
          </w:p>
        </w:tc>
      </w:tr>
      <w:tr>
        <w:trPr>
          <w:trHeight w:val="219"/>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3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3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(loss) income</w:t>
            </w:r>
          </w:p>
        </w:tc>
        <w:tc>
          <w:tcPr>
            <w:tcW w:w="30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12"/>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(Loss) income from operations before income taxes</w:t>
            </w:r>
          </w:p>
        </w:tc>
        <w:tc>
          <w:tcPr>
            <w:tcW w:w="3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r>
      <w:tr>
        <w:trPr>
          <w:trHeight w:val="213"/>
        </w:trPr>
        <w:tc>
          <w:tcPr>
            <w:tcW w:w="3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Income tax (provision) benefit</w:t>
            </w:r>
          </w:p>
        </w:tc>
        <w:tc>
          <w:tcPr>
            <w:tcW w:w="30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8"/>
                <w:szCs w:val="18"/>
                <w:color w:val="auto"/>
              </w:rPr>
            </w:pPr>
          </w:p>
        </w:tc>
      </w:tr>
      <w:tr>
        <w:trPr>
          <w:trHeight w:val="232"/>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3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20"/>
                <w:szCs w:val="20"/>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895"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22"/>
                <w:szCs w:val="22"/>
                <w:b w:val="1"/>
                <w:bCs w:val="1"/>
                <w:color w:val="auto"/>
                <w:w w:val="85"/>
              </w:rPr>
              <w:t>Schedule I</w:t>
            </w:r>
          </w:p>
        </w:tc>
      </w:tr>
      <w:tr>
        <w:trPr>
          <w:trHeight w:val="4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8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60" w:type="dxa"/>
            <w:vAlign w:val="bottom"/>
            <w:gridSpan w:val="2"/>
          </w:tcPr>
          <w:p>
            <w:pPr>
              <w:jc w:val="center"/>
              <w:ind w:left="3230"/>
              <w:spacing w:after="0"/>
              <w:rPr>
                <w:sz w:val="20"/>
                <w:szCs w:val="20"/>
                <w:color w:val="auto"/>
              </w:rPr>
            </w:pPr>
            <w:r>
              <w:rPr>
                <w:rFonts w:ascii="Arial" w:cs="Arial" w:eastAsia="Arial" w:hAnsi="Arial"/>
                <w:sz w:val="18"/>
                <w:szCs w:val="18"/>
                <w:b w:val="1"/>
                <w:bCs w:val="1"/>
                <w:color w:val="auto"/>
                <w:w w:val="99"/>
              </w:rPr>
              <w:t>CAESARS ENTERTAINMENT, INC.</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0" w:type="dxa"/>
            <w:vAlign w:val="bottom"/>
            <w:gridSpan w:val="4"/>
          </w:tcPr>
          <w:p>
            <w:pPr>
              <w:jc w:val="center"/>
              <w:ind w:left="2190"/>
              <w:spacing w:after="0"/>
              <w:rPr>
                <w:sz w:val="20"/>
                <w:szCs w:val="20"/>
                <w:color w:val="auto"/>
              </w:rPr>
            </w:pPr>
            <w:r>
              <w:rPr>
                <w:rFonts w:ascii="Arial" w:cs="Arial" w:eastAsia="Arial" w:hAnsi="Arial"/>
                <w:sz w:val="18"/>
                <w:szCs w:val="18"/>
                <w:b w:val="1"/>
                <w:bCs w:val="1"/>
                <w:color w:val="auto"/>
                <w:w w:val="98"/>
              </w:rPr>
              <w:t>CONDENSED STATEMENTS OF CASH FLOWS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66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20" w:type="dxa"/>
            <w:vAlign w:val="bottom"/>
          </w:tcPr>
          <w:p>
            <w:pPr>
              <w:spacing w:after="0"/>
              <w:rPr>
                <w:sz w:val="14"/>
                <w:szCs w:val="14"/>
                <w:color w:val="auto"/>
              </w:rPr>
            </w:pPr>
          </w:p>
        </w:tc>
        <w:tc>
          <w:tcPr>
            <w:tcW w:w="9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478"/>
              <w:spacing w:after="0" w:line="172"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flows used in operating activities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8"/>
                <w:szCs w:val="18"/>
                <w:color w:val="auto"/>
              </w:rPr>
            </w:pPr>
          </w:p>
        </w:tc>
      </w:tr>
      <w:tr>
        <w:trPr>
          <w:trHeight w:val="193"/>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Cash flows from investing activities</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Former Caesars acquisition</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cash in business combinations</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58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Cash flows used in investing activities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8"/>
                <w:szCs w:val="18"/>
                <w:color w:val="auto"/>
              </w:rPr>
            </w:pPr>
          </w:p>
        </w:tc>
      </w:tr>
      <w:tr>
        <w:trPr>
          <w:trHeight w:val="193"/>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Cash flows from financing activities</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Net proceeds from (payments to) related parties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Proceeds from sale-leaseback financing arrangement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Purchase of treasury stock</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65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Cash flows provided by financing activities</w:t>
            </w: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12,011</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w:t>
            </w:r>
          </w:p>
        </w:tc>
        <w:tc>
          <w:tcPr>
            <w:tcW w:w="20" w:type="dxa"/>
            <w:vAlign w:val="bottom"/>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6"/>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Net increase/(decrease) in cash, cash equivalents, and restricted cash</w:t>
            </w:r>
          </w:p>
        </w:tc>
        <w:tc>
          <w:tcPr>
            <w:tcW w:w="5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16"/>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r>
      <w:tr>
        <w:trPr>
          <w:trHeight w:val="213"/>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6600" w:type="dxa"/>
            <w:vAlign w:val="bottom"/>
            <w:gridSpan w:val="3"/>
          </w:tcPr>
          <w:p>
            <w:pPr>
              <w:ind w:left="20"/>
              <w:spacing w:after="0" w:line="166" w:lineRule="exact"/>
              <w:rPr>
                <w:sz w:val="20"/>
                <w:szCs w:val="20"/>
                <w:color w:val="auto"/>
              </w:rPr>
            </w:pPr>
            <w:r>
              <w:rPr>
                <w:rFonts w:ascii="Arial" w:cs="Arial" w:eastAsia="Arial" w:hAnsi="Arial"/>
                <w:sz w:val="16"/>
                <w:szCs w:val="16"/>
                <w:color w:val="auto"/>
              </w:rPr>
              <w:t>RECONCILIATION OF CASH, CASH EQUIVALENTS AND RESTRICTED CASH TO</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AMOUNTS REPORTED WITHIN THE CONDENSED BALANCE SHEETS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 in current assets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6"/>
                <w:szCs w:val="16"/>
                <w:color w:val="auto"/>
              </w:rPr>
              <w:t>Restricted cash in current assets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3"/>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9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Schedule 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39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condensed parent company financial statements have been prepared in accordance with Rule 12-04, Schedule 1 of Regulation S-X, as the restricted net assets of Caesars Entertainment, Inc. and its subsidiaries exceed 25% of the consolidated net assets of Caesars Entertainment, Inc. and its subsidiaries (the “Company”). This information should be read in conjunction with the Company’s consolidated financial statements included elsewhere in this filing.</w:t>
      </w:r>
    </w:p>
    <w:p>
      <w:pPr>
        <w:spacing w:after="0" w:line="9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subsidiaries have restrictions on their ability to pay dividends or make intercompany loans and advances pursuant to financing arrangements and regulatory restrictions. The amount of restricted net assets the Company’s consolidated subsidiaries held as of December 31, 2020 was approximately $4.9 billion. Such restrictions are on net assets of Caesars Entertainment, Inc. and its subsidiaries. The amount of restricted net assets in the Company’s unconsolidated subsidiaries was not material to the financial statements.</w:t>
      </w:r>
    </w:p>
    <w:p>
      <w:pPr>
        <w:spacing w:after="0" w:line="129"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 Company’s commitments, contingencies, and long-term obligations under its senior secured credit facilities, see Note 11 and Note 12 of the Company’s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895" w:right="339" w:bottom="1440" w:gutter="0" w:footer="0" w:header="0"/>
        </w:sectPr>
      </w:pPr>
    </w:p>
    <w:bookmarkStart w:id="136" w:name="page137"/>
    <w:bookmarkEnd w:id="136"/>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one class of securities registered under Section 12 of the Securities Exchange Act of 1934, as amended: our common stock, par value $0.00001 per share. The following is a general description of the terms and provisions of our capital stock and related provisions of our certificate of incorporation and our bylaws, each of which is incorporated by reference as an exhibit to the Annual Report on Form 10-K of which this Exhibit 4.1 is a part. The following description is only a summary of the material provisions of our capital stock, certificate of incorporation and bylaws and does not purport to be complete and is subject and qualified in its entirety by reference to the applicable provisions of the Delaware General Corporation Law, or the DCGL, our certificate of incorporation and our bylaws. We encourage you to read our certificate of incorporation, our bylaws and the applicable provisions of the DGCL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300,000,000 shares of common stock, par value $0.00001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permitted to pay dividends if, as and when declared by our board of directors, subject to compliance with limitations imposed by the DGCL. The holders of our common stock are entitled to receive and share equally in these dividends as they may be declared by our board of directors out of funds legally available for such purpose. We do not currently expect to pay dividends on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votes as a single class on all matters on which stockholders are entitled to vote, and each share of our common stock is entitled to cast one vote in person or by proxy on such matters. Holders of our common stock do not have the right to cumulate votes in the election of directors. Directors are elected by a plurality of the shares actually voting on the matter at each annual meeting or special meeting called for the purpose of electing such directors at which a quorum is present.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our liquidation, dissolution or winding-up, whether voluntary or involuntary, the holders of our common stock will be entitled to receive, after payment or provision for payment of all our debts and liabilities, all of our assets available for distribution.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our common stock are not entitled to any preemptive rights to subscribe for additional shares of our common stock, nor are they liable to further capital calls or to assessments by us. Therefore, if we issue additional shares without the opportunity for existing stockholders to purchase more shares, a stockholder’s ownership interest in our Company may be subject to dilution.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or Preferences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has no sinking fund, redemption provisions, or conversion or exchange rights, other than redemption provisions related to compliance with gaming laws.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FFFFFF"/>
        </w:rPr>
        <w:t>39337.00400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indemnification agreements with certain of our executive officers and each of our directors pursuant to which we have agreed to indemnify such executive officers and directors against liability incurred by them by reason of their services as an executive officer or director to the fullest extent allowable under applicable law. We also provide liability insurance for each officer and director for losses arising from claims or charges made against them while acting in their capacities as our officer or director.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indemnification for liabilities arising under the Securities Act may be permitted to our executive officers and directors pursuant to the foregoing,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market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Stock Market under the symbol “CZR.”</w:t>
      </w:r>
    </w:p>
    <w:p>
      <w:pPr>
        <w:spacing w:after="0" w:line="232" w:lineRule="exact"/>
        <w:rPr>
          <w:sz w:val="20"/>
          <w:szCs w:val="20"/>
          <w:color w:val="auto"/>
        </w:rPr>
      </w:pPr>
    </w:p>
    <w:p>
      <w:pPr>
        <w:spacing w:after="0"/>
        <w:rPr>
          <w:sz w:val="20"/>
          <w:szCs w:val="20"/>
          <w:color w:val="auto"/>
        </w:rPr>
      </w:pPr>
      <w:r>
        <w:rPr>
          <w:rFonts w:ascii="Arial" w:cs="Arial" w:eastAsia="Arial" w:hAnsi="Arial"/>
          <w:sz w:val="9"/>
          <w:szCs w:val="9"/>
          <w:color w:val="FFFFFF"/>
        </w:rPr>
        <w:t>39337.00400</w:t>
      </w:r>
    </w:p>
    <w:p>
      <w:pPr>
        <w:sectPr>
          <w:pgSz w:w="11900" w:h="16838" w:orient="portrait"/>
          <w:cols w:equalWidth="0" w:num="1">
            <w:col w:w="11240"/>
          </w:cols>
          <w:pgMar w:left="320" w:top="144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LEASE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November 18, 2020, by and among </w:t>
      </w:r>
      <w:r>
        <w:rPr>
          <w:rFonts w:ascii="Arial" w:cs="Arial" w:eastAsia="Arial" w:hAnsi="Arial"/>
          <w:sz w:val="22"/>
          <w:szCs w:val="22"/>
          <w:b w:val="1"/>
          <w:bCs w:val="1"/>
          <w:color w:val="auto"/>
        </w:rPr>
        <w:t>CPLV PROPERTY OWNER LLC</w:t>
      </w:r>
      <w:r>
        <w:rPr>
          <w:rFonts w:ascii="Arial" w:cs="Arial" w:eastAsia="Arial" w:hAnsi="Arial"/>
          <w:sz w:val="22"/>
          <w:szCs w:val="22"/>
          <w:color w:val="auto"/>
        </w:rPr>
        <w:t xml:space="preserve"> and </w:t>
      </w:r>
      <w:r>
        <w:rPr>
          <w:rFonts w:ascii="Arial" w:cs="Arial" w:eastAsia="Arial" w:hAnsi="Arial"/>
          <w:sz w:val="22"/>
          <w:szCs w:val="22"/>
          <w:b w:val="1"/>
          <w:bCs w:val="1"/>
          <w:color w:val="auto"/>
        </w:rPr>
        <w:t>CLAUDINE PROPCO LLC</w:t>
      </w:r>
      <w:r>
        <w:rPr>
          <w:rFonts w:ascii="Arial" w:cs="Arial" w:eastAsia="Arial" w:hAnsi="Arial"/>
          <w:sz w:val="22"/>
          <w:szCs w:val="22"/>
          <w:color w:val="auto"/>
        </w:rPr>
        <w:t>, each a Delaware limited liability company (collectively, 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last paragraph of Section 1.1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last paragraph of Section 1.1 of the Lease, Propco TRS</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to that certain Lease (CPLV) dated as of October 6, 2017, as amended by that certain First Amendment to Lease (CPLV), dated as of December 26, 2018, as amended by that certain Omnibus Amendment to Leases, dated as of June 1, 2020, as amended by that certain Second Amendment to Lease (CPLV), dated as of July 20, 2020, as amended by that certain Third Amendment to Lease, dated as of September 30, 2020, and to the extent amended by that certain Amended and Restated Omnibus Amendment to Leases, dated as of October 27,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(i) Bally’s Park Place LLC (“</w:t>
      </w:r>
      <w:r>
        <w:rPr>
          <w:rFonts w:ascii="Arial" w:cs="Arial" w:eastAsia="Arial" w:hAnsi="Arial"/>
          <w:sz w:val="21"/>
          <w:szCs w:val="21"/>
          <w:u w:val="single" w:color="auto"/>
          <w:color w:val="auto"/>
        </w:rPr>
        <w:t>Operator</w:t>
      </w:r>
      <w:r>
        <w:rPr>
          <w:rFonts w:ascii="Arial" w:cs="Arial" w:eastAsia="Arial" w:hAnsi="Arial"/>
          <w:sz w:val="21"/>
          <w:szCs w:val="21"/>
          <w:color w:val="auto"/>
        </w:rPr>
        <w:t>”), as operator, Bally’s Atlantic City LLC, as</w:t>
      </w:r>
      <w:r>
        <w:rPr>
          <w:rFonts w:ascii="Arial" w:cs="Arial" w:eastAsia="Arial" w:hAnsi="Arial"/>
          <w:sz w:val="21"/>
          <w:szCs w:val="21"/>
          <w:b w:val="1"/>
          <w:bCs w:val="1"/>
          <w:color w:val="auto"/>
        </w:rPr>
        <w:t xml:space="preserve"> </w:t>
      </w:r>
      <w:r>
        <w:rPr>
          <w:rFonts w:ascii="Arial" w:cs="Arial" w:eastAsia="Arial" w:hAnsi="Arial"/>
          <w:sz w:val="21"/>
          <w:szCs w:val="21"/>
          <w:color w:val="auto"/>
        </w:rPr>
        <w:t>seller, and Premier Entertainment AC, LLC (as successor by assignment to Twin River Management Group, Inc.) (“</w:t>
      </w:r>
      <w:r>
        <w:rPr>
          <w:rFonts w:ascii="Arial" w:cs="Arial" w:eastAsia="Arial" w:hAnsi="Arial"/>
          <w:sz w:val="21"/>
          <w:szCs w:val="21"/>
          <w:u w:val="single" w:color="auto"/>
          <w:color w:val="auto"/>
        </w:rPr>
        <w:t>Purchaser</w:t>
      </w:r>
      <w:r>
        <w:rPr>
          <w:rFonts w:ascii="Arial" w:cs="Arial" w:eastAsia="Arial" w:hAnsi="Arial"/>
          <w:sz w:val="21"/>
          <w:szCs w:val="21"/>
          <w:color w:val="auto"/>
        </w:rPr>
        <w:t>”), as purchaser, are closing a purchase and sale transaction under that certain Agreement of Sale, dated as of April 24, 2020, with respect to certain real property and (ii) Operator and Purchaser are closing a purchase and sale transaction under that certain Asset Purchase Agreement, dated as of April 24, 2020, with respect to certain casino and related operations and assets, in each case under clauses (i) and (ii), associated with the gaming and entertainment facility known as “Bally’s Atlantic City”, located in Atlantic City, New Jersey (the “</w:t>
      </w:r>
      <w:r>
        <w:rPr>
          <w:rFonts w:ascii="Arial" w:cs="Arial" w:eastAsia="Arial" w:hAnsi="Arial"/>
          <w:sz w:val="21"/>
          <w:szCs w:val="21"/>
          <w:u w:val="single" w:color="auto"/>
          <w:color w:val="auto"/>
        </w:rPr>
        <w:t>Bally’s Transaction</w:t>
      </w:r>
      <w:r>
        <w:rPr>
          <w:rFonts w:ascii="Arial" w:cs="Arial" w:eastAsia="Arial" w:hAnsi="Arial"/>
          <w:sz w:val="21"/>
          <w:szCs w:val="21"/>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Bally’s Transaction, the parties hereto desire to amend the Lease as set forth herein.</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ectPr>
          <w:pgSz w:w="11900" w:h="16838" w:orient="portrait"/>
          <w:cols w:equalWidth="0" w:num="1">
            <w:col w:w="11240"/>
          </w:cols>
          <w:pgMar w:left="320" w:top="125" w:right="339" w:bottom="1440" w:gutter="0" w:footer="0" w:header="0"/>
        </w:sectPr>
      </w:pPr>
    </w:p>
    <w:bookmarkStart w:id="139" w:name="page140"/>
    <w:bookmarkEnd w:id="139"/>
    <w:p>
      <w:pPr>
        <w:ind w:firstLine="1304"/>
        <w:spacing w:after="0" w:line="263" w:lineRule="auto"/>
        <w:tabs>
          <w:tab w:leader="none" w:pos="1404" w:val="left"/>
        </w:tabs>
        <w:numPr>
          <w:ilvl w:val="1"/>
          <w:numId w:val="66"/>
        </w:numPr>
        <w:rPr>
          <w:rFonts w:ascii="Arial" w:cs="Arial" w:eastAsia="Arial" w:hAnsi="Arial"/>
          <w:sz w:val="22"/>
          <w:szCs w:val="22"/>
          <w:color w:val="auto"/>
        </w:rPr>
      </w:pPr>
      <w:r>
        <w:rPr>
          <w:rFonts w:ascii="Arial" w:cs="Arial" w:eastAsia="Arial" w:hAnsi="Arial"/>
          <w:sz w:val="22"/>
          <w:szCs w:val="22"/>
          <w:color w:val="auto"/>
        </w:rPr>
        <w:t>Except as otherwise defined herein, all capitalized terms used herein without definition shall have the meanings applicable to such terms, respectively, as set forth in the Lease.</w:t>
      </w:r>
    </w:p>
    <w:p>
      <w:pPr>
        <w:spacing w:after="0" w:line="168" w:lineRule="exact"/>
        <w:rPr>
          <w:rFonts w:ascii="Arial" w:cs="Arial" w:eastAsia="Arial" w:hAnsi="Arial"/>
          <w:sz w:val="22"/>
          <w:szCs w:val="22"/>
          <w:color w:val="auto"/>
        </w:rPr>
      </w:pPr>
    </w:p>
    <w:p>
      <w:pPr>
        <w:ind w:left="1300" w:hanging="644"/>
        <w:spacing w:after="0"/>
        <w:tabs>
          <w:tab w:leader="none" w:pos="13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660" w:hanging="328"/>
        <w:spacing w:after="0" w:line="250" w:lineRule="auto"/>
        <w:tabs>
          <w:tab w:leader="none" w:pos="648"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Article II of the Lease is hereby amended such that the definition of “Triennial Minimum Cap Ex Amount B” is hereby revised and modified to replace the reference therein to “Four Hundred Twenty-One Million Nine Hundred Thousand and No/100 Dollars ($421,900,000.00)” with a reference to “Four Hundred Five Million Two Hundred Thousand and No/100 Dollars ($405,200,000.00)”.</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Partial Periods.</w:t>
      </w:r>
    </w:p>
    <w:p>
      <w:pPr>
        <w:spacing w:after="0" w:line="219" w:lineRule="exact"/>
        <w:rPr>
          <w:rFonts w:ascii="Arial" w:cs="Arial" w:eastAsia="Arial" w:hAnsi="Arial"/>
          <w:sz w:val="22"/>
          <w:szCs w:val="22"/>
          <w:color w:val="auto"/>
        </w:rPr>
      </w:pPr>
    </w:p>
    <w:p>
      <w:pPr>
        <w:jc w:val="both"/>
        <w:ind w:left="1300" w:hanging="434"/>
        <w:spacing w:after="0" w:line="261" w:lineRule="auto"/>
        <w:tabs>
          <w:tab w:leader="none" w:pos="1300" w:val="left"/>
        </w:tabs>
        <w:numPr>
          <w:ilvl w:val="2"/>
          <w:numId w:val="67"/>
        </w:numPr>
        <w:rPr>
          <w:rFonts w:ascii="Arial" w:cs="Arial" w:eastAsia="Arial" w:hAnsi="Arial"/>
          <w:sz w:val="21"/>
          <w:szCs w:val="21"/>
          <w:color w:val="auto"/>
        </w:rPr>
      </w:pPr>
      <w:r>
        <w:rPr>
          <w:rFonts w:ascii="Arial" w:cs="Arial" w:eastAsia="Arial" w:hAnsi="Arial"/>
          <w:sz w:val="21"/>
          <w:szCs w:val="21"/>
          <w:color w:val="auto"/>
        </w:rPr>
        <w:t>Section 10.5(a)(v)(b)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 and</w:t>
      </w:r>
    </w:p>
    <w:p>
      <w:pPr>
        <w:spacing w:after="0" w:line="179" w:lineRule="exact"/>
        <w:rPr>
          <w:rFonts w:ascii="Arial" w:cs="Arial" w:eastAsia="Arial" w:hAnsi="Arial"/>
          <w:sz w:val="21"/>
          <w:szCs w:val="21"/>
          <w:color w:val="auto"/>
        </w:rPr>
      </w:pPr>
    </w:p>
    <w:p>
      <w:pPr>
        <w:jc w:val="both"/>
        <w:ind w:left="1300" w:hanging="494"/>
        <w:spacing w:after="0" w:line="294" w:lineRule="auto"/>
        <w:tabs>
          <w:tab w:leader="none" w:pos="1300" w:val="left"/>
        </w:tabs>
        <w:numPr>
          <w:ilvl w:val="2"/>
          <w:numId w:val="67"/>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w:t>
      </w:r>
    </w:p>
    <w:p>
      <w:pPr>
        <w:spacing w:after="0" w:line="143" w:lineRule="exact"/>
        <w:rPr>
          <w:rFonts w:ascii="Arial" w:cs="Arial" w:eastAsia="Arial" w:hAnsi="Arial"/>
          <w:sz w:val="19"/>
          <w:szCs w:val="19"/>
          <w:color w:val="auto"/>
        </w:rPr>
      </w:pPr>
    </w:p>
    <w:p>
      <w:pPr>
        <w:ind w:left="1300" w:hanging="644"/>
        <w:spacing w:after="0"/>
        <w:tabs>
          <w:tab w:leader="none" w:pos="1300" w:val="left"/>
        </w:tabs>
        <w:numPr>
          <w:ilvl w:val="1"/>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p>
    <w:p>
      <w:pPr>
        <w:spacing w:after="0" w:line="226" w:lineRule="exact"/>
        <w:rPr>
          <w:sz w:val="20"/>
          <w:szCs w:val="20"/>
          <w:color w:val="auto"/>
        </w:rPr>
      </w:pPr>
    </w:p>
    <w:p>
      <w:pPr>
        <w:jc w:val="both"/>
        <w:ind w:firstLine="1304"/>
        <w:spacing w:after="0" w:line="253" w:lineRule="auto"/>
        <w:tabs>
          <w:tab w:leader="none" w:pos="1417"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Lease shall remain in full force and effect except as expressly amended or modified by this Amendment. From and after the date of this Amendment, all references in the Lease to the “Lease” shall be deemed to refer to the Lease as amended by this Amendment.</w:t>
      </w:r>
    </w:p>
    <w:p>
      <w:pPr>
        <w:spacing w:after="0" w:line="179" w:lineRule="exact"/>
        <w:rPr>
          <w:rFonts w:ascii="Arial" w:cs="Arial" w:eastAsia="Arial" w:hAnsi="Arial"/>
          <w:sz w:val="22"/>
          <w:szCs w:val="22"/>
          <w:color w:val="auto"/>
        </w:rPr>
      </w:pPr>
    </w:p>
    <w:p>
      <w:pPr>
        <w:jc w:val="both"/>
        <w:ind w:firstLine="656"/>
        <w:spacing w:after="0" w:line="267" w:lineRule="auto"/>
        <w:tabs>
          <w:tab w:leader="none" w:pos="1296"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b w:val="1"/>
          <w:bCs w:val="1"/>
          <w:color w:val="auto"/>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140" w:name="page141"/>
    <w:bookmarkEnd w:id="140"/>
    <w:p>
      <w:pPr>
        <w:ind w:left="1292" w:hanging="644"/>
        <w:spacing w:after="0"/>
        <w:tabs>
          <w:tab w:leader="none" w:pos="129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p>
    <w:p>
      <w:pPr>
        <w:spacing w:after="0" w:line="226" w:lineRule="exact"/>
        <w:rPr>
          <w:sz w:val="20"/>
          <w:szCs w:val="20"/>
          <w:color w:val="auto"/>
        </w:rPr>
      </w:pPr>
    </w:p>
    <w:p>
      <w:pPr>
        <w:jc w:val="both"/>
        <w:ind w:left="-8" w:firstLine="1304"/>
        <w:spacing w:after="0" w:line="253" w:lineRule="auto"/>
        <w:tabs>
          <w:tab w:leader="none" w:pos="1396"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This Amendment may be executed by one or more of the parties hereto on any number of separate counterparts, and all of such counterparts taken together shall be deemed to constitute one and the same instrument. Facsimile and/or .pdf signatures shall be deemed to be originals for all purposes.</w:t>
      </w:r>
    </w:p>
    <w:p>
      <w:pPr>
        <w:spacing w:after="0" w:line="179" w:lineRule="exact"/>
        <w:rPr>
          <w:rFonts w:ascii="Arial" w:cs="Arial" w:eastAsia="Arial" w:hAnsi="Arial"/>
          <w:sz w:val="22"/>
          <w:szCs w:val="22"/>
          <w:color w:val="auto"/>
        </w:rPr>
      </w:pPr>
    </w:p>
    <w:p>
      <w:pPr>
        <w:ind w:left="1292" w:hanging="644"/>
        <w:spacing w:after="0"/>
        <w:tabs>
          <w:tab w:leader="none" w:pos="1292"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p>
    <w:p>
      <w:pPr>
        <w:spacing w:after="0" w:line="226" w:lineRule="exact"/>
        <w:rPr>
          <w:sz w:val="20"/>
          <w:szCs w:val="20"/>
          <w:color w:val="auto"/>
        </w:rPr>
      </w:pPr>
    </w:p>
    <w:p>
      <w:pPr>
        <w:ind w:left="112" w:hanging="112"/>
        <w:spacing w:after="0"/>
        <w:tabs>
          <w:tab w:leader="none" w:pos="11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This Amendment shall be effective, as of the date hereof, only upon execution and delivery by each of the parties hereto.</w:t>
      </w:r>
    </w:p>
    <w:p>
      <w:pPr>
        <w:spacing w:after="0" w:line="248" w:lineRule="exact"/>
        <w:rPr>
          <w:rFonts w:ascii="Arial" w:cs="Arial" w:eastAsia="Arial" w:hAnsi="Arial"/>
          <w:sz w:val="19"/>
          <w:szCs w:val="19"/>
          <w:color w:val="auto"/>
        </w:rPr>
      </w:pPr>
    </w:p>
    <w:p>
      <w:pPr>
        <w:jc w:val="both"/>
        <w:ind w:left="-8" w:firstLine="656"/>
        <w:spacing w:after="0" w:line="291" w:lineRule="auto"/>
        <w:tabs>
          <w:tab w:leader="none" w:pos="1288" w:val="left"/>
        </w:tabs>
        <w:numPr>
          <w:ilvl w:val="1"/>
          <w:numId w:val="71"/>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32"/>
          </w:cols>
          <w:pgMar w:left="328" w:top="1421" w:right="339" w:bottom="1440" w:gutter="0" w:footer="0" w:header="0"/>
        </w:sectPr>
      </w:pPr>
    </w:p>
    <w:bookmarkStart w:id="141" w:name="page142"/>
    <w:bookmarkEnd w:id="14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CPLV PROPERTY OWNER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245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3">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CLAUDINE PROPCO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2458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4">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Continue on Following Pages]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Fourth Amendment to Las Vegas Lease]</w:t>
      </w:r>
    </w:p>
    <w:p>
      <w:pPr>
        <w:sectPr>
          <w:pgSz w:w="11900" w:h="16838" w:orient="portrait"/>
          <w:cols w:equalWidth="0" w:num="1">
            <w:col w:w="11220"/>
          </w:cols>
          <w:pgMar w:left="320" w:top="1419" w:right="35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DESERT PALACE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5">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CEOC,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6">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7">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8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 solely for the purposes of the last paragraph of Section 1.1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80"/>
        <w:spacing w:after="0"/>
        <w:rPr>
          <w:sz w:val="20"/>
          <w:szCs w:val="20"/>
          <w:color w:val="auto"/>
        </w:rPr>
      </w:pPr>
      <w:r>
        <w:rPr>
          <w:rFonts w:ascii="Arial" w:cs="Arial" w:eastAsia="Arial" w:hAnsi="Arial"/>
          <w:sz w:val="16"/>
          <w:szCs w:val="16"/>
          <w:i w:val="1"/>
          <w:iCs w:val="1"/>
          <w:color w:val="auto"/>
        </w:rPr>
        <w:t>[Signature Page to Fourth Amendment to Las Vegas Lease]</w:t>
      </w:r>
    </w:p>
    <w:p>
      <w:pPr>
        <w:sectPr>
          <w:pgSz w:w="11900" w:h="16838" w:orient="portrait"/>
          <w:cols w:equalWidth="0" w:num="1">
            <w:col w:w="10139"/>
          </w:cols>
          <w:pgMar w:left="320" w:top="1413" w:right="1440"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PROPCO TRS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1201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2379"/>
        <w:spacing w:after="0"/>
        <w:rPr>
          <w:sz w:val="20"/>
          <w:szCs w:val="20"/>
          <w:color w:val="auto"/>
        </w:rPr>
      </w:pPr>
      <w:r>
        <w:rPr>
          <w:rFonts w:ascii="Arial" w:cs="Arial" w:eastAsia="Arial" w:hAnsi="Arial"/>
          <w:sz w:val="18"/>
          <w:szCs w:val="18"/>
          <w:i w:val="1"/>
          <w:iCs w:val="1"/>
          <w:color w:val="auto"/>
        </w:rPr>
        <w:t>[Signature Page to Fourth Amendment to Las Vegas Lease]</w:t>
      </w:r>
    </w:p>
    <w:p>
      <w:pPr>
        <w:sectPr>
          <w:pgSz w:w="11900" w:h="16838" w:orient="portrait"/>
          <w:cols w:equalWidth="0" w:num="1">
            <w:col w:w="10139"/>
          </w:cols>
          <w:pgMar w:left="320" w:top="1413"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ACKNOWLEDGMENT AND AGREEMENT OF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w:t>
      </w:r>
      <w:r>
        <w:rPr>
          <w:rFonts w:ascii="Arial" w:cs="Arial" w:eastAsia="Arial" w:hAnsi="Arial"/>
          <w:sz w:val="18"/>
          <w:szCs w:val="18"/>
          <w:u w:val="single" w:color="auto"/>
          <w:color w:val="auto"/>
        </w:rPr>
        <w:t>Guarantor</w:t>
      </w:r>
      <w:r>
        <w:rPr>
          <w:rFonts w:ascii="Arial" w:cs="Arial" w:eastAsia="Arial" w:hAnsi="Arial"/>
          <w:sz w:val="18"/>
          <w:szCs w:val="18"/>
          <w:color w:val="auto"/>
        </w:rPr>
        <w:t>”) hereby: (a) acknowledges receipt of the Fourth Amendment to Lease (the “</w:t>
      </w:r>
      <w:r>
        <w:rPr>
          <w:rFonts w:ascii="Arial" w:cs="Arial" w:eastAsia="Arial" w:hAnsi="Arial"/>
          <w:sz w:val="18"/>
          <w:szCs w:val="18"/>
          <w:u w:val="single" w:color="auto"/>
          <w:color w:val="auto"/>
        </w:rPr>
        <w:t>Amendment</w:t>
      </w:r>
      <w:r>
        <w:rPr>
          <w:rFonts w:ascii="Arial" w:cs="Arial" w:eastAsia="Arial" w:hAnsi="Arial"/>
          <w:sz w:val="18"/>
          <w:szCs w:val="18"/>
          <w:color w:val="auto"/>
        </w:rPr>
        <w:t>”; capitalized terms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used herein without definition having the meanings set forth in the Amendment), dated as of November </w:t>
      </w:r>
      <w:r>
        <w:rPr>
          <w:rFonts w:ascii="Arial" w:cs="Arial" w:eastAsia="Arial" w:hAnsi="Arial"/>
          <w:sz w:val="20"/>
          <w:szCs w:val="20"/>
          <w:color w:val="auto"/>
        </w:rPr>
        <w:t>18</w:t>
      </w:r>
      <w:r>
        <w:rPr>
          <w:rFonts w:ascii="Arial" w:cs="Arial" w:eastAsia="Arial" w:hAnsi="Arial"/>
          <w:sz w:val="19"/>
          <w:szCs w:val="19"/>
          <w:color w:val="auto"/>
        </w:rPr>
        <w:t>, 2020,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86" w:lineRule="exact"/>
        <w:rPr>
          <w:sz w:val="20"/>
          <w:szCs w:val="20"/>
          <w:color w:val="auto"/>
        </w:rPr>
      </w:pPr>
    </w:p>
    <w:p>
      <w:pPr>
        <w:jc w:val="both"/>
        <w:ind w:firstLine="294"/>
        <w:spacing w:after="0" w:line="281" w:lineRule="auto"/>
        <w:rPr>
          <w:sz w:val="20"/>
          <w:szCs w:val="20"/>
          <w:color w:val="auto"/>
        </w:rPr>
      </w:pPr>
      <w:r>
        <w:rPr>
          <w:rFonts w:ascii="Arial" w:cs="Arial" w:eastAsia="Arial" w:hAnsi="Arial"/>
          <w:sz w:val="20"/>
          <w:szCs w:val="20"/>
          <w:color w:val="auto"/>
        </w:rPr>
        <w:t xml:space="preserve">IN WITNESS WHEREOF, the undersigned has caused this Acknowledgment and Agreement of Guarantor to be duly executed as of November </w:t>
      </w:r>
      <w:r>
        <w:rPr>
          <w:rFonts w:ascii="Arial" w:cs="Arial" w:eastAsia="Arial" w:hAnsi="Arial"/>
          <w:sz w:val="21"/>
          <w:szCs w:val="21"/>
          <w:color w:val="auto"/>
        </w:rPr>
        <w:t>18</w:t>
      </w:r>
      <w:r>
        <w:rPr>
          <w:rFonts w:ascii="Arial" w:cs="Arial" w:eastAsia="Arial" w:hAnsi="Arial"/>
          <w:sz w:val="20"/>
          <w:szCs w:val="20"/>
          <w:color w:val="auto"/>
        </w:rPr>
        <w:t>, 2020.</w:t>
      </w:r>
    </w:p>
    <w:p>
      <w:pPr>
        <w:sectPr>
          <w:pgSz w:w="11900" w:h="16838" w:orient="portrait"/>
          <w:cols w:equalWidth="0" w:num="1">
            <w:col w:w="11240"/>
          </w:cols>
          <w:pgMar w:left="320" w:top="1413"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9">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579"/>
        <w:spacing w:after="0"/>
        <w:rPr>
          <w:sz w:val="20"/>
          <w:szCs w:val="20"/>
          <w:color w:val="auto"/>
        </w:rPr>
      </w:pPr>
      <w:r>
        <w:rPr>
          <w:rFonts w:ascii="Arial" w:cs="Arial" w:eastAsia="Arial" w:hAnsi="Arial"/>
          <w:sz w:val="14"/>
          <w:szCs w:val="14"/>
          <w:i w:val="1"/>
          <w:iCs w:val="1"/>
          <w:color w:val="auto"/>
        </w:rPr>
        <w:t>[Signature Page to Acknowledgment and Agreement of Guarantor]</w:t>
      </w:r>
    </w:p>
    <w:p>
      <w:pPr>
        <w:sectPr>
          <w:pgSz w:w="11900" w:h="16838" w:orient="portrait"/>
          <w:cols w:equalWidth="0" w:num="1">
            <w:col w:w="10139"/>
          </w:cols>
          <w:pgMar w:left="320" w:top="1413"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u w:val="single" w:color="auto"/>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SEVENTH AMENDMENT TO LEASE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SEVENTH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November 18, 2020,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and, solely for the purposes of the penultimate paragraph of Section 1.1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penultimate paragraph of Section 1.1 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and to the extent amended by that certain Amended and Restated Omnibus Amendment to Leases, dated as of October 27,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(i) Bally’s Park Place LLC (“</w:t>
      </w:r>
      <w:r>
        <w:rPr>
          <w:rFonts w:ascii="Arial" w:cs="Arial" w:eastAsia="Arial" w:hAnsi="Arial"/>
          <w:sz w:val="21"/>
          <w:szCs w:val="21"/>
          <w:u w:val="single" w:color="auto"/>
          <w:color w:val="auto"/>
        </w:rPr>
        <w:t>Operator</w:t>
      </w:r>
      <w:r>
        <w:rPr>
          <w:rFonts w:ascii="Arial" w:cs="Arial" w:eastAsia="Arial" w:hAnsi="Arial"/>
          <w:sz w:val="21"/>
          <w:szCs w:val="21"/>
          <w:color w:val="auto"/>
        </w:rPr>
        <w:t>”), as operator, Bally’s Atlantic City LLC, as</w:t>
      </w:r>
      <w:r>
        <w:rPr>
          <w:rFonts w:ascii="Arial" w:cs="Arial" w:eastAsia="Arial" w:hAnsi="Arial"/>
          <w:sz w:val="21"/>
          <w:szCs w:val="21"/>
          <w:b w:val="1"/>
          <w:bCs w:val="1"/>
          <w:color w:val="auto"/>
        </w:rPr>
        <w:t xml:space="preserve"> </w:t>
      </w:r>
      <w:r>
        <w:rPr>
          <w:rFonts w:ascii="Arial" w:cs="Arial" w:eastAsia="Arial" w:hAnsi="Arial"/>
          <w:sz w:val="21"/>
          <w:szCs w:val="21"/>
          <w:color w:val="auto"/>
        </w:rPr>
        <w:t>seller, and Premier Entertainment AC, LLC (as successor by assignment to Twin River Management Group, Inc.) (“</w:t>
      </w:r>
      <w:r>
        <w:rPr>
          <w:rFonts w:ascii="Arial" w:cs="Arial" w:eastAsia="Arial" w:hAnsi="Arial"/>
          <w:sz w:val="21"/>
          <w:szCs w:val="21"/>
          <w:u w:val="single" w:color="auto"/>
          <w:color w:val="auto"/>
        </w:rPr>
        <w:t>Purchaser</w:t>
      </w:r>
      <w:r>
        <w:rPr>
          <w:rFonts w:ascii="Arial" w:cs="Arial" w:eastAsia="Arial" w:hAnsi="Arial"/>
          <w:sz w:val="21"/>
          <w:szCs w:val="21"/>
          <w:color w:val="auto"/>
        </w:rPr>
        <w:t>”), as purchaser, are closing a purchase and sale transaction under that certain Agreement of Sale, dated as of April 24, 2020, with respect to certain real property and (ii) Operator and Purchaser are closing a purchase and sale transaction under that certain Asset Purchase Agreement, dated as of April 24, 2020, with respect to certain casino and related operations and assets, in each case under clauses (i) and (ii), associated with the gaming and entertainment facility known as Bally’s Atlantic City (the “</w:t>
      </w:r>
      <w:r>
        <w:rPr>
          <w:rFonts w:ascii="Arial" w:cs="Arial" w:eastAsia="Arial" w:hAnsi="Arial"/>
          <w:sz w:val="21"/>
          <w:szCs w:val="21"/>
          <w:u w:val="single" w:color="auto"/>
          <w:color w:val="auto"/>
        </w:rPr>
        <w:t>Existing BAC Facility</w:t>
      </w:r>
      <w:r>
        <w:rPr>
          <w:rFonts w:ascii="Arial" w:cs="Arial" w:eastAsia="Arial" w:hAnsi="Arial"/>
          <w:sz w:val="21"/>
          <w:szCs w:val="21"/>
          <w:color w:val="auto"/>
        </w:rPr>
        <w:t>”), located in Atlantic City, New Jersey (the “</w:t>
      </w:r>
      <w:r>
        <w:rPr>
          <w:rFonts w:ascii="Arial" w:cs="Arial" w:eastAsia="Arial" w:hAnsi="Arial"/>
          <w:sz w:val="21"/>
          <w:szCs w:val="21"/>
          <w:u w:val="single" w:color="auto"/>
          <w:color w:val="auto"/>
        </w:rPr>
        <w:t>Bally’s Transaction</w:t>
      </w:r>
      <w:r>
        <w:rPr>
          <w:rFonts w:ascii="Arial" w:cs="Arial" w:eastAsia="Arial" w:hAnsi="Arial"/>
          <w:sz w:val="21"/>
          <w:szCs w:val="21"/>
          <w:color w:val="auto"/>
        </w:rPr>
        <w:t>”), which Existing BAC Facility is (prior to the effectiveness of this Amendment) subject to the Lease; and</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the Landlord and Tenant have effectuated a subdivision of a portion of the real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associated with the Existing BAC Facility, such that the portion thereof commonly known as the Wild Wild West Casino, Sports Book and Bar as more specifically described on </w:t>
      </w:r>
      <w:r>
        <w:rPr>
          <w:rFonts w:ascii="Arial" w:cs="Arial" w:eastAsia="Arial" w:hAnsi="Arial"/>
          <w:sz w:val="22"/>
          <w:szCs w:val="22"/>
          <w:u w:val="single" w:color="auto"/>
          <w:color w:val="auto"/>
        </w:rPr>
        <w:t>Annex B-1</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Wild Wild West Parcel</w:t>
      </w:r>
      <w:r>
        <w:rPr>
          <w:rFonts w:ascii="Arial" w:cs="Arial" w:eastAsia="Arial" w:hAnsi="Arial"/>
          <w:sz w:val="22"/>
          <w:szCs w:val="22"/>
          <w:color w:val="auto"/>
        </w:rPr>
        <w:t>”) shall comprise a separate legal parcel; and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 the Wild Wild West Parcel, (ii) the parcel known as Block 488, Lot 23, as more specifically described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Annex B-2</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Block 488 Parcel</w:t>
      </w:r>
      <w:r>
        <w:rPr>
          <w:rFonts w:ascii="Arial" w:cs="Arial" w:eastAsia="Arial" w:hAnsi="Arial"/>
          <w:sz w:val="22"/>
          <w:szCs w:val="22"/>
          <w:color w:val="auto"/>
        </w:rPr>
        <w:t>”), and (iii)</w:t>
      </w:r>
    </w:p>
    <w:p>
      <w:pPr>
        <w:sectPr>
          <w:pgSz w:w="11900" w:h="16838" w:orient="portrait"/>
          <w:cols w:equalWidth="0" w:num="1">
            <w:col w:w="11240"/>
          </w:cols>
          <w:pgMar w:left="320" w:top="125" w:right="339" w:bottom="1440" w:gutter="0" w:footer="0" w:header="0"/>
        </w:sectPr>
      </w:pPr>
    </w:p>
    <w:bookmarkStart w:id="147" w:name="page148"/>
    <w:bookmarkEnd w:id="147"/>
    <w:p>
      <w:pPr>
        <w:jc w:val="both"/>
        <w:ind w:right="20"/>
        <w:spacing w:after="0" w:line="263" w:lineRule="auto"/>
        <w:rPr>
          <w:sz w:val="20"/>
          <w:szCs w:val="20"/>
          <w:color w:val="auto"/>
        </w:rPr>
      </w:pPr>
      <w:r>
        <w:rPr>
          <w:rFonts w:ascii="Arial" w:cs="Arial" w:eastAsia="Arial" w:hAnsi="Arial"/>
          <w:sz w:val="22"/>
          <w:szCs w:val="22"/>
          <w:color w:val="auto"/>
        </w:rPr>
        <w:t>the operations and related assets associated therewith (collectively, the “</w:t>
      </w:r>
      <w:r>
        <w:rPr>
          <w:rFonts w:ascii="Arial" w:cs="Arial" w:eastAsia="Arial" w:hAnsi="Arial"/>
          <w:sz w:val="22"/>
          <w:szCs w:val="22"/>
          <w:u w:val="single" w:color="auto"/>
          <w:color w:val="auto"/>
        </w:rPr>
        <w:t>Retained Facility</w:t>
      </w:r>
      <w:r>
        <w:rPr>
          <w:rFonts w:ascii="Arial" w:cs="Arial" w:eastAsia="Arial" w:hAnsi="Arial"/>
          <w:sz w:val="22"/>
          <w:szCs w:val="22"/>
          <w:color w:val="auto"/>
        </w:rPr>
        <w:t>”) are not included in, and are not being sold to Purchaser in connection with, the Bally’s Transaction; and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Bally’s Transaction, the parties hereto desire to amend the Lease as set forth herein.</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right="20" w:firstLine="656"/>
        <w:spacing w:after="0" w:line="269" w:lineRule="auto"/>
        <w:tabs>
          <w:tab w:leader="none" w:pos="1296"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Except as otherwise defined herein, all capitalized terms used herein without definition shall have the meanings applicable to such terms, respectively, as set forth in the Lease.</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of the Lease as to the Bally’s Facility</w:t>
      </w:r>
      <w:r>
        <w:rPr>
          <w:rFonts w:ascii="Arial" w:cs="Arial" w:eastAsia="Arial" w:hAnsi="Arial"/>
          <w:sz w:val="22"/>
          <w:szCs w:val="22"/>
          <w:color w:val="auto"/>
        </w:rPr>
        <w:t>. Effective as of the date hereof:</w:t>
      </w:r>
    </w:p>
    <w:p>
      <w:pPr>
        <w:spacing w:after="0" w:line="206" w:lineRule="exact"/>
        <w:rPr>
          <w:rFonts w:ascii="Arial" w:cs="Arial" w:eastAsia="Arial" w:hAnsi="Arial"/>
          <w:sz w:val="22"/>
          <w:szCs w:val="22"/>
          <w:b w:val="1"/>
          <w:bCs w:val="1"/>
          <w:color w:val="auto"/>
        </w:rPr>
      </w:pPr>
    </w:p>
    <w:p>
      <w:pPr>
        <w:jc w:val="both"/>
        <w:ind w:left="1300" w:right="40" w:hanging="320"/>
        <w:spacing w:after="0" w:line="282" w:lineRule="auto"/>
        <w:tabs>
          <w:tab w:leader="none" w:pos="1288" w:val="left"/>
        </w:tabs>
        <w:numPr>
          <w:ilvl w:val="2"/>
          <w:numId w:val="72"/>
        </w:numPr>
        <w:rPr>
          <w:rFonts w:ascii="Arial" w:cs="Arial" w:eastAsia="Arial" w:hAnsi="Arial"/>
          <w:sz w:val="19"/>
          <w:szCs w:val="19"/>
          <w:color w:val="auto"/>
        </w:rPr>
      </w:pPr>
      <w:r>
        <w:rPr>
          <w:rFonts w:ascii="Arial" w:cs="Arial" w:eastAsia="Arial" w:hAnsi="Arial"/>
          <w:sz w:val="19"/>
          <w:szCs w:val="19"/>
          <w:color w:val="auto"/>
        </w:rPr>
        <w:t>the Lease is hereby terminated with respect to the Bally’s Leased Property (as defined below), the Bally’s Leased Property no longer constitutes Leased Property under the Lease, and neither Landlord nor Tenant has any further liabilities or obligations, from and after the date of this Amendment, in respect of the Bally’s Facility (as defined below) and the Bally’s Leased Property (provided that any such liabilities or obligations arising prior to such date shall not be terminated, limited or affected by or upon entry into this Amendment), and</w:t>
      </w:r>
    </w:p>
    <w:p>
      <w:pPr>
        <w:spacing w:after="0" w:line="147" w:lineRule="exact"/>
        <w:rPr>
          <w:rFonts w:ascii="Arial" w:cs="Arial" w:eastAsia="Arial" w:hAnsi="Arial"/>
          <w:sz w:val="19"/>
          <w:szCs w:val="19"/>
          <w:color w:val="auto"/>
        </w:rPr>
      </w:pPr>
    </w:p>
    <w:p>
      <w:pPr>
        <w:jc w:val="both"/>
        <w:ind w:left="1300" w:right="40" w:hanging="320"/>
        <w:spacing w:after="0" w:line="287" w:lineRule="auto"/>
        <w:tabs>
          <w:tab w:leader="none" w:pos="1300" w:val="left"/>
        </w:tabs>
        <w:numPr>
          <w:ilvl w:val="2"/>
          <w:numId w:val="72"/>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Bally’s Facility or the Bally’s Leased Property to the extent arising from and after the date of this Amendment (provided that any such Obligations arising prior to such date shall not be terminated, limited or affected by or upon entry into this Amendment).</w:t>
      </w:r>
    </w:p>
    <w:p>
      <w:pPr>
        <w:spacing w:after="0" w:line="142" w:lineRule="exact"/>
        <w:rPr>
          <w:rFonts w:ascii="Arial" w:cs="Arial" w:eastAsia="Arial" w:hAnsi="Arial"/>
          <w:sz w:val="19"/>
          <w:szCs w:val="19"/>
          <w:color w:val="auto"/>
        </w:rPr>
      </w:pPr>
    </w:p>
    <w:p>
      <w:pPr>
        <w:jc w:val="both"/>
        <w:ind w:left="1300" w:right="40" w:hanging="320"/>
        <w:spacing w:after="0" w:line="274" w:lineRule="auto"/>
        <w:tabs>
          <w:tab w:leader="none" w:pos="1288" w:val="left"/>
        </w:tabs>
        <w:numPr>
          <w:ilvl w:val="2"/>
          <w:numId w:val="72"/>
        </w:numPr>
        <w:rPr>
          <w:rFonts w:ascii="Arial" w:cs="Arial" w:eastAsia="Arial" w:hAnsi="Arial"/>
          <w:sz w:val="19"/>
          <w:szCs w:val="19"/>
          <w:color w:val="auto"/>
        </w:rPr>
      </w:pPr>
      <w:r>
        <w:rPr>
          <w:rFonts w:ascii="Arial" w:cs="Arial" w:eastAsia="Arial" w:hAnsi="Arial"/>
          <w:sz w:val="19"/>
          <w:szCs w:val="19"/>
          <w:color w:val="auto"/>
        </w:rPr>
        <w:t>For the avoidance of doubt, the Lease shall continue in full force and effect with respect to (i) the balance of (x) the Facilities (other than the Bally’s Facility) and (y) the Leased Property (other than the Bally’s Leased Property), and (ii) the Retained Facility and Retained Leased Property (as defined below). The term “</w:t>
      </w:r>
      <w:r>
        <w:rPr>
          <w:rFonts w:ascii="Arial" w:cs="Arial" w:eastAsia="Arial" w:hAnsi="Arial"/>
          <w:sz w:val="19"/>
          <w:szCs w:val="19"/>
          <w:u w:val="single" w:color="auto"/>
          <w:color w:val="auto"/>
        </w:rPr>
        <w:t>Bally’s Facility</w:t>
      </w:r>
      <w:r>
        <w:rPr>
          <w:rFonts w:ascii="Arial" w:cs="Arial" w:eastAsia="Arial" w:hAnsi="Arial"/>
          <w:sz w:val="19"/>
          <w:szCs w:val="19"/>
          <w:color w:val="auto"/>
        </w:rPr>
        <w:t xml:space="preserve">” shall refer to the applicable Facility identified as Facility 13 on the list of the Facilities annexed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Lease (prior to giving effect to the replacement of said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pursuant to Section 2.N.i. of this Amendment), other than the portion thereof pertaining to the Retained Facility. The term “</w:t>
      </w:r>
      <w:r>
        <w:rPr>
          <w:rFonts w:ascii="Arial" w:cs="Arial" w:eastAsia="Arial" w:hAnsi="Arial"/>
          <w:sz w:val="19"/>
          <w:szCs w:val="19"/>
          <w:u w:val="single" w:color="auto"/>
          <w:color w:val="auto"/>
        </w:rPr>
        <w:t>Bally’s Leased Property</w:t>
      </w:r>
      <w:r>
        <w:rPr>
          <w:rFonts w:ascii="Arial" w:cs="Arial" w:eastAsia="Arial" w:hAnsi="Arial"/>
          <w:sz w:val="19"/>
          <w:szCs w:val="19"/>
          <w:color w:val="auto"/>
        </w:rPr>
        <w:t xml:space="preserve">” shall refer to the Leased Property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and any other Leased Property pertaining to the Bally’s Facility (excluding, for the avoidance of doubt, the Retained Leased Property). The term “</w:t>
      </w:r>
      <w:r>
        <w:rPr>
          <w:rFonts w:ascii="Arial" w:cs="Arial" w:eastAsia="Arial" w:hAnsi="Arial"/>
          <w:sz w:val="19"/>
          <w:szCs w:val="19"/>
          <w:u w:val="single" w:color="auto"/>
          <w:color w:val="auto"/>
        </w:rPr>
        <w:t>Retained Facility</w:t>
      </w:r>
      <w:r>
        <w:rPr>
          <w:rFonts w:ascii="Arial" w:cs="Arial" w:eastAsia="Arial" w:hAnsi="Arial"/>
          <w:sz w:val="19"/>
          <w:szCs w:val="19"/>
          <w:color w:val="auto"/>
        </w:rPr>
        <w:t>” shall have the meaning given such term in the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148" w:name="page149"/>
    <w:bookmarkEnd w:id="148"/>
    <w:p>
      <w:pPr>
        <w:ind w:left="968"/>
        <w:spacing w:after="0" w:line="250"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Retained Leased Property</w:t>
      </w:r>
      <w:r>
        <w:rPr>
          <w:rFonts w:ascii="Arial" w:cs="Arial" w:eastAsia="Arial" w:hAnsi="Arial"/>
          <w:sz w:val="22"/>
          <w:szCs w:val="22"/>
          <w:color w:val="auto"/>
        </w:rPr>
        <w:t>” shall refer to the Wild Wild West Parcel, the Block 488 Parcel and any other Leased Property pertaining to the Retained Facility.</w:t>
      </w:r>
    </w:p>
    <w:p>
      <w:pPr>
        <w:spacing w:after="0" w:line="175" w:lineRule="exact"/>
        <w:rPr>
          <w:sz w:val="20"/>
          <w:szCs w:val="20"/>
          <w:color w:val="auto"/>
        </w:rPr>
      </w:pPr>
    </w:p>
    <w:p>
      <w:pPr>
        <w:jc w:val="both"/>
        <w:ind w:left="328" w:hanging="328"/>
        <w:spacing w:after="0" w:line="246" w:lineRule="auto"/>
        <w:tabs>
          <w:tab w:leader="none" w:pos="324"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Wild Wild West</w:t>
      </w:r>
      <w:r>
        <w:rPr>
          <w:rFonts w:ascii="Arial" w:cs="Arial" w:eastAsia="Arial" w:hAnsi="Arial"/>
          <w:sz w:val="21"/>
          <w:szCs w:val="21"/>
          <w:color w:val="auto"/>
        </w:rPr>
        <w:t>. Boardwalk Regency LLC has obtained all Gaming Licenses necessary to continue the operations of the Wild Wild West Parcel under Boardwalk Regency LLC’s Gaming Licenses for the Facility known as Caesars Atlantic City, and all operations and related assets associated with the Retained Facility have been conveyed to Boardwalk Regency LLC. The Wild Wild West Parcel will be operated by Boardwalk Regency LLC as part of the Facility known as Caesars Atlantic City, which will include, but not be limited to, the Wild Wild West Parcel being operated under the Caesars Atlantic City Gaming License, provided, for the avoidance of doubt, the foregoing shall not require Caesars Atlantic City to constitute a Continuous Operation Facility.</w:t>
      </w:r>
    </w:p>
    <w:p>
      <w:pPr>
        <w:spacing w:after="0" w:line="184" w:lineRule="exact"/>
        <w:rPr>
          <w:rFonts w:ascii="Arial" w:cs="Arial" w:eastAsia="Arial" w:hAnsi="Arial"/>
          <w:sz w:val="21"/>
          <w:szCs w:val="21"/>
          <w:color w:val="auto"/>
        </w:rPr>
      </w:pPr>
    </w:p>
    <w:p>
      <w:pPr>
        <w:ind w:left="328" w:hanging="328"/>
        <w:spacing w:after="0" w:line="328" w:lineRule="auto"/>
        <w:tabs>
          <w:tab w:leader="none" w:pos="32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Rent</w:t>
      </w:r>
      <w:r>
        <w:rPr>
          <w:rFonts w:ascii="Arial" w:cs="Arial" w:eastAsia="Arial" w:hAnsi="Arial"/>
          <w:sz w:val="19"/>
          <w:szCs w:val="19"/>
          <w:color w:val="auto"/>
        </w:rPr>
        <w:t>. Landlord and Tenant hereby expressly acknowledge and agree that there shall be no reduction in the Rent under the Lease as a result of the removal of the Bally’s Facility from the Lease or otherwise as a result of the Bally’s Transaction.</w:t>
      </w:r>
    </w:p>
    <w:p>
      <w:pPr>
        <w:spacing w:after="0" w:line="104" w:lineRule="exact"/>
        <w:rPr>
          <w:rFonts w:ascii="Arial" w:cs="Arial" w:eastAsia="Arial" w:hAnsi="Arial"/>
          <w:sz w:val="19"/>
          <w:szCs w:val="19"/>
          <w:color w:val="auto"/>
        </w:rPr>
      </w:pPr>
    </w:p>
    <w:p>
      <w:pPr>
        <w:ind w:left="308" w:hanging="308"/>
        <w:spacing w:after="0"/>
        <w:tabs>
          <w:tab w:leader="none" w:pos="30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48" w:hanging="324"/>
        <w:spacing w:after="0"/>
        <w:tabs>
          <w:tab w:leader="none" w:pos="648" w:val="left"/>
        </w:tabs>
        <w:numPr>
          <w:ilvl w:val="1"/>
          <w:numId w:val="73"/>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Bally’s Facility.</w:t>
      </w:r>
    </w:p>
    <w:p>
      <w:pPr>
        <w:spacing w:after="0" w:line="186" w:lineRule="exact"/>
        <w:rPr>
          <w:rFonts w:ascii="Arial" w:cs="Arial" w:eastAsia="Arial" w:hAnsi="Arial"/>
          <w:sz w:val="22"/>
          <w:szCs w:val="22"/>
          <w:color w:val="auto"/>
        </w:rPr>
      </w:pPr>
    </w:p>
    <w:p>
      <w:pPr>
        <w:ind w:left="648" w:hanging="324"/>
        <w:spacing w:after="0" w:line="250" w:lineRule="auto"/>
        <w:tabs>
          <w:tab w:leader="none" w:pos="648"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spacing w:after="0" w:line="175" w:lineRule="exact"/>
        <w:rPr>
          <w:sz w:val="20"/>
          <w:szCs w:val="20"/>
          <w:color w:val="auto"/>
        </w:rPr>
      </w:pPr>
    </w:p>
    <w:p>
      <w:pPr>
        <w:jc w:val="both"/>
        <w:ind w:left="15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Net Revenue Amount</w:t>
      </w:r>
      <w:r>
        <w:rPr>
          <w:rFonts w:ascii="Arial" w:cs="Arial" w:eastAsia="Arial" w:hAnsi="Arial"/>
          <w:sz w:val="19"/>
          <w:szCs w:val="19"/>
          <w:color w:val="auto"/>
        </w:rPr>
        <w:t>’: An amount equal to the arithmetic average of the following: (i) Three Billion Three Hundred Ninety-One Million Five Hundred Fifty-Nine Thousand Twenty and No/100 Dollars ($3,391,559,020.00), which amount Landlord and Tenant agree represents Net Revenue for the Fiscal Period immediately preceding the first (1st) Lease Year (i.e., the Fiscal Period ending September 30, 2017),</w:t>
      </w:r>
    </w:p>
    <w:p>
      <w:pPr>
        <w:spacing w:after="0" w:line="3" w:lineRule="exact"/>
        <w:rPr>
          <w:sz w:val="20"/>
          <w:szCs w:val="20"/>
          <w:color w:val="auto"/>
        </w:rPr>
      </w:pPr>
    </w:p>
    <w:p>
      <w:pPr>
        <w:jc w:val="both"/>
        <w:ind w:left="1548" w:hanging="9"/>
        <w:spacing w:after="0" w:line="272" w:lineRule="auto"/>
        <w:tabs>
          <w:tab w:leader="none" w:pos="1887"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Three Billion Four Hundred One Million Three Hundred Ninety-Three Thousand Two Hundred Four and No/100 Dollars ($3,401,393,204.00), which amount Landlord and Tenant agree represents the Net Revenue for the Fiscal Period immediately preceding the end of the first (1st) Lease Year (i.e., the Fiscal Period ending September 30, 2018) and (iii) Three Billion Two Hundred Sixty-Four Million Four Hundred Thirty-Two Thousand Four Hundred Twenty and No/100 Dollars ($3,264,432,420.00),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68"/>
          </w:cols>
          <w:pgMar w:left="652" w:top="1414" w:right="379" w:bottom="1440" w:gutter="0" w:footer="0" w:header="0"/>
        </w:sectPr>
      </w:pPr>
    </w:p>
    <w:bookmarkStart w:id="149" w:name="page150"/>
    <w:bookmarkEnd w:id="149"/>
    <w:p>
      <w:pPr>
        <w:jc w:val="both"/>
        <w:ind w:left="328" w:right="40" w:hanging="328"/>
        <w:spacing w:after="0" w:line="252" w:lineRule="auto"/>
        <w:tabs>
          <w:tab w:leader="none" w:pos="325"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Annual Minimum Cap Ex Amount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“Annual Minimum Cap Ex Amount” is hereby revised and modified to replace the reference therein to “One Hundred Nineteen Million Three Hundred Thousand and No/100 Dollars ($119,300,000.00)” with a reference to “One Hundred Fourteen Million Five Hundred Thousand and No/100 Dollars ($114,500,000.00)”.</w:t>
      </w:r>
    </w:p>
    <w:p>
      <w:pPr>
        <w:spacing w:after="0" w:line="173" w:lineRule="exact"/>
        <w:rPr>
          <w:rFonts w:ascii="Arial" w:cs="Arial" w:eastAsia="Arial" w:hAnsi="Arial"/>
          <w:sz w:val="21"/>
          <w:szCs w:val="21"/>
          <w:color w:val="auto"/>
        </w:rPr>
      </w:pPr>
    </w:p>
    <w:p>
      <w:pPr>
        <w:jc w:val="both"/>
        <w:ind w:left="328" w:right="40" w:hanging="328"/>
        <w:spacing w:after="0" w:line="235" w:lineRule="auto"/>
        <w:tabs>
          <w:tab w:leader="none" w:pos="309"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The Annual Minimum Per-Lease B&amp;I Cap Ex Requirement shall be unchanged by this Amendment. Further, Landlord and Tenant hereby acknowledge, for the avoidance of doubt, that the Net Revenue attributable to the Bally’s Facility during the period the Bally’s Facility was included in the Lease (i.e., during the period from the Commencement Date until the date of this Amendment) shall be included for purposes of calculating the Capital Expenditures required under Section 10.5(a)(ii) of the Lease (i.e., the Annual Minimum Per-Lease B&amp;I Cap Ex Requirement).</w:t>
      </w:r>
    </w:p>
    <w:p>
      <w:pPr>
        <w:spacing w:after="0" w:line="187" w:lineRule="exact"/>
        <w:rPr>
          <w:rFonts w:ascii="Arial" w:cs="Arial" w:eastAsia="Arial" w:hAnsi="Arial"/>
          <w:sz w:val="22"/>
          <w:szCs w:val="22"/>
          <w:color w:val="auto"/>
        </w:rPr>
      </w:pPr>
    </w:p>
    <w:p>
      <w:pPr>
        <w:jc w:val="both"/>
        <w:ind w:left="328" w:right="40" w:hanging="328"/>
        <w:spacing w:after="0" w:line="252" w:lineRule="auto"/>
        <w:tabs>
          <w:tab w:leader="none" w:pos="322"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Triennial Allocated Minimum Cap Ex Amount B Floor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Allocated Minimum Cap Ex Amount B Floor” is hereby revised and modified to replace the reference therein to “Three Hundred Twenty-Seven Million Eight Hundred Thousand and No/100 Dollars ($327,800,000.00)” with a reference to “Three Hundred Eleven Million and No/100 Dollars ($311,000,000.00)”.</w:t>
      </w:r>
    </w:p>
    <w:p>
      <w:pPr>
        <w:spacing w:after="0" w:line="187" w:lineRule="exact"/>
        <w:rPr>
          <w:rFonts w:ascii="Arial" w:cs="Arial" w:eastAsia="Arial" w:hAnsi="Arial"/>
          <w:sz w:val="21"/>
          <w:szCs w:val="21"/>
          <w:color w:val="auto"/>
        </w:rPr>
      </w:pPr>
    </w:p>
    <w:p>
      <w:pPr>
        <w:jc w:val="both"/>
        <w:ind w:left="328" w:hanging="328"/>
        <w:spacing w:after="0" w:line="265" w:lineRule="auto"/>
        <w:tabs>
          <w:tab w:leader="none" w:pos="322"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Ninety Million Three Hundred Thousand and No/100 Dollars ($590,300,000.00)” with a reference to “Five Hundred Sixty-Six Million Seven Hundred Thousand and No/100 Dollars ($566,700,000.00)”.</w:t>
      </w:r>
    </w:p>
    <w:p>
      <w:pPr>
        <w:spacing w:after="0" w:line="175" w:lineRule="exact"/>
        <w:rPr>
          <w:rFonts w:ascii="Arial" w:cs="Arial" w:eastAsia="Arial" w:hAnsi="Arial"/>
          <w:sz w:val="21"/>
          <w:szCs w:val="21"/>
          <w:color w:val="auto"/>
        </w:rPr>
      </w:pPr>
    </w:p>
    <w:p>
      <w:pPr>
        <w:jc w:val="both"/>
        <w:ind w:left="328" w:hanging="328"/>
        <w:spacing w:after="0" w:line="250" w:lineRule="auto"/>
        <w:tabs>
          <w:tab w:leader="none" w:pos="319"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B” is hereby revised and modified to replace the reference therein to “Four Hundred Twenty-One Million Nine Hundred Thousand and No/100 Dollars ($421,900,000.00)” with a reference to “Four Hundred Five Million Two Hundred Thousand and No/100 Dollars ($405,200,000.00)”.</w:t>
      </w:r>
    </w:p>
    <w:p>
      <w:pPr>
        <w:spacing w:after="0" w:line="174" w:lineRule="exact"/>
        <w:rPr>
          <w:rFonts w:ascii="Arial" w:cs="Arial" w:eastAsia="Arial" w:hAnsi="Arial"/>
          <w:sz w:val="22"/>
          <w:szCs w:val="22"/>
          <w:color w:val="auto"/>
        </w:rPr>
      </w:pPr>
    </w:p>
    <w:p>
      <w:pPr>
        <w:ind w:left="308" w:hanging="308"/>
        <w:spacing w:after="0"/>
        <w:tabs>
          <w:tab w:leader="none" w:pos="30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right="40" w:hanging="320"/>
        <w:spacing w:after="0" w:line="248" w:lineRule="auto"/>
        <w:tabs>
          <w:tab w:leader="none" w:pos="968" w:val="left"/>
        </w:tabs>
        <w:numPr>
          <w:ilvl w:val="1"/>
          <w:numId w:val="75"/>
        </w:numPr>
        <w:rPr>
          <w:rFonts w:ascii="Arial" w:cs="Arial" w:eastAsia="Arial" w:hAnsi="Arial"/>
          <w:sz w:val="21"/>
          <w:szCs w:val="21"/>
          <w:color w:val="auto"/>
        </w:rPr>
      </w:pPr>
      <w:r>
        <w:rPr>
          <w:rFonts w:ascii="Arial" w:cs="Arial" w:eastAsia="Arial" w:hAnsi="Arial"/>
          <w:sz w:val="21"/>
          <w:szCs w:val="21"/>
          <w:color w:val="auto"/>
        </w:rPr>
        <w:t>Section 10.5(a)(v)(b) of the Lease is hereby amended to (a) replace the reference therein to “Five Hundred Ninety Million Three Hundred Thousand and No/100 Dollars ($590,300,000.00)” with a reference to “Five Hundred Sixty-Six Million Seven Hundred Thousand and No/100 Dollars ($566,700,000.00)” and (b) replace the reference therein to “One Hundred Ninety-Six Million Seven Hundred Sixty-Six Thousand Six Hundred Sixty-Six and 67/100 Dollars ($196,766,666.67)” with a reference to “One Hundred Eighty-Eight Million Nine Hundred Thousand and No/100 Dollars ($188,900,000.00)”,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8"/>
          </w:cols>
          <w:pgMar w:left="652" w:top="1414" w:right="339" w:bottom="1440" w:gutter="0" w:footer="0" w:header="0"/>
        </w:sectPr>
      </w:pPr>
    </w:p>
    <w:bookmarkStart w:id="150" w:name="page151"/>
    <w:bookmarkEnd w:id="150"/>
    <w:p>
      <w:pPr>
        <w:jc w:val="both"/>
        <w:ind w:left="968" w:hanging="320"/>
        <w:spacing w:after="0" w:line="248" w:lineRule="auto"/>
        <w:tabs>
          <w:tab w:leader="none" w:pos="968" w:val="left"/>
        </w:tabs>
        <w:numPr>
          <w:ilvl w:val="1"/>
          <w:numId w:val="76"/>
        </w:numPr>
        <w:rPr>
          <w:rFonts w:ascii="Arial" w:cs="Arial" w:eastAsia="Arial" w:hAnsi="Arial"/>
          <w:sz w:val="21"/>
          <w:szCs w:val="21"/>
          <w:color w:val="auto"/>
        </w:rPr>
      </w:pPr>
      <w:r>
        <w:rPr>
          <w:rFonts w:ascii="Arial" w:cs="Arial" w:eastAsia="Arial" w:hAnsi="Arial"/>
          <w:sz w:val="21"/>
          <w:szCs w:val="21"/>
          <w:color w:val="auto"/>
        </w:rPr>
        <w:t>Section 10.5(a)(v)(c)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 and</w:t>
      </w:r>
    </w:p>
    <w:p>
      <w:pPr>
        <w:spacing w:after="0" w:line="176" w:lineRule="exact"/>
        <w:rPr>
          <w:rFonts w:ascii="Arial" w:cs="Arial" w:eastAsia="Arial" w:hAnsi="Arial"/>
          <w:sz w:val="21"/>
          <w:szCs w:val="21"/>
          <w:color w:val="auto"/>
        </w:rPr>
      </w:pPr>
    </w:p>
    <w:p>
      <w:pPr>
        <w:jc w:val="both"/>
        <w:ind w:left="968" w:hanging="320"/>
        <w:spacing w:after="0" w:line="273" w:lineRule="auto"/>
        <w:tabs>
          <w:tab w:leader="none" w:pos="968"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“Five Hundred Ninety Million Three Hundred Thousand and No/100 Dollars ($590,300,000.00)” with a reference to “Five Hundred Sixty-Six Million Seven Hundred Thousand and No/100 Dollars ($566,700,000.00)”, (b) replace the reference therein to “One Hundred Ninety-Six Million Seven Hundred Sixty-Six Thousand Six Hundred Sixty-Six and 67/100 Dollars ($196,766,666.67)” with a reference to “One Hundred Eighty-Eight Million Nine Hundred Thousand and No/100 Dollars ($188,900,000.00)”, (c) replace the reference therein to “Four Hundred Twenty-One Million Nine Hundred Thousand and No/100 Dollars ($421,900,000.00)” with a reference to “Four Hundred Five Million Two Hundred Thousand and No/100 Dollars ($405,200,000.00)” and (d) replace the reference therein to “One Hundred Forty Million Six Hundred Thirty-Three Thousand Three Hundred Thirty-Three and 33/100 Dollars ($140,633,333.33)” with a reference to “One Hundred Thirty-Five Million Sixty-Six Thousand Six Hundred Sixty-Six and 67/100 Dollars ($135,066,666.67)”.</w:t>
      </w:r>
    </w:p>
    <w:p>
      <w:pPr>
        <w:spacing w:after="0" w:line="155" w:lineRule="exact"/>
        <w:rPr>
          <w:rFonts w:ascii="Arial" w:cs="Arial" w:eastAsia="Arial" w:hAnsi="Arial"/>
          <w:sz w:val="19"/>
          <w:szCs w:val="19"/>
          <w:color w:val="auto"/>
        </w:rPr>
      </w:pPr>
    </w:p>
    <w:p>
      <w:pPr>
        <w:ind w:left="308" w:hanging="308"/>
        <w:spacing w:after="0"/>
        <w:tabs>
          <w:tab w:leader="none" w:pos="30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Section 22.2(ix) Transfer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hanging="320"/>
        <w:spacing w:after="0"/>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color w:val="auto"/>
        </w:rPr>
        <w:t>Landlord and Tenant hereby acknowledge and agree that the Bally’s Transaction shall be deemed to be, and treated as, a transfer and sale of the entire Leased Property with respect to a Facility pursuant to Section 22.2(ix) of the Lease.</w:t>
      </w:r>
    </w:p>
    <w:p>
      <w:pPr>
        <w:spacing w:after="0" w:line="186" w:lineRule="exact"/>
        <w:rPr>
          <w:rFonts w:ascii="Arial" w:cs="Arial" w:eastAsia="Arial" w:hAnsi="Arial"/>
          <w:sz w:val="22"/>
          <w:szCs w:val="22"/>
          <w:color w:val="auto"/>
        </w:rPr>
      </w:pPr>
    </w:p>
    <w:p>
      <w:pPr>
        <w:jc w:val="both"/>
        <w:ind w:left="968" w:hanging="320"/>
        <w:spacing w:after="0"/>
        <w:tabs>
          <w:tab w:leader="none" w:pos="968" w:val="left"/>
        </w:tabs>
        <w:numPr>
          <w:ilvl w:val="1"/>
          <w:numId w:val="77"/>
        </w:numPr>
        <w:rPr>
          <w:rFonts w:ascii="Arial" w:cs="Arial" w:eastAsia="Arial" w:hAnsi="Arial"/>
          <w:sz w:val="22"/>
          <w:szCs w:val="22"/>
          <w:color w:val="auto"/>
        </w:rPr>
      </w:pPr>
      <w:r>
        <w:rPr>
          <w:rFonts w:ascii="Arial" w:cs="Arial" w:eastAsia="Arial" w:hAnsi="Arial"/>
          <w:sz w:val="22"/>
          <w:szCs w:val="22"/>
          <w:color w:val="auto"/>
        </w:rPr>
        <w:t>All of the applicable requirements and conditions set forth in Section 22.2(ix) of the Lease with respect to such transfer and sale are deemed satisfied or waived by the execution of this Amendment and the consummation of the closing of the Bally’s Transaction.</w:t>
      </w:r>
    </w:p>
    <w:p>
      <w:pPr>
        <w:spacing w:after="0" w:line="186" w:lineRule="exact"/>
        <w:rPr>
          <w:rFonts w:ascii="Arial" w:cs="Arial" w:eastAsia="Arial" w:hAnsi="Arial"/>
          <w:sz w:val="22"/>
          <w:szCs w:val="22"/>
          <w:color w:val="auto"/>
        </w:rPr>
      </w:pPr>
    </w:p>
    <w:p>
      <w:pPr>
        <w:ind w:left="968" w:hanging="320"/>
        <w:spacing w:after="0"/>
        <w:tabs>
          <w:tab w:leader="none" w:pos="968"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The 2018 Facility EBITDAR of Tenant for the Bally’s Facility is as set forth on </w:t>
      </w:r>
      <w:r>
        <w:rPr>
          <w:rFonts w:ascii="Arial" w:cs="Arial" w:eastAsia="Arial" w:hAnsi="Arial"/>
          <w:sz w:val="19"/>
          <w:szCs w:val="19"/>
          <w:u w:val="single" w:color="auto"/>
          <w:color w:val="auto"/>
        </w:rPr>
        <w:t>Schedule C-2</w:t>
      </w:r>
      <w:r>
        <w:rPr>
          <w:rFonts w:ascii="Arial" w:cs="Arial" w:eastAsia="Arial" w:hAnsi="Arial"/>
          <w:sz w:val="19"/>
          <w:szCs w:val="19"/>
          <w:color w:val="auto"/>
        </w:rPr>
        <w:t xml:space="preserve"> annexed hereto.</w:t>
      </w:r>
    </w:p>
    <w:p>
      <w:pPr>
        <w:spacing w:after="0" w:line="240" w:lineRule="exact"/>
        <w:rPr>
          <w:rFonts w:ascii="Arial" w:cs="Arial" w:eastAsia="Arial" w:hAnsi="Arial"/>
          <w:sz w:val="19"/>
          <w:szCs w:val="19"/>
          <w:color w:val="auto"/>
        </w:rPr>
      </w:pPr>
    </w:p>
    <w:p>
      <w:pPr>
        <w:jc w:val="both"/>
        <w:ind w:left="968" w:hanging="320"/>
        <w:spacing w:after="0" w:line="257" w:lineRule="auto"/>
        <w:tabs>
          <w:tab w:leader="none" w:pos="968"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amounts of the 2018 EBITDAR Pool and 2018 EBITDAR Pool Before Fifth Amendment shall not be reduced as a result of the Bally’s Facility no longer being a Facility under the Lease, and the removal of the Bally’s Facility from the Lease shall not constitute a L1 Transfer or a L2 Transfer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68"/>
          </w:cols>
          <w:pgMar w:left="652" w:top="1414" w:right="379" w:bottom="1440" w:gutter="0" w:footer="0" w:header="0"/>
        </w:sectPr>
      </w:pPr>
    </w:p>
    <w:bookmarkStart w:id="151" w:name="page152"/>
    <w:bookmarkEnd w:id="151"/>
    <w:p>
      <w:pPr>
        <w:ind w:left="968" w:hanging="320"/>
        <w:spacing w:after="0" w:line="328" w:lineRule="auto"/>
        <w:tabs>
          <w:tab w:leader="none" w:pos="968" w:val="left"/>
        </w:tabs>
        <w:numPr>
          <w:ilvl w:val="2"/>
          <w:numId w:val="78"/>
        </w:numPr>
        <w:rPr>
          <w:rFonts w:ascii="Arial" w:cs="Arial" w:eastAsia="Arial" w:hAnsi="Arial"/>
          <w:sz w:val="19"/>
          <w:szCs w:val="19"/>
          <w:color w:val="auto"/>
        </w:rPr>
      </w:pPr>
      <w:r>
        <w:rPr>
          <w:rFonts w:ascii="Arial" w:cs="Arial" w:eastAsia="Arial" w:hAnsi="Arial"/>
          <w:sz w:val="19"/>
          <w:szCs w:val="19"/>
          <w:color w:val="auto"/>
        </w:rPr>
        <w:t>The words, number and symbols “four and six-tenths percent (4.6%)” contained in Section 22.2(ix) of the Lease are hereby deleted and replaced with the following: “two and seventy-three hundredths percent (2.73%)”.</w:t>
      </w:r>
    </w:p>
    <w:p>
      <w:pPr>
        <w:spacing w:after="0" w:line="104" w:lineRule="exact"/>
        <w:rPr>
          <w:rFonts w:ascii="Arial" w:cs="Arial" w:eastAsia="Arial" w:hAnsi="Arial"/>
          <w:sz w:val="19"/>
          <w:szCs w:val="19"/>
          <w:color w:val="auto"/>
        </w:rPr>
      </w:pPr>
    </w:p>
    <w:p>
      <w:pPr>
        <w:ind w:left="968" w:hanging="320"/>
        <w:spacing w:after="0" w:line="250" w:lineRule="auto"/>
        <w:tabs>
          <w:tab w:leader="none" w:pos="960" w:val="left"/>
        </w:tabs>
        <w:numPr>
          <w:ilvl w:val="2"/>
          <w:numId w:val="78"/>
        </w:numPr>
        <w:rPr>
          <w:rFonts w:ascii="Arial" w:cs="Arial" w:eastAsia="Arial" w:hAnsi="Arial"/>
          <w:sz w:val="22"/>
          <w:szCs w:val="22"/>
          <w:color w:val="auto"/>
        </w:rPr>
      </w:pPr>
      <w:r>
        <w:rPr>
          <w:rFonts w:ascii="Arial" w:cs="Arial" w:eastAsia="Arial" w:hAnsi="Arial"/>
          <w:sz w:val="22"/>
          <w:szCs w:val="22"/>
          <w:color w:val="auto"/>
        </w:rPr>
        <w:t>For purposes of subsequent calculations of the L1/L2 EBITDAR to Rent Ratio under the Lease, the EBITDAR of Tenant in respect of the Bally’s Facility shall be disregarded.</w:t>
      </w:r>
    </w:p>
    <w:p>
      <w:pPr>
        <w:spacing w:after="0" w:line="174" w:lineRule="exact"/>
        <w:rPr>
          <w:rFonts w:ascii="Arial" w:cs="Arial" w:eastAsia="Arial" w:hAnsi="Arial"/>
          <w:sz w:val="22"/>
          <w:szCs w:val="22"/>
          <w:color w:val="auto"/>
        </w:rPr>
      </w:pPr>
    </w:p>
    <w:p>
      <w:pPr>
        <w:ind w:left="968" w:hanging="320"/>
        <w:spacing w:after="0" w:line="328" w:lineRule="auto"/>
        <w:tabs>
          <w:tab w:leader="none" w:pos="968" w:val="left"/>
        </w:tabs>
        <w:numPr>
          <w:ilvl w:val="2"/>
          <w:numId w:val="78"/>
        </w:numPr>
        <w:rPr>
          <w:rFonts w:ascii="Arial" w:cs="Arial" w:eastAsia="Arial" w:hAnsi="Arial"/>
          <w:sz w:val="19"/>
          <w:szCs w:val="19"/>
          <w:color w:val="auto"/>
        </w:rPr>
      </w:pPr>
      <w:r>
        <w:rPr>
          <w:rFonts w:ascii="Arial" w:cs="Arial" w:eastAsia="Arial" w:hAnsi="Arial"/>
          <w:sz w:val="19"/>
          <w:szCs w:val="19"/>
          <w:color w:val="auto"/>
        </w:rPr>
        <w:t>The treatment of the Bally’s Transaction hereunder is not intended to serve as a precedent for the treatment of future dispositions (if any) which may be effectuated under Section 22.2(ix) of the Lease or otherwise.</w:t>
      </w:r>
    </w:p>
    <w:p>
      <w:pPr>
        <w:spacing w:after="0" w:line="104" w:lineRule="exact"/>
        <w:rPr>
          <w:rFonts w:ascii="Arial" w:cs="Arial" w:eastAsia="Arial" w:hAnsi="Arial"/>
          <w:sz w:val="19"/>
          <w:szCs w:val="19"/>
          <w:color w:val="auto"/>
        </w:rPr>
      </w:pPr>
    </w:p>
    <w:p>
      <w:pPr>
        <w:jc w:val="both"/>
        <w:ind w:left="328" w:hanging="328"/>
        <w:spacing w:after="0" w:line="236" w:lineRule="auto"/>
        <w:tabs>
          <w:tab w:leader="none" w:pos="325"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PACE Reports</w:t>
      </w:r>
      <w:r>
        <w:rPr>
          <w:rFonts w:ascii="Arial" w:cs="Arial" w:eastAsia="Arial" w:hAnsi="Arial"/>
          <w:sz w:val="22"/>
          <w:szCs w:val="22"/>
          <w:color w:val="auto"/>
        </w:rPr>
        <w:t xml:space="preserve">. Clause (C) of Section 23.1(b)(i) of the Lease is hereby amended by replacing “(but only for the SPE Tenants associated with the current Harrah’s Lake Tahoe, Harvey’s Lake Tahoe, Caesars Atlantic City and Bally’s Atlantic City and Schiff Parcel property locations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with “(but only for the SPE Tenants associated with the current Harrah’s Lake Tahoe, Harvey’s Lake Tahoe and Caesars Atlantic City property locations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328" w:hanging="328"/>
        <w:spacing w:after="0" w:line="248" w:lineRule="auto"/>
        <w:tabs>
          <w:tab w:leader="none" w:pos="317"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REA.</w:t>
      </w:r>
      <w:r>
        <w:rPr>
          <w:rFonts w:ascii="Arial" w:cs="Arial" w:eastAsia="Arial" w:hAnsi="Arial"/>
          <w:sz w:val="21"/>
          <w:szCs w:val="21"/>
          <w:color w:val="auto"/>
        </w:rPr>
        <w:t xml:space="preserve"> Purchaser and Bally’s Atlantic City LLC (i.e., the Landlord entity which is the fee owner with respect to the Retained Facility) have, on or about the date hereof, entered into a certain Reciprocal Easement Agreement (the “</w:t>
      </w:r>
      <w:r>
        <w:rPr>
          <w:rFonts w:ascii="Arial" w:cs="Arial" w:eastAsia="Arial" w:hAnsi="Arial"/>
          <w:sz w:val="21"/>
          <w:szCs w:val="21"/>
          <w:u w:val="single" w:color="auto"/>
          <w:color w:val="auto"/>
        </w:rPr>
        <w:t>REA</w:t>
      </w:r>
      <w:r>
        <w:rPr>
          <w:rFonts w:ascii="Arial" w:cs="Arial" w:eastAsia="Arial" w:hAnsi="Arial"/>
          <w:sz w:val="21"/>
          <w:szCs w:val="21"/>
          <w:color w:val="auto"/>
        </w:rPr>
        <w:t>”) affecting portions of the Retained Leased Property and portions of the real property formerly comprising the Bally’s Leased Property, which REA is intended hereafter to be recorded. Tenant has participated together with Landlord in the negotiation of, and hereby consents to, the REA. The REA shall be deemed to be a Property Document and a Permitted Exception Document in each case for all purposes under the Lease.</w:t>
      </w:r>
    </w:p>
    <w:p>
      <w:pPr>
        <w:spacing w:after="0" w:line="176" w:lineRule="exact"/>
        <w:rPr>
          <w:rFonts w:ascii="Arial" w:cs="Arial" w:eastAsia="Arial" w:hAnsi="Arial"/>
          <w:sz w:val="21"/>
          <w:szCs w:val="21"/>
          <w:color w:val="auto"/>
        </w:rPr>
      </w:pPr>
    </w:p>
    <w:p>
      <w:pPr>
        <w:ind w:left="328" w:hanging="328"/>
        <w:spacing w:after="0" w:line="250" w:lineRule="auto"/>
        <w:tabs>
          <w:tab w:leader="none" w:pos="32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4" w:lineRule="exact"/>
        <w:rPr>
          <w:rFonts w:ascii="Arial" w:cs="Arial" w:eastAsia="Arial" w:hAnsi="Arial"/>
          <w:sz w:val="22"/>
          <w:szCs w:val="22"/>
          <w:color w:val="auto"/>
        </w:rPr>
      </w:pPr>
    </w:p>
    <w:p>
      <w:pPr>
        <w:ind w:left="648" w:hanging="324"/>
        <w:spacing w:after="0" w:line="250" w:lineRule="auto"/>
        <w:tabs>
          <w:tab w:leader="none" w:pos="640"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C-1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48" w:hanging="324"/>
        <w:spacing w:after="0" w:line="235" w:lineRule="auto"/>
        <w:tabs>
          <w:tab w:leader="none" w:pos="647"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Legal Description</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 with respect to the Leased Property pertaining to the Existing BAC Facility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the legal descriptions for the Wild Wild West Parcel and the Block 488 Parcel as set forth on </w:t>
      </w:r>
      <w:r>
        <w:rPr>
          <w:rFonts w:ascii="Arial" w:cs="Arial" w:eastAsia="Arial" w:hAnsi="Arial"/>
          <w:sz w:val="22"/>
          <w:szCs w:val="22"/>
          <w:u w:val="single" w:color="auto"/>
          <w:color w:val="auto"/>
        </w:rPr>
        <w:t>Annex B-1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Annex B-2</w:t>
      </w:r>
      <w:r>
        <w:rPr>
          <w:rFonts w:ascii="Arial" w:cs="Arial" w:eastAsia="Arial" w:hAnsi="Arial"/>
          <w:sz w:val="22"/>
          <w:szCs w:val="22"/>
          <w:color w:val="auto"/>
        </w:rPr>
        <w:t xml:space="preserve">, respectively, shall be reinstated in said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included as part of the Leased Property pertaining to the Caesars Atlantic City Facility.</w:t>
      </w:r>
    </w:p>
    <w:p>
      <w:pPr>
        <w:spacing w:after="0" w:line="187" w:lineRule="exact"/>
        <w:rPr>
          <w:rFonts w:ascii="Arial" w:cs="Arial" w:eastAsia="Arial" w:hAnsi="Arial"/>
          <w:sz w:val="22"/>
          <w:szCs w:val="22"/>
          <w:color w:val="auto"/>
        </w:rPr>
      </w:pPr>
    </w:p>
    <w:p>
      <w:pPr>
        <w:ind w:left="648" w:hanging="324"/>
        <w:spacing w:after="0" w:line="250" w:lineRule="auto"/>
        <w:tabs>
          <w:tab w:leader="none" w:pos="639"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xml:space="preserve">. The list of Property Specific IP set forth on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annexed to the Lease is hereby amended such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8"/>
          </w:cols>
          <w:pgMar w:left="652" w:top="1414" w:right="379" w:bottom="1440" w:gutter="0" w:footer="0" w:header="0"/>
        </w:sectPr>
      </w:pPr>
    </w:p>
    <w:bookmarkStart w:id="152" w:name="page153"/>
    <w:bookmarkEnd w:id="152"/>
    <w:p>
      <w:pPr>
        <w:ind w:left="980"/>
        <w:spacing w:after="0"/>
        <w:rPr>
          <w:sz w:val="20"/>
          <w:szCs w:val="20"/>
          <w:color w:val="auto"/>
        </w:rPr>
      </w:pPr>
      <w:r>
        <w:rPr>
          <w:rFonts w:ascii="Arial" w:cs="Arial" w:eastAsia="Arial" w:hAnsi="Arial"/>
          <w:sz w:val="22"/>
          <w:szCs w:val="22"/>
          <w:color w:val="auto"/>
        </w:rPr>
        <w:t xml:space="preserve">(a) the following items of Property Specific IP listed thereon are hereby deleted from said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220" w:type="dxa"/>
            <w:vAlign w:val="bottom"/>
            <w:tcBorders>
              <w:top w:val="single" w:sz="8" w:color="auto"/>
              <w:right w:val="single" w:sz="8" w:color="auto"/>
            </w:tcBorders>
            <w:shd w:val="clear" w:color="auto" w:fill="D9D9D9"/>
          </w:tcPr>
          <w:p>
            <w:pPr>
              <w:spacing w:after="0"/>
              <w:rPr>
                <w:sz w:val="24"/>
                <w:szCs w:val="24"/>
                <w:color w:val="auto"/>
              </w:rPr>
            </w:pPr>
          </w:p>
        </w:tc>
        <w:tc>
          <w:tcPr>
            <w:tcW w:w="102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90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r>
      <w:tr>
        <w:trPr>
          <w:trHeight w:val="285"/>
        </w:trPr>
        <w:tc>
          <w:tcPr>
            <w:tcW w:w="1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color w:val="auto"/>
              </w:rPr>
              <w:t>Mark</w:t>
            </w:r>
          </w:p>
        </w:tc>
        <w:tc>
          <w:tcPr>
            <w:tcW w:w="12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Jurisdiction</w:t>
            </w:r>
          </w:p>
        </w:tc>
        <w:tc>
          <w:tcPr>
            <w:tcW w:w="10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Brand</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Enterprise</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Property</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Date</w:t>
            </w:r>
          </w:p>
        </w:tc>
        <w:tc>
          <w:tcPr>
            <w:tcW w:w="9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6"/>
              </w:rPr>
              <w:t>Reg.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8"/>
              </w:rPr>
              <w:t>Reg. Date</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Status</w:t>
            </w: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Noodle Village</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22733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3/30/2007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22733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3/30/2007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(logo)</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Studio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15289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7/14/1998</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15289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7/14/1998</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 Tooth</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20,499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Gerties</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Mountain Bar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14,809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(and Logo)</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Buck Wild</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87/663083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10/27/2017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5504950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6/26/2018</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Arcade</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Boardwalk</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86/422551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10/13/2014</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4780684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7/28/2015</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Cupcakes (logo)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Coyote Kate's</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76/067657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6/9/2000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2523523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12/25/2001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Slot Parlor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4"/>
              </w:rPr>
              <w:t>Wild, Wild West</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75/106946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5/13/1996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2837537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5/4/2004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Casino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$10,000</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10,296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Pyramid</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80" w:hanging="300"/>
        <w:spacing w:after="0"/>
        <w:tabs>
          <w:tab w:leader="none" w:pos="12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the following items of Property Specific IP are hereby added to said </w:t>
      </w:r>
      <w:r>
        <w:rPr>
          <w:rFonts w:ascii="Arial" w:cs="Arial" w:eastAsia="Arial" w:hAnsi="Arial"/>
          <w:sz w:val="22"/>
          <w:szCs w:val="22"/>
          <w:u w:val="single" w:color="auto"/>
          <w:color w:val="auto"/>
        </w:rPr>
        <w:t>Exhibit 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580"/>
        <w:spacing w:after="0"/>
        <w:rPr>
          <w:rFonts w:ascii="Arial" w:cs="Arial" w:eastAsia="Arial" w:hAnsi="Arial"/>
          <w:sz w:val="22"/>
          <w:szCs w:val="22"/>
          <w:color w:val="auto"/>
        </w:rPr>
      </w:pPr>
      <w:r>
        <w:rPr>
          <w:rFonts w:ascii="Arial" w:cs="Arial" w:eastAsia="Arial" w:hAnsi="Arial"/>
          <w:sz w:val="22"/>
          <w:szCs w:val="22"/>
          <w:color w:val="auto"/>
        </w:rPr>
        <w:t>7</w:t>
      </w:r>
    </w:p>
    <w:p>
      <w:pPr>
        <w:sectPr>
          <w:pgSz w:w="11900" w:h="16838" w:orient="portrait"/>
          <w:cols w:equalWidth="0" w:num="1">
            <w:col w:w="11020"/>
          </w:cols>
          <w:pgMar w:left="320" w:top="1414" w:right="559" w:bottom="1440" w:gutter="0" w:footer="0" w:header="0"/>
        </w:sectPr>
      </w:pPr>
    </w:p>
    <w:bookmarkStart w:id="153" w:name="page154"/>
    <w:bookmarkEnd w:id="15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220" w:type="dxa"/>
            <w:vAlign w:val="bottom"/>
            <w:tcBorders>
              <w:top w:val="single" w:sz="8" w:color="auto"/>
              <w:right w:val="single" w:sz="8" w:color="auto"/>
            </w:tcBorders>
            <w:shd w:val="clear" w:color="auto" w:fill="D9D9D9"/>
          </w:tcPr>
          <w:p>
            <w:pPr>
              <w:spacing w:after="0"/>
              <w:rPr>
                <w:sz w:val="24"/>
                <w:szCs w:val="24"/>
                <w:color w:val="auto"/>
              </w:rPr>
            </w:pPr>
          </w:p>
        </w:tc>
        <w:tc>
          <w:tcPr>
            <w:tcW w:w="102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90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r>
      <w:tr>
        <w:trPr>
          <w:trHeight w:val="285"/>
        </w:trPr>
        <w:tc>
          <w:tcPr>
            <w:tcW w:w="1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color w:val="auto"/>
              </w:rPr>
              <w:t>Mark</w:t>
            </w:r>
          </w:p>
        </w:tc>
        <w:tc>
          <w:tcPr>
            <w:tcW w:w="12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Jurisdiction</w:t>
            </w:r>
          </w:p>
        </w:tc>
        <w:tc>
          <w:tcPr>
            <w:tcW w:w="10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Brand</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Enterprise</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Property</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Date</w:t>
            </w:r>
          </w:p>
        </w:tc>
        <w:tc>
          <w:tcPr>
            <w:tcW w:w="9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6"/>
              </w:rPr>
              <w:t>Reg.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8"/>
              </w:rPr>
              <w:t>Reg. Date</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Status</w:t>
            </w: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 Tooth</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20,499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Gerties</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Mountain Bar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14,809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(and Logo)</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Buck Wild</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87/663083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10/27/2017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5504950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6/26/2018</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Arcade</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Boardwalk</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86/422551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10/13/2014</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4780684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7/28/2015</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Cupcakes (logo)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Coyote Kate's</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76/067657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6/9/2000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2523523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12/25/2001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Slot Parlor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4"/>
              </w:rPr>
              <w:t>Wild, Wild West</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75/106946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5/13/1996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2837537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5/4/2004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Casino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$10,000</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10,296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Pyramid</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980" w:hanging="324"/>
        <w:spacing w:after="0" w:line="252" w:lineRule="auto"/>
        <w:tabs>
          <w:tab w:leader="none" w:pos="958"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Description of Title Policies.</w:t>
      </w:r>
      <w:r>
        <w:rPr>
          <w:rFonts w:ascii="Arial" w:cs="Arial" w:eastAsia="Arial" w:hAnsi="Arial"/>
          <w:sz w:val="21"/>
          <w:szCs w:val="21"/>
          <w:color w:val="auto"/>
        </w:rPr>
        <w:t xml:space="preserve"> The list of Title Policies set forth on </w:t>
      </w:r>
      <w:r>
        <w:rPr>
          <w:rFonts w:ascii="Arial" w:cs="Arial" w:eastAsia="Arial" w:hAnsi="Arial"/>
          <w:sz w:val="21"/>
          <w:szCs w:val="21"/>
          <w:u w:val="single" w:color="auto"/>
          <w:color w:val="auto"/>
        </w:rPr>
        <w:t>Exhibit J</w:t>
      </w:r>
      <w:r>
        <w:rPr>
          <w:rFonts w:ascii="Arial" w:cs="Arial" w:eastAsia="Arial" w:hAnsi="Arial"/>
          <w:sz w:val="21"/>
          <w:szCs w:val="21"/>
          <w:color w:val="auto"/>
        </w:rPr>
        <w:t xml:space="preserve"> annexed to the Lease is hereby amended such that the reference thereon to the Title Policy relating solely to the Existing BAC Facility is hereby amended and shall be deemed to refer only to the portions of such Title Policy (including as to the exceptions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thereto) that pertain to the Wild Wild West Parcel and the Block 488 Parcel.</w:t>
      </w:r>
    </w:p>
    <w:p>
      <w:pPr>
        <w:spacing w:after="0" w:line="173" w:lineRule="exact"/>
        <w:rPr>
          <w:rFonts w:ascii="Arial" w:cs="Arial" w:eastAsia="Arial" w:hAnsi="Arial"/>
          <w:sz w:val="21"/>
          <w:szCs w:val="21"/>
          <w:color w:val="auto"/>
        </w:rPr>
      </w:pPr>
    </w:p>
    <w:p>
      <w:pPr>
        <w:ind w:left="980" w:hanging="324"/>
        <w:spacing w:after="0" w:line="250" w:lineRule="auto"/>
        <w:tabs>
          <w:tab w:leader="none" w:pos="96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Brands</w:t>
      </w:r>
      <w:r>
        <w:rPr>
          <w:rFonts w:ascii="Arial" w:cs="Arial" w:eastAsia="Arial" w:hAnsi="Arial"/>
          <w:sz w:val="22"/>
          <w:szCs w:val="22"/>
          <w:color w:val="auto"/>
        </w:rPr>
        <w:t xml:space="preserve">. The list of Brands set forth on </w:t>
      </w:r>
      <w:r>
        <w:rPr>
          <w:rFonts w:ascii="Arial" w:cs="Arial" w:eastAsia="Arial" w:hAnsi="Arial"/>
          <w:sz w:val="22"/>
          <w:szCs w:val="22"/>
          <w:u w:val="single" w:color="auto"/>
          <w:color w:val="auto"/>
        </w:rPr>
        <w:t>Exhibit M</w:t>
      </w:r>
      <w:r>
        <w:rPr>
          <w:rFonts w:ascii="Arial" w:cs="Arial" w:eastAsia="Arial" w:hAnsi="Arial"/>
          <w:sz w:val="22"/>
          <w:szCs w:val="22"/>
          <w:color w:val="auto"/>
        </w:rPr>
        <w:t xml:space="preserve"> annexed to the Lease is hereby amended such that “Bally’s” is hereby deleted from said </w:t>
      </w:r>
      <w:r>
        <w:rPr>
          <w:rFonts w:ascii="Arial" w:cs="Arial" w:eastAsia="Arial" w:hAnsi="Arial"/>
          <w:sz w:val="22"/>
          <w:szCs w:val="22"/>
          <w:u w:val="single" w:color="auto"/>
          <w:color w:val="auto"/>
        </w:rPr>
        <w:t>Exhibit M</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980" w:hanging="324"/>
        <w:spacing w:after="0" w:line="250" w:lineRule="auto"/>
        <w:tabs>
          <w:tab w:leader="none" w:pos="97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Managed Facilities IP Trademarks</w:t>
      </w:r>
      <w:r>
        <w:rPr>
          <w:rFonts w:ascii="Arial" w:cs="Arial" w:eastAsia="Arial" w:hAnsi="Arial"/>
          <w:sz w:val="22"/>
          <w:szCs w:val="22"/>
          <w:color w:val="auto"/>
        </w:rPr>
        <w:t xml:space="preserve">. The list of Managed Facilities IP set forth on </w:t>
      </w:r>
      <w:r>
        <w:rPr>
          <w:rFonts w:ascii="Arial" w:cs="Arial" w:eastAsia="Arial" w:hAnsi="Arial"/>
          <w:sz w:val="22"/>
          <w:szCs w:val="22"/>
          <w:u w:val="single" w:color="auto"/>
          <w:color w:val="auto"/>
        </w:rPr>
        <w:t>Exhibit P</w:t>
      </w:r>
      <w:r>
        <w:rPr>
          <w:rFonts w:ascii="Arial" w:cs="Arial" w:eastAsia="Arial" w:hAnsi="Arial"/>
          <w:sz w:val="22"/>
          <w:szCs w:val="22"/>
          <w:color w:val="auto"/>
        </w:rPr>
        <w:t xml:space="preserve"> annexed to the Lease is hereby amended such that “Bally’s Atlantic City” is hereby deleted from said </w:t>
      </w:r>
      <w:r>
        <w:rPr>
          <w:rFonts w:ascii="Arial" w:cs="Arial" w:eastAsia="Arial" w:hAnsi="Arial"/>
          <w:sz w:val="22"/>
          <w:szCs w:val="22"/>
          <w:u w:val="single" w:color="auto"/>
          <w:color w:val="auto"/>
        </w:rPr>
        <w:t>Exhibit P</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980" w:hanging="324"/>
        <w:spacing w:after="0"/>
        <w:tabs>
          <w:tab w:leader="none" w:pos="97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Tenant Entities</w:t>
      </w:r>
      <w:r>
        <w:rPr>
          <w:rFonts w:ascii="Arial" w:cs="Arial" w:eastAsia="Arial" w:hAnsi="Arial"/>
          <w:sz w:val="22"/>
          <w:szCs w:val="22"/>
          <w:color w:val="auto"/>
        </w:rPr>
        <w:t xml:space="preserve">. The list of entities comprising Tenant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annexed to the Lease shall be amended such that Bally’s Park Place LLC shall be deleted from said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and Bally’s Park Place LLC shall no longer be a Tenant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40" w:right="379" w:bottom="1440" w:gutter="0" w:footer="0" w:header="0"/>
        </w:sectPr>
      </w:pPr>
    </w:p>
    <w:bookmarkStart w:id="154" w:name="page155"/>
    <w:bookmarkEnd w:id="154"/>
    <w:p>
      <w:pPr>
        <w:jc w:val="both"/>
        <w:ind w:left="980" w:hanging="324"/>
        <w:spacing w:after="0" w:line="248" w:lineRule="auto"/>
        <w:tabs>
          <w:tab w:leader="none" w:pos="1295"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xml:space="preserve">. The list of Gaming Licenses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annexed to the Lease is hereby amended such that (a) the Gaming Licenses bearing Unique IDs 294 and 446 relating to the Bally’s Facility are hereby deleted from said </w:t>
      </w:r>
      <w:r>
        <w:rPr>
          <w:rFonts w:ascii="Arial" w:cs="Arial" w:eastAsia="Arial" w:hAnsi="Arial"/>
          <w:sz w:val="22"/>
          <w:szCs w:val="22"/>
          <w:u w:val="single" w:color="auto"/>
          <w:color w:val="auto"/>
        </w:rPr>
        <w:t>Schedule 1</w:t>
      </w:r>
      <w:r>
        <w:rPr>
          <w:rFonts w:ascii="Arial" w:cs="Arial" w:eastAsia="Arial" w:hAnsi="Arial"/>
          <w:sz w:val="22"/>
          <w:szCs w:val="22"/>
          <w:color w:val="auto"/>
        </w:rPr>
        <w:t>, (b) the Gaming License of Boardwalk Regency LLC bearing Unique ID 447 is amended as set forth below and (c) the following additional Gaming License of Boardwalk Regency LLC (not bearing a Unique ID</w:t>
      </w:r>
      <w:r>
        <w:rPr>
          <w:rFonts w:ascii="Arial" w:cs="Arial" w:eastAsia="Arial" w:hAnsi="Arial"/>
          <w:sz w:val="19"/>
          <w:szCs w:val="19"/>
          <w:color w:val="auto"/>
        </w:rPr>
        <w:t>)</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0" w:type="dxa"/>
            <w:vAlign w:val="bottom"/>
            <w:tcBorders>
              <w:top w:val="single" w:sz="8" w:color="auto"/>
              <w:left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Unique ID</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204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1"/>
              </w:rPr>
              <w:t>Legal Entity Name</w:t>
            </w:r>
          </w:p>
        </w:tc>
        <w:tc>
          <w:tcPr>
            <w:tcW w:w="150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5"/>
              </w:rPr>
              <w:t>License</w:t>
            </w:r>
          </w:p>
        </w:tc>
        <w:tc>
          <w:tcPr>
            <w:tcW w:w="152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6"/>
              </w:rPr>
              <w:t>Type of License</w:t>
            </w:r>
          </w:p>
        </w:tc>
        <w:tc>
          <w:tcPr>
            <w:tcW w:w="172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6"/>
              </w:rPr>
              <w:t>Issuing Agency</w:t>
            </w:r>
          </w:p>
        </w:tc>
        <w:tc>
          <w:tcPr>
            <w:tcW w:w="108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5"/>
              </w:rPr>
              <w:t>State</w:t>
            </w:r>
          </w:p>
        </w:tc>
        <w:tc>
          <w:tcPr>
            <w:tcW w:w="168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7"/>
              </w:rPr>
              <w:t>Description of</w:t>
            </w:r>
          </w:p>
        </w:tc>
        <w:tc>
          <w:tcPr>
            <w:tcW w:w="0" w:type="dxa"/>
            <w:vAlign w:val="bottom"/>
          </w:tcPr>
          <w:p>
            <w:pPr>
              <w:spacing w:after="0"/>
              <w:rPr>
                <w:sz w:val="1"/>
                <w:szCs w:val="1"/>
                <w:color w:val="auto"/>
              </w:rPr>
            </w:pPr>
          </w:p>
        </w:tc>
      </w:tr>
      <w:tr>
        <w:trPr>
          <w:trHeight w:val="324"/>
        </w:trPr>
        <w:tc>
          <w:tcPr>
            <w:tcW w:w="32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Category</w:t>
            </w:r>
          </w:p>
        </w:tc>
        <w:tc>
          <w:tcPr>
            <w:tcW w:w="15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License</w:t>
            </w: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Boardwalk Regency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Gaming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Lottery License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State of NJ,</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Jersey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Lottery Terminals</w:t>
            </w: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Lottery</w:t>
            </w: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for Caesars</w:t>
            </w:r>
          </w:p>
        </w:tc>
        <w:tc>
          <w:tcPr>
            <w:tcW w:w="0" w:type="dxa"/>
            <w:vAlign w:val="bottom"/>
          </w:tcPr>
          <w:p>
            <w:pPr>
              <w:spacing w:after="0"/>
              <w:rPr>
                <w:sz w:val="1"/>
                <w:szCs w:val="1"/>
                <w:color w:val="auto"/>
              </w:rPr>
            </w:pPr>
          </w:p>
        </w:tc>
      </w:tr>
      <w:tr>
        <w:trPr>
          <w:trHeight w:val="257"/>
        </w:trPr>
        <w:tc>
          <w:tcPr>
            <w:tcW w:w="32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Commission</w:t>
            </w: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Atlantic City and</w:t>
            </w:r>
          </w:p>
        </w:tc>
        <w:tc>
          <w:tcPr>
            <w:tcW w:w="0" w:type="dxa"/>
            <w:vAlign w:val="bottom"/>
          </w:tcPr>
          <w:p>
            <w:pPr>
              <w:spacing w:after="0"/>
              <w:rPr>
                <w:sz w:val="1"/>
                <w:szCs w:val="1"/>
                <w:color w:val="auto"/>
              </w:rPr>
            </w:pPr>
          </w:p>
        </w:tc>
      </w:tr>
      <w:tr>
        <w:trPr>
          <w:trHeight w:val="257"/>
        </w:trPr>
        <w:tc>
          <w:tcPr>
            <w:tcW w:w="32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Harrah’s Atlantic</w:t>
            </w:r>
          </w:p>
        </w:tc>
        <w:tc>
          <w:tcPr>
            <w:tcW w:w="0" w:type="dxa"/>
            <w:vAlign w:val="bottom"/>
          </w:tcPr>
          <w:p>
            <w:pPr>
              <w:spacing w:after="0"/>
              <w:rPr>
                <w:sz w:val="1"/>
                <w:szCs w:val="1"/>
                <w:color w:val="auto"/>
              </w:rPr>
            </w:pPr>
          </w:p>
        </w:tc>
      </w:tr>
      <w:tr>
        <w:trPr>
          <w:trHeight w:val="285"/>
        </w:trPr>
        <w:tc>
          <w:tcPr>
            <w:tcW w:w="32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City</w:t>
            </w:r>
          </w:p>
        </w:tc>
        <w:tc>
          <w:tcPr>
            <w:tcW w:w="0" w:type="dxa"/>
            <w:vAlign w:val="bottom"/>
          </w:tcPr>
          <w:p>
            <w:pPr>
              <w:spacing w:after="0"/>
              <w:rPr>
                <w:sz w:val="1"/>
                <w:szCs w:val="1"/>
                <w:color w:val="auto"/>
              </w:rPr>
            </w:pPr>
          </w:p>
        </w:tc>
      </w:tr>
      <w:tr>
        <w:trPr>
          <w:trHeight w:val="276"/>
        </w:trPr>
        <w:tc>
          <w:tcPr>
            <w:tcW w:w="1200" w:type="dxa"/>
            <w:vAlign w:val="bottom"/>
            <w:tcBorders>
              <w:left w:val="single" w:sz="8" w:color="auto"/>
            </w:tcBorders>
            <w:gridSpan w:val="2"/>
          </w:tcPr>
          <w:p>
            <w:pPr>
              <w:jc w:val="right"/>
              <w:ind w:right="181"/>
              <w:spacing w:after="0"/>
              <w:rPr>
                <w:sz w:val="20"/>
                <w:szCs w:val="20"/>
                <w:color w:val="auto"/>
              </w:rPr>
            </w:pPr>
            <w:r>
              <w:rPr>
                <w:rFonts w:ascii="Arial" w:cs="Arial" w:eastAsia="Arial" w:hAnsi="Arial"/>
                <w:sz w:val="22"/>
                <w:szCs w:val="22"/>
                <w:color w:val="auto"/>
              </w:rPr>
              <w:t>447</w:t>
            </w:r>
          </w:p>
        </w:tc>
        <w:tc>
          <w:tcPr>
            <w:tcW w:w="32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Boardwalk Regency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Gaming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Casino License /</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New Jersey Casino</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Jersey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Caesars Atlantic</w:t>
            </w:r>
          </w:p>
        </w:tc>
        <w:tc>
          <w:tcPr>
            <w:tcW w:w="0" w:type="dxa"/>
            <w:vAlign w:val="bottom"/>
          </w:tcPr>
          <w:p>
            <w:pPr>
              <w:spacing w:after="0"/>
              <w:rPr>
                <w:sz w:val="1"/>
                <w:szCs w:val="1"/>
                <w:color w:val="auto"/>
              </w:rPr>
            </w:pPr>
          </w:p>
        </w:tc>
      </w:tr>
      <w:tr>
        <w:trPr>
          <w:trHeight w:val="257"/>
        </w:trPr>
        <w:tc>
          <w:tcPr>
            <w:tcW w:w="32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Sports Wagering</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Control</w:t>
            </w: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City</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Commission</w:t>
            </w:r>
          </w:p>
        </w:tc>
        <w:tc>
          <w:tcPr>
            <w:tcW w:w="10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20" w:type="dxa"/>
            <w:vAlign w:val="bottom"/>
            <w:tcBorders>
              <w:lef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License</w:t>
            </w:r>
          </w:p>
        </w:tc>
        <w:tc>
          <w:tcPr>
            <w:tcW w:w="172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2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980" w:hanging="324"/>
        <w:spacing w:after="0" w:line="238" w:lineRule="auto"/>
        <w:tabs>
          <w:tab w:leader="none" w:pos="972"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Maximum Fixed Rent Term</w:t>
      </w:r>
      <w:r>
        <w:rPr>
          <w:rFonts w:ascii="Arial" w:cs="Arial" w:eastAsia="Arial" w:hAnsi="Arial"/>
          <w:sz w:val="22"/>
          <w:szCs w:val="22"/>
          <w:color w:val="auto"/>
        </w:rPr>
        <w:t xml:space="preserve">. The schedule setting forth the Maximum Fixed Rent Term with respect to each Facility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annexed to the Lease is hereby amended such that the reference to “Bally’s Atlantic City” thereon is deleted (it being understood, for the avoidance of doubt, that the reference to “Caesars Atlantic City” thereon shall be deemed to also include the Retained Facility).</w:t>
      </w:r>
    </w:p>
    <w:p>
      <w:pPr>
        <w:spacing w:after="0" w:line="184" w:lineRule="exact"/>
        <w:rPr>
          <w:rFonts w:ascii="Arial" w:cs="Arial" w:eastAsia="Arial" w:hAnsi="Arial"/>
          <w:sz w:val="22"/>
          <w:szCs w:val="22"/>
          <w:color w:val="auto"/>
        </w:rPr>
      </w:pPr>
    </w:p>
    <w:p>
      <w:pPr>
        <w:jc w:val="both"/>
        <w:ind w:left="980" w:hanging="324"/>
        <w:spacing w:after="0" w:line="236" w:lineRule="auto"/>
        <w:tabs>
          <w:tab w:leader="none" w:pos="9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Specified Subleases</w:t>
      </w:r>
      <w:r>
        <w:rPr>
          <w:rFonts w:ascii="Arial" w:cs="Arial" w:eastAsia="Arial" w:hAnsi="Arial"/>
          <w:sz w:val="22"/>
          <w:szCs w:val="22"/>
          <w:color w:val="auto"/>
        </w:rPr>
        <w:t xml:space="preserve">. The list of Specified Subleases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annexed to the Lease is hereby amended such that (a) the Specified Subleases bearing Contract ID Nos. 8171, 8197, 8167, 14871, 8178, 8208, 8209, 8207 and 8215 and the six (6) additional Specified Subleases pertaining solely to the Bally’s Facility that do not have a Contract ID No. are hereby deleted from said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and (b) the following Sublease is hereby added to said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155" w:name="page156"/>
    <w:bookmarkEnd w:id="1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Contract ID</w:t>
            </w:r>
          </w:p>
        </w:tc>
        <w:tc>
          <w:tcPr>
            <w:tcW w:w="11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Debtor(s)</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Property</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w:t>
            </w:r>
          </w:p>
        </w:tc>
        <w:tc>
          <w:tcPr>
            <w:tcW w:w="15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Counterparty</w:t>
            </w:r>
          </w:p>
        </w:tc>
        <w:tc>
          <w:tcPr>
            <w:tcW w:w="16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Description</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Contract Date</w:t>
            </w:r>
          </w:p>
        </w:tc>
        <w:tc>
          <w:tcPr>
            <w:tcW w:w="14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File Name</w:t>
            </w: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Operation</w:t>
            </w:r>
          </w:p>
        </w:tc>
        <w:tc>
          <w:tcPr>
            <w:tcW w:w="15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23"/>
        </w:trPr>
        <w:tc>
          <w:tcPr>
            <w:tcW w:w="1100" w:type="dxa"/>
            <w:vAlign w:val="bottom"/>
            <w:tcBorders>
              <w:left w:val="single" w:sz="8" w:color="auto"/>
              <w:right w:val="single" w:sz="8" w:color="auto"/>
            </w:tcBorders>
          </w:tcPr>
          <w:p>
            <w:pPr>
              <w:ind w:left="40"/>
              <w:spacing w:after="0" w:line="223" w:lineRule="exact"/>
              <w:rPr>
                <w:sz w:val="20"/>
                <w:szCs w:val="20"/>
                <w:color w:val="auto"/>
              </w:rPr>
            </w:pPr>
            <w:r>
              <w:rPr>
                <w:rFonts w:ascii="Arial" w:cs="Arial" w:eastAsia="Arial" w:hAnsi="Arial"/>
                <w:sz w:val="22"/>
                <w:szCs w:val="22"/>
                <w:color w:val="auto"/>
              </w:rPr>
              <w:t>N/A</w:t>
            </w: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Boardwalk</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Caesars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Guy's Bar-B-</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GRF Enterprises,</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RESTAURANT</w:t>
            </w:r>
          </w:p>
        </w:tc>
        <w:tc>
          <w:tcPr>
            <w:tcW w:w="122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w w:val="88"/>
              </w:rPr>
              <w:t>12/22/2015</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BAC Guy Fieri</w:t>
            </w:r>
          </w:p>
        </w:tc>
      </w:tr>
      <w:tr>
        <w:trPr>
          <w:trHeight w:val="215"/>
        </w:trPr>
        <w:tc>
          <w:tcPr>
            <w:tcW w:w="1100" w:type="dxa"/>
            <w:vAlign w:val="bottom"/>
            <w:tcBorders>
              <w:left w:val="single" w:sz="8" w:color="auto"/>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Regency LLC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Atlantic City</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Que Joint</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LLC</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LICENSE</w:t>
            </w: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BBQ Restaurant</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w:t>
            </w: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License</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 Fully</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Executed.pdf</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0" w:right="40" w:hanging="324"/>
        <w:spacing w:after="0" w:line="250" w:lineRule="auto"/>
        <w:tabs>
          <w:tab w:leader="none" w:pos="967" w:val="left"/>
        </w:tabs>
        <w:numPr>
          <w:ilvl w:val="1"/>
          <w:numId w:val="84"/>
        </w:numPr>
        <w:rPr>
          <w:rFonts w:ascii="Arial" w:cs="Arial" w:eastAsia="Arial" w:hAnsi="Arial"/>
          <w:sz w:val="20"/>
          <w:szCs w:val="20"/>
          <w:color w:val="auto"/>
        </w:rPr>
      </w:pPr>
      <w:r>
        <w:rPr>
          <w:rFonts w:ascii="Arial" w:cs="Arial" w:eastAsia="Arial" w:hAnsi="Arial"/>
          <w:sz w:val="22"/>
          <w:szCs w:val="22"/>
          <w:u w:val="single" w:color="auto"/>
          <w:color w:val="auto"/>
        </w:rPr>
        <w:t>2018 Facility EBITDAR</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annexed to the Lease (setting forth the 2018 Facility EBITDAR) is hereby replaced with the replacement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that is annexed as </w:t>
      </w:r>
      <w:r>
        <w:rPr>
          <w:rFonts w:ascii="Arial" w:cs="Arial" w:eastAsia="Arial" w:hAnsi="Arial"/>
          <w:sz w:val="22"/>
          <w:szCs w:val="22"/>
          <w:u w:val="single" w:color="auto"/>
          <w:color w:val="auto"/>
        </w:rPr>
        <w:t>Schedule C-2</w:t>
      </w:r>
      <w:r>
        <w:rPr>
          <w:rFonts w:ascii="Arial" w:cs="Arial" w:eastAsia="Arial" w:hAnsi="Arial"/>
          <w:sz w:val="22"/>
          <w:szCs w:val="22"/>
          <w:color w:val="auto"/>
        </w:rPr>
        <w:t xml:space="preserve"> hereto.</w:t>
      </w:r>
    </w:p>
    <w:p>
      <w:pPr>
        <w:spacing w:after="0" w:line="182" w:lineRule="exact"/>
        <w:rPr>
          <w:rFonts w:ascii="Arial" w:cs="Arial" w:eastAsia="Arial" w:hAnsi="Arial"/>
          <w:sz w:val="20"/>
          <w:szCs w:val="20"/>
          <w:color w:val="auto"/>
        </w:rPr>
      </w:pPr>
    </w:p>
    <w:p>
      <w:pPr>
        <w:jc w:val="both"/>
        <w:ind w:left="660" w:hanging="328"/>
        <w:spacing w:after="0" w:line="267" w:lineRule="auto"/>
        <w:tabs>
          <w:tab w:leader="none" w:pos="652"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Corrections to Leased Property Legal Descriptions</w:t>
      </w:r>
      <w:r>
        <w:rPr>
          <w:rFonts w:ascii="Arial" w:cs="Arial" w:eastAsia="Arial" w:hAnsi="Arial"/>
          <w:sz w:val="21"/>
          <w:szCs w:val="21"/>
          <w:b w:val="1"/>
          <w:bCs w:val="1"/>
          <w:color w:val="auto"/>
        </w:rPr>
        <w:t xml:space="preserve">. The legal descriptions with respect to the Leased Property set forth on </w:t>
      </w:r>
      <w:r>
        <w:rPr>
          <w:rFonts w:ascii="Arial" w:cs="Arial" w:eastAsia="Arial" w:hAnsi="Arial"/>
          <w:sz w:val="21"/>
          <w:szCs w:val="21"/>
          <w:b w:val="1"/>
          <w:bCs w:val="1"/>
          <w:u w:val="single" w:color="auto"/>
          <w:color w:val="auto"/>
        </w:rPr>
        <w:t>Exhibit B</w:t>
      </w:r>
      <w:r>
        <w:rPr>
          <w:rFonts w:ascii="Arial" w:cs="Arial" w:eastAsia="Arial" w:hAnsi="Arial"/>
          <w:sz w:val="21"/>
          <w:szCs w:val="21"/>
          <w:b w:val="1"/>
          <w:bCs w:val="1"/>
          <w:color w:val="auto"/>
        </w:rPr>
        <w:t xml:space="preserve"> annexed to the Lease are hereby amended such that the legal descriptions set forth on </w:t>
      </w:r>
      <w:r>
        <w:rPr>
          <w:rFonts w:ascii="Arial" w:cs="Arial" w:eastAsia="Arial" w:hAnsi="Arial"/>
          <w:sz w:val="21"/>
          <w:szCs w:val="21"/>
          <w:b w:val="1"/>
          <w:bCs w:val="1"/>
          <w:u w:val="single" w:color="auto"/>
          <w:color w:val="auto"/>
        </w:rPr>
        <w:t>Annex C</w:t>
      </w:r>
      <w:r>
        <w:rPr>
          <w:rFonts w:ascii="Arial" w:cs="Arial" w:eastAsia="Arial" w:hAnsi="Arial"/>
          <w:sz w:val="21"/>
          <w:szCs w:val="21"/>
          <w:b w:val="1"/>
          <w:bCs w:val="1"/>
          <w:color w:val="auto"/>
        </w:rPr>
        <w:t xml:space="preserve"> attached hereto are hereby deleted from said </w:t>
      </w:r>
      <w:r>
        <w:rPr>
          <w:rFonts w:ascii="Arial" w:cs="Arial" w:eastAsia="Arial" w:hAnsi="Arial"/>
          <w:sz w:val="21"/>
          <w:szCs w:val="21"/>
          <w:b w:val="1"/>
          <w:bCs w:val="1"/>
          <w:u w:val="single" w:color="auto"/>
          <w:color w:val="auto"/>
        </w:rPr>
        <w:t>Exhibit B</w:t>
      </w:r>
      <w:r>
        <w:rPr>
          <w:rFonts w:ascii="Arial" w:cs="Arial" w:eastAsia="Arial" w:hAnsi="Arial"/>
          <w:sz w:val="21"/>
          <w:szCs w:val="21"/>
          <w:b w:val="1"/>
          <w:bCs w:val="1"/>
          <w:color w:val="auto"/>
        </w:rPr>
        <w:t xml:space="preserve"> (the “</w:t>
      </w:r>
      <w:r>
        <w:rPr>
          <w:rFonts w:ascii="Arial" w:cs="Arial" w:eastAsia="Arial" w:hAnsi="Arial"/>
          <w:sz w:val="21"/>
          <w:szCs w:val="21"/>
          <w:b w:val="1"/>
          <w:bCs w:val="1"/>
          <w:u w:val="single" w:color="auto"/>
          <w:color w:val="auto"/>
        </w:rPr>
        <w:t>Released Missouri Property</w:t>
      </w:r>
      <w:r>
        <w:rPr>
          <w:rFonts w:ascii="Arial" w:cs="Arial" w:eastAsia="Arial" w:hAnsi="Arial"/>
          <w:sz w:val="21"/>
          <w:szCs w:val="21"/>
          <w:b w:val="1"/>
          <w:bCs w:val="1"/>
          <w:color w:val="auto"/>
        </w:rPr>
        <w:t>”). The Released Missouri Property was released from the Lease prior to the date hereof.</w:t>
      </w:r>
    </w:p>
    <w:p>
      <w:pPr>
        <w:spacing w:after="0" w:line="167" w:lineRule="exact"/>
        <w:rPr>
          <w:rFonts w:ascii="Arial" w:cs="Arial" w:eastAsia="Arial" w:hAnsi="Arial"/>
          <w:sz w:val="21"/>
          <w:szCs w:val="21"/>
          <w:b w:val="1"/>
          <w:bCs w:val="1"/>
          <w:color w:val="auto"/>
        </w:rPr>
      </w:pPr>
    </w:p>
    <w:p>
      <w:pPr>
        <w:jc w:val="both"/>
        <w:ind w:left="660" w:right="20" w:hanging="328"/>
        <w:spacing w:after="0" w:line="349" w:lineRule="auto"/>
        <w:tabs>
          <w:tab w:leader="none" w:pos="637"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Correction to Schedule of Permitted Property Sales</w:t>
      </w:r>
      <w:r>
        <w:rPr>
          <w:rFonts w:ascii="Arial" w:cs="Arial" w:eastAsia="Arial" w:hAnsi="Arial"/>
          <w:sz w:val="19"/>
          <w:szCs w:val="19"/>
          <w:b w:val="1"/>
          <w:bCs w:val="1"/>
          <w:color w:val="auto"/>
        </w:rPr>
        <w:t xml:space="preserve">. The list of properties set forth on </w:t>
      </w:r>
      <w:r>
        <w:rPr>
          <w:rFonts w:ascii="Arial" w:cs="Arial" w:eastAsia="Arial" w:hAnsi="Arial"/>
          <w:sz w:val="19"/>
          <w:szCs w:val="19"/>
          <w:b w:val="1"/>
          <w:bCs w:val="1"/>
          <w:u w:val="single" w:color="auto"/>
          <w:color w:val="auto"/>
        </w:rPr>
        <w:t>Schedule 7</w:t>
      </w:r>
      <w:r>
        <w:rPr>
          <w:rFonts w:ascii="Arial" w:cs="Arial" w:eastAsia="Arial" w:hAnsi="Arial"/>
          <w:sz w:val="19"/>
          <w:szCs w:val="19"/>
          <w:b w:val="1"/>
          <w:bCs w:val="1"/>
          <w:color w:val="auto"/>
        </w:rPr>
        <w:t xml:space="preserve"> annexed to the Lease is hereby amended such that the following properties listed thereon are hereby deleted from said </w:t>
      </w:r>
      <w:r>
        <w:rPr>
          <w:rFonts w:ascii="Arial" w:cs="Arial" w:eastAsia="Arial" w:hAnsi="Arial"/>
          <w:sz w:val="19"/>
          <w:szCs w:val="19"/>
          <w:b w:val="1"/>
          <w:bCs w:val="1"/>
          <w:u w:val="single" w:color="auto"/>
          <w:color w:val="auto"/>
        </w:rPr>
        <w:t>Schedule 7</w:t>
      </w:r>
      <w:r>
        <w:rPr>
          <w:rFonts w:ascii="Arial" w:cs="Arial" w:eastAsia="Arial" w:hAnsi="Arial"/>
          <w:sz w:val="19"/>
          <w:szCs w:val="19"/>
          <w:b w:val="1"/>
          <w:bCs w:val="1"/>
          <w:color w:val="auto"/>
        </w:rPr>
        <w:t>:</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100" w:type="dxa"/>
            <w:vAlign w:val="bottom"/>
            <w:tcBorders>
              <w:top w:val="single" w:sz="8" w:color="auto"/>
              <w:left w:val="single" w:sz="8" w:color="auto"/>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Property</w:t>
            </w:r>
          </w:p>
        </w:tc>
        <w:tc>
          <w:tcPr>
            <w:tcW w:w="1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w w:val="99"/>
              </w:rPr>
              <w:t>Owning Entity</w:t>
            </w:r>
          </w:p>
        </w:tc>
        <w:tc>
          <w:tcPr>
            <w:tcW w:w="10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Area</w:t>
            </w:r>
          </w:p>
        </w:tc>
        <w:tc>
          <w:tcPr>
            <w:tcW w:w="10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Street (# if</w:t>
            </w:r>
          </w:p>
        </w:tc>
        <w:tc>
          <w:tcPr>
            <w:tcW w:w="10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City</w:t>
            </w:r>
          </w:p>
        </w:tc>
        <w:tc>
          <w:tcPr>
            <w:tcW w:w="10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County</w:t>
            </w:r>
          </w:p>
        </w:tc>
        <w:tc>
          <w:tcPr>
            <w:tcW w:w="10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State</w:t>
            </w:r>
          </w:p>
        </w:tc>
        <w:tc>
          <w:tcPr>
            <w:tcW w:w="104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Zip</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Property ID or</w:t>
            </w:r>
          </w:p>
        </w:tc>
        <w:tc>
          <w:tcPr>
            <w:tcW w:w="10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Legal</w:t>
            </w:r>
          </w:p>
        </w:tc>
      </w:tr>
      <w:tr>
        <w:trPr>
          <w:trHeight w:val="186"/>
        </w:trPr>
        <w:tc>
          <w:tcPr>
            <w:tcW w:w="620" w:type="dxa"/>
            <w:vAlign w:val="bottom"/>
            <w:tcBorders>
              <w:lef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ind w:left="220"/>
              <w:spacing w:after="0"/>
              <w:rPr>
                <w:sz w:val="20"/>
                <w:szCs w:val="20"/>
                <w:color w:val="auto"/>
              </w:rPr>
            </w:pPr>
            <w:r>
              <w:rPr>
                <w:rFonts w:ascii="Arial" w:cs="Arial" w:eastAsia="Arial" w:hAnsi="Arial"/>
                <w:sz w:val="14"/>
                <w:szCs w:val="14"/>
                <w:b w:val="1"/>
                <w:bCs w:val="1"/>
                <w:color w:val="auto"/>
              </w:rPr>
              <w:t>assigned)</w:t>
            </w: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APN</w:t>
            </w:r>
          </w:p>
        </w:tc>
        <w:tc>
          <w:tcPr>
            <w:tcW w:w="1040" w:type="dxa"/>
            <w:vAlign w:val="bottom"/>
            <w:tcBorders>
              <w:right w:val="single" w:sz="8" w:color="auto"/>
            </w:tcBorders>
          </w:tcPr>
          <w:p>
            <w:pPr>
              <w:spacing w:after="0"/>
              <w:rPr>
                <w:sz w:val="16"/>
                <w:szCs w:val="16"/>
                <w:color w:val="auto"/>
              </w:rPr>
            </w:pPr>
          </w:p>
        </w:tc>
      </w:tr>
      <w:tr>
        <w:trPr>
          <w:trHeight w:val="25"/>
        </w:trPr>
        <w:tc>
          <w:tcPr>
            <w:tcW w:w="62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6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formerly</w:t>
            </w:r>
          </w:p>
        </w:tc>
        <w:tc>
          <w:tcPr>
            <w:tcW w:w="4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Miscellaneous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Riverport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13971 Riverport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Maryland Hts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 Louis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Missouri</w:t>
            </w:r>
          </w:p>
        </w:tc>
        <w:tc>
          <w:tcPr>
            <w:tcW w:w="1040" w:type="dxa"/>
            <w:vAlign w:val="bottom"/>
            <w:tcBorders>
              <w:right w:val="single" w:sz="8" w:color="auto"/>
            </w:tcBorders>
          </w:tcPr>
          <w:p>
            <w:pPr>
              <w:jc w:val="right"/>
              <w:ind w:right="588"/>
              <w:spacing w:after="0"/>
              <w:rPr>
                <w:sz w:val="20"/>
                <w:szCs w:val="20"/>
                <w:color w:val="auto"/>
              </w:rPr>
            </w:pPr>
            <w:r>
              <w:rPr>
                <w:rFonts w:ascii="Arial" w:cs="Arial" w:eastAsia="Arial" w:hAnsi="Arial"/>
                <w:sz w:val="14"/>
                <w:szCs w:val="14"/>
                <w:color w:val="auto"/>
                <w:w w:val="92"/>
              </w:rPr>
              <w:t>63043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11P540071</w:t>
            </w:r>
          </w:p>
        </w:tc>
        <w:tc>
          <w:tcPr>
            <w:tcW w:w="1040" w:type="dxa"/>
            <w:vAlign w:val="bottom"/>
            <w:tcBorders>
              <w:right w:val="single" w:sz="8" w:color="auto"/>
            </w:tcBorders>
          </w:tcPr>
          <w:p>
            <w:pPr>
              <w:spacing w:after="0"/>
              <w:rPr>
                <w:sz w:val="14"/>
                <w:szCs w:val="14"/>
                <w:color w:val="auto"/>
              </w:rPr>
            </w:pPr>
          </w:p>
        </w:tc>
      </w:tr>
      <w:tr>
        <w:trPr>
          <w:trHeight w:val="162"/>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Harrah’s</w:t>
            </w:r>
          </w:p>
        </w:tc>
        <w:tc>
          <w:tcPr>
            <w:tcW w:w="4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St.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Land LLC</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Drive</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82"/>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Louis</w:t>
            </w:r>
          </w:p>
        </w:tc>
        <w:tc>
          <w:tcPr>
            <w:tcW w:w="4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r>
      <w:tr>
        <w:trPr>
          <w:trHeight w:val="241"/>
        </w:trPr>
        <w:tc>
          <w:tcPr>
            <w:tcW w:w="62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r>
      <w:tr>
        <w:trPr>
          <w:trHeight w:val="16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Harrah’s</w:t>
            </w:r>
          </w:p>
        </w:tc>
        <w:tc>
          <w:tcPr>
            <w:tcW w:w="4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North</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Harrah’s</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7400 NE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Randolph</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18-218-00-10-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Tract 2</w:t>
            </w:r>
          </w:p>
        </w:tc>
      </w:tr>
      <w:tr>
        <w:trPr>
          <w:trHeight w:val="162"/>
        </w:trPr>
        <w:tc>
          <w:tcPr>
            <w:tcW w:w="11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Kansas City</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North Kansas</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Birmingham Rd</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001.00</w:t>
            </w:r>
          </w:p>
        </w:tc>
        <w:tc>
          <w:tcPr>
            <w:tcW w:w="1040" w:type="dxa"/>
            <w:vAlign w:val="bottom"/>
            <w:tcBorders>
              <w:right w:val="single" w:sz="8" w:color="auto"/>
            </w:tcBorders>
          </w:tcPr>
          <w:p>
            <w:pPr>
              <w:spacing w:after="0"/>
              <w:rPr>
                <w:sz w:val="14"/>
                <w:szCs w:val="14"/>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City LLC</w:t>
            </w: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r>
      <w:tr>
        <w:trPr>
          <w:trHeight w:val="80"/>
        </w:trPr>
        <w:tc>
          <w:tcPr>
            <w:tcW w:w="62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56"/>
        <w:spacing w:after="0" w:line="274" w:lineRule="auto"/>
        <w:tabs>
          <w:tab w:leader="none" w:pos="1296"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b w:val="1"/>
          <w:bCs w:val="1"/>
          <w:color w:val="auto"/>
        </w:rPr>
        <w:t>. The Lease shall remain in full force and effect except as expressly amended or modified by this Amendment. From and after the date of this Amendment, all references in the Lease to the “Lease” shall be deemed to refer to the Lease as amended by this Amendment.</w:t>
      </w:r>
    </w:p>
    <w:p>
      <w:pPr>
        <w:spacing w:after="0" w:line="158" w:lineRule="exact"/>
        <w:rPr>
          <w:rFonts w:ascii="Arial" w:cs="Arial" w:eastAsia="Arial" w:hAnsi="Arial"/>
          <w:sz w:val="21"/>
          <w:szCs w:val="21"/>
          <w:b w:val="1"/>
          <w:bCs w:val="1"/>
          <w:color w:val="auto"/>
        </w:rPr>
      </w:pPr>
    </w:p>
    <w:p>
      <w:pPr>
        <w:jc w:val="both"/>
        <w:ind w:firstLine="656"/>
        <w:spacing w:after="0" w:line="267" w:lineRule="auto"/>
        <w:tabs>
          <w:tab w:leader="none" w:pos="1296"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b w:val="1"/>
          <w:bCs w:val="1"/>
          <w:color w:val="auto"/>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56" w:name="page157"/>
    <w:bookmarkEnd w:id="156"/>
    <w:p>
      <w:pPr>
        <w:jc w:val="both"/>
        <w:ind w:left="-20" w:firstLine="656"/>
        <w:spacing w:after="0" w:line="274" w:lineRule="auto"/>
        <w:tabs>
          <w:tab w:leader="none" w:pos="1276"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This Amendment may be executed by one or more of the parties hereto on any number of separate counterparts, and all of such counterparts taken together shall be deemed to constitute one and the same instrument. Facsimile and/or .pdf signatures shall be deemed to be originals for all purposes.</w:t>
      </w:r>
    </w:p>
    <w:p>
      <w:pPr>
        <w:spacing w:after="0" w:line="158" w:lineRule="exact"/>
        <w:rPr>
          <w:rFonts w:ascii="Arial" w:cs="Arial" w:eastAsia="Arial" w:hAnsi="Arial"/>
          <w:sz w:val="21"/>
          <w:szCs w:val="21"/>
          <w:b w:val="1"/>
          <w:bCs w:val="1"/>
          <w:color w:val="auto"/>
        </w:rPr>
      </w:pPr>
    </w:p>
    <w:p>
      <w:pPr>
        <w:ind w:left="-20" w:firstLine="656"/>
        <w:spacing w:after="0" w:line="269" w:lineRule="auto"/>
        <w:tabs>
          <w:tab w:leader="none" w:pos="1276"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b w:val="1"/>
          <w:bCs w:val="1"/>
          <w:color w:val="auto"/>
        </w:rPr>
        <w:t>. This Amendment shall be effective, as of the date hereof, only upon execution and delivery by each of the parties hereto.</w:t>
      </w:r>
    </w:p>
    <w:p>
      <w:pPr>
        <w:spacing w:after="0" w:line="161" w:lineRule="exact"/>
        <w:rPr>
          <w:rFonts w:ascii="Arial" w:cs="Arial" w:eastAsia="Arial" w:hAnsi="Arial"/>
          <w:sz w:val="22"/>
          <w:szCs w:val="22"/>
          <w:b w:val="1"/>
          <w:bCs w:val="1"/>
          <w:color w:val="auto"/>
        </w:rPr>
      </w:pPr>
    </w:p>
    <w:p>
      <w:pPr>
        <w:jc w:val="both"/>
        <w:ind w:left="-20" w:firstLine="656"/>
        <w:spacing w:after="0" w:line="291" w:lineRule="auto"/>
        <w:tabs>
          <w:tab w:leader="none" w:pos="1276"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40" w:top="1422" w:right="339" w:bottom="1440" w:gutter="0" w:footer="0" w:header="0"/>
        </w:sectPr>
      </w:pPr>
    </w:p>
    <w:bookmarkStart w:id="157" w:name="page158"/>
    <w:bookmarkEnd w:id="15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METROPOLIS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SOUTHERN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TUNICA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RENO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 PROPERTY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OPERATING PROPERTY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 LAND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GULFPORT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PHILADELPHIA PROPCO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LAUGHLIN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NEW ORLEANS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230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0">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BOSSIER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Louisiana limited liability company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230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1">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Regional Lease]</w:t>
      </w:r>
    </w:p>
    <w:p>
      <w:pPr>
        <w:sectPr>
          <w:pgSz w:w="11900" w:h="16838" w:orient="portrait"/>
          <w:cols w:equalWidth="0" w:num="1">
            <w:col w:w="11240"/>
          </w:cols>
          <w:pgMar w:left="320" w:top="1428" w:right="339" w:bottom="1440" w:gutter="0" w:footer="0" w:header="0"/>
          <w:type w:val="continuous"/>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Seventh Amendment to Regional Lease]</w:t>
      </w:r>
    </w:p>
    <w:p>
      <w:pPr>
        <w:sectPr>
          <w:pgSz w:w="11900" w:h="16838" w:orient="portrait"/>
          <w:cols w:equalWidth="0" w:num="1">
            <w:col w:w="9019"/>
          </w:cols>
          <w:pgMar w:left="1440" w:top="1440" w:right="1440"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TENANT: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SOUTHERN ILLINOIS RIVERBOAT/CASINO CRUISES LLC</w:t>
      </w:r>
      <w:r>
        <w:rPr>
          <w:rFonts w:ascii="Arial" w:cs="Arial" w:eastAsia="Arial" w:hAnsi="Arial"/>
          <w:sz w:val="22"/>
          <w:szCs w:val="22"/>
          <w:color w:val="auto"/>
        </w:rPr>
        <w:t>, an Illinois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RIVERBOAT CASINO, LLC</w:t>
      </w:r>
      <w:r>
        <w:rPr>
          <w:rFonts w:ascii="Arial" w:cs="Arial" w:eastAsia="Arial" w:hAnsi="Arial"/>
          <w:sz w:val="22"/>
          <w:szCs w:val="22"/>
          <w:color w:val="auto"/>
        </w:rPr>
        <w:t>, an Indiana limited liability company,</w:t>
      </w:r>
    </w:p>
    <w:p>
      <w:pPr>
        <w:spacing w:after="0" w:line="4" w:lineRule="exact"/>
        <w:rPr>
          <w:sz w:val="20"/>
          <w:szCs w:val="20"/>
          <w:color w:val="auto"/>
        </w:rPr>
      </w:pPr>
    </w:p>
    <w:p>
      <w:pPr>
        <w:ind w:right="1879"/>
        <w:spacing w:after="0" w:line="243" w:lineRule="auto"/>
        <w:rPr>
          <w:sz w:val="20"/>
          <w:szCs w:val="20"/>
          <w:color w:val="auto"/>
        </w:rPr>
      </w:pPr>
      <w:r>
        <w:rPr>
          <w:rFonts w:ascii="Arial" w:cs="Arial" w:eastAsia="Arial" w:hAnsi="Arial"/>
          <w:sz w:val="22"/>
          <w:szCs w:val="22"/>
          <w:b w:val="1"/>
          <w:bCs w:val="1"/>
          <w:color w:val="auto"/>
        </w:rPr>
        <w:t>ROMAN HOLDING COMPANY OF INDIANA LLC</w:t>
      </w:r>
      <w:r>
        <w:rPr>
          <w:rFonts w:ascii="Arial" w:cs="Arial" w:eastAsia="Arial" w:hAnsi="Arial"/>
          <w:sz w:val="22"/>
          <w:szCs w:val="22"/>
          <w:color w:val="auto"/>
        </w:rPr>
        <w:t>, an Indiana limited liability company,</w:t>
      </w:r>
      <w:r>
        <w:rPr>
          <w:rFonts w:ascii="Arial" w:cs="Arial" w:eastAsia="Arial" w:hAnsi="Arial"/>
          <w:sz w:val="22"/>
          <w:szCs w:val="22"/>
          <w:b w:val="1"/>
          <w:bCs w:val="1"/>
          <w:color w:val="auto"/>
        </w:rPr>
        <w:t xml:space="preserve"> HORSESHOE HAMMOND, LLC</w:t>
      </w:r>
      <w:r>
        <w:rPr>
          <w:rFonts w:ascii="Arial" w:cs="Arial" w:eastAsia="Arial" w:hAnsi="Arial"/>
          <w:sz w:val="22"/>
          <w:szCs w:val="22"/>
          <w:color w:val="auto"/>
        </w:rPr>
        <w:t>, an Indiana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HARRAH’S BOSSIER CITY INVESTMENT COMPANY, L.L.C.</w:t>
      </w:r>
      <w:r>
        <w:rPr>
          <w:rFonts w:ascii="Arial" w:cs="Arial" w:eastAsia="Arial" w:hAnsi="Arial"/>
          <w:sz w:val="21"/>
          <w:szCs w:val="21"/>
          <w:color w:val="auto"/>
        </w:rPr>
        <w:t>, a Louisiana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4" w:lineRule="exact"/>
        <w:rPr>
          <w:sz w:val="20"/>
          <w:szCs w:val="20"/>
          <w:color w:val="auto"/>
        </w:rPr>
      </w:pPr>
    </w:p>
    <w:p>
      <w:pPr>
        <w:ind w:right="1719"/>
        <w:spacing w:after="0" w:line="254" w:lineRule="auto"/>
        <w:rPr>
          <w:sz w:val="20"/>
          <w:szCs w:val="20"/>
          <w:color w:val="auto"/>
        </w:rPr>
      </w:pPr>
      <w:r>
        <w:rPr>
          <w:rFonts w:ascii="Arial" w:cs="Arial" w:eastAsia="Arial" w:hAnsi="Arial"/>
          <w:sz w:val="21"/>
          <w:szCs w:val="21"/>
          <w:b w:val="1"/>
          <w:bCs w:val="1"/>
          <w:color w:val="auto"/>
        </w:rPr>
        <w:t>HARVEYS TAHOE MANAGEMENT COMPANY LLC</w:t>
      </w:r>
      <w:r>
        <w:rPr>
          <w:rFonts w:ascii="Arial" w:cs="Arial" w:eastAsia="Arial" w:hAnsi="Arial"/>
          <w:sz w:val="21"/>
          <w:szCs w:val="21"/>
          <w:color w:val="auto"/>
        </w:rPr>
        <w:t>, a Nevada limited liability company,</w:t>
      </w:r>
      <w:r>
        <w:rPr>
          <w:rFonts w:ascii="Arial" w:cs="Arial" w:eastAsia="Arial" w:hAnsi="Arial"/>
          <w:sz w:val="21"/>
          <w:szCs w:val="21"/>
          <w:b w:val="1"/>
          <w:bCs w:val="1"/>
          <w:color w:val="auto"/>
        </w:rPr>
        <w:t xml:space="preserve"> PLAYERS BLUEGRASS DOWNS LLC</w:t>
      </w:r>
      <w:r>
        <w:rPr>
          <w:rFonts w:ascii="Arial" w:cs="Arial" w:eastAsia="Arial" w:hAnsi="Arial"/>
          <w:sz w:val="21"/>
          <w:szCs w:val="21"/>
          <w:color w:val="auto"/>
        </w:rPr>
        <w:t>, a Kentucky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9926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2">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422" w:right="1440"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a Louisiana limited partnership</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Nevada limited partnership,</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-17780</wp:posOffset>
            </wp:positionV>
            <wp:extent cx="1855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3">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Title: Chief Legal Officer, Executive Vice President and Secretary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New Jersey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4">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Title: Chief Legal Officer, Executive Vice President and Secretary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PARK PLACE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5">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ectPr>
          <w:pgSz w:w="11900" w:h="16838" w:orient="portrait"/>
          <w:cols w:equalWidth="0" w:num="1">
            <w:col w:w="10139"/>
          </w:cols>
          <w:pgMar w:left="32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[Signature Page to Seventh Amendment to Regional Lease]</w:t>
      </w:r>
    </w:p>
    <w:p>
      <w:pPr>
        <w:sectPr>
          <w:pgSz w:w="11900" w:h="16838" w:orient="portrait"/>
          <w:cols w:equalWidth="0" w:num="1">
            <w:col w:w="10139"/>
          </w:cols>
          <w:pgMar w:left="320" w:top="1428" w:right="1440"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22"/>
          <w:szCs w:val="22"/>
          <w:color w:val="auto"/>
        </w:rPr>
        <w:t>a Nevada limited liability company</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821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6">
                      <a:extLst>
                        <a:ext uri="{28A0092B-C50C-407E-A947-70E740481C1C}"/>
                      </a:extLst>
                    </a:blip>
                    <a:srcRect/>
                    <a:stretch>
                      <a:fillRect/>
                    </a:stretch>
                  </pic:blipFill>
                  <pic:spPr bwMode="auto">
                    <a:xfrm>
                      <a:off x="0" y="0"/>
                      <a:ext cx="1821180"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29" w:lineRule="exact"/>
        <w:rPr>
          <w:sz w:val="20"/>
          <w:szCs w:val="20"/>
          <w:color w:val="auto"/>
        </w:rPr>
      </w:pPr>
    </w:p>
    <w:p>
      <w:pPr>
        <w:ind w:left="220" w:right="5019" w:hanging="215"/>
        <w:spacing w:after="0" w:line="263"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7">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12"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8">
                      <a:extLst>
                        <a:ext uri="{28A0092B-C50C-407E-A947-70E740481C1C}"/>
                      </a:extLst>
                    </a:blip>
                    <a:srcRect/>
                    <a:stretch>
                      <a:fillRect/>
                    </a:stretch>
                  </pic:blipFill>
                  <pic:spPr bwMode="auto">
                    <a:xfrm>
                      <a:off x="0" y="0"/>
                      <a:ext cx="1855470"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939"/>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428" w:right="1440"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Acknowledged and agreed, solely for the purposes of the penultimate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3601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428"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Seventh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November 18, 2020,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by and between Guarantor and Landlord, and agrees that, except as expressly set forth in Section 2.A.ii.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79"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November 18, 2020.</w:t>
      </w:r>
    </w:p>
    <w:p>
      <w:pPr>
        <w:sectPr>
          <w:pgSz w:w="11900" w:h="16838" w:orient="portrait"/>
          <w:cols w:equalWidth="0" w:num="1">
            <w:col w:w="11240"/>
          </w:cols>
          <w:pgMar w:left="320" w:top="1422"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-10795</wp:posOffset>
            </wp:positionV>
            <wp:extent cx="1855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0">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859"/>
        <w:spacing w:after="0"/>
        <w:rPr>
          <w:sz w:val="20"/>
          <w:szCs w:val="20"/>
          <w:color w:val="auto"/>
        </w:rPr>
      </w:pPr>
      <w:r>
        <w:rPr>
          <w:rFonts w:ascii="Arial" w:cs="Arial" w:eastAsia="Arial" w:hAnsi="Arial"/>
          <w:sz w:val="20"/>
          <w:szCs w:val="20"/>
          <w:color w:val="auto"/>
        </w:rPr>
        <w:t>[Signature Page to Acknowledgment and Agreement of Guarantor]</w:t>
      </w:r>
    </w:p>
    <w:p>
      <w:pPr>
        <w:sectPr>
          <w:pgSz w:w="11900" w:h="16838" w:orient="portrait"/>
          <w:cols w:equalWidth="0" w:num="1">
            <w:col w:w="10139"/>
          </w:cols>
          <w:pgMar w:left="320" w:top="1422" w:right="1440" w:bottom="1440" w:gutter="0" w:footer="0" w:header="0"/>
        </w:sectPr>
      </w:pPr>
    </w:p>
    <w:bookmarkStart w:id="165" w:name="page166"/>
    <w:bookmarkEnd w:id="165"/>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Southern Indiana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Bluegrass Downs Property Owner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28" w:right="1440" w:bottom="1440" w:gutter="0" w:footer="0" w:header="0"/>
        </w:sectPr>
      </w:pPr>
    </w:p>
    <w:bookmarkStart w:id="166" w:name="page167"/>
    <w:bookmarkEnd w:id="166"/>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220" w:lineRule="exact"/>
        <w:rPr>
          <w:sz w:val="20"/>
          <w:szCs w:val="20"/>
          <w:color w:val="auto"/>
        </w:rPr>
      </w:pPr>
    </w:p>
    <w:p>
      <w:pPr>
        <w:ind w:right="1799"/>
        <w:spacing w:after="0" w:line="345"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Caesars Riverboat Casino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Roman Holding Company of Indiana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Bally’s Park Place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Players Bluegrass Downs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ectPr>
          <w:pgSz w:w="11900" w:h="16838" w:orient="portrait"/>
          <w:cols w:equalWidth="0" w:num="1">
            <w:col w:w="10139"/>
          </w:cols>
          <w:pgMar w:left="32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Schedule B</w:t>
      </w:r>
    </w:p>
    <w:p>
      <w:pPr>
        <w:sectPr>
          <w:pgSz w:w="11900" w:h="16838" w:orient="portrait"/>
          <w:cols w:equalWidth="0" w:num="1">
            <w:col w:w="10139"/>
          </w:cols>
          <w:pgMar w:left="320" w:top="1428" w:right="1440"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22"/>
          <w:szCs w:val="22"/>
          <w:u w:val="single" w:color="auto"/>
          <w:color w:val="auto"/>
        </w:rPr>
        <w:t>Schedule C-1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NEW 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9019"/>
          </w:cols>
          <w:pgMar w:left="1440" w:top="1428" w:right="1440" w:bottom="1440" w:gutter="0" w:footer="0" w:header="0"/>
        </w:sectPr>
      </w:pPr>
    </w:p>
    <w:bookmarkStart w:id="168" w:name="page169"/>
    <w:bookmarkEnd w:id="168"/>
    <w:p>
      <w:pPr>
        <w:spacing w:after="0" w:line="200" w:lineRule="exact"/>
        <w:rPr>
          <w:sz w:val="20"/>
          <w:szCs w:val="20"/>
          <w:color w:val="auto"/>
        </w:rPr>
      </w:pPr>
    </w:p>
    <w:p>
      <w:pPr>
        <w:spacing w:after="0" w:line="247"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EXHIBIT A</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FACILITIES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No.</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Property</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State</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Fee Owner</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Operating Entity</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Horseshoe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Iowa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Horseshoe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HBR Realty Company 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Harveys BR Management</w:t>
            </w: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Company,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Harrah’s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Iowa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Harveys Iowa Management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Company LLC</w:t>
            </w:r>
          </w:p>
        </w:tc>
        <w:tc>
          <w:tcPr>
            <w:tcW w:w="0" w:type="dxa"/>
            <w:vAlign w:val="bottom"/>
          </w:tcPr>
          <w:p>
            <w:pPr>
              <w:spacing w:after="0"/>
              <w:rPr>
                <w:sz w:val="1"/>
                <w:szCs w:val="1"/>
                <w:color w:val="auto"/>
              </w:rPr>
            </w:pPr>
          </w:p>
        </w:tc>
      </w:tr>
      <w:tr>
        <w:trPr>
          <w:trHeight w:val="455"/>
        </w:trPr>
        <w:tc>
          <w:tcPr>
            <w:tcW w:w="8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Harrah’s Metropolis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Illinois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Harrah's Metropolis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Southern Illinois</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Riverboat/Casino Cruises</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Southern 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Southern 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Riverboat Casino,</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(now known as Caesars</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Southern Indiana)</w:t>
            </w: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Roman Holding Company</w:t>
            </w: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of Indiana LLC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Hammond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Horseshoe Hammond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Horseshoe Hammond, LLC</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Horseshoe Bossier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Louisiana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Horseshoe Bossier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Entertainment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Prop LLC</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Bossier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Louisiana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Bossier City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Bossier City</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(Louisiana Downs)</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Investment Company,</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8.</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North Kansas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Missouri</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Harrah's North Kansas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North Kansas City</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City LLC</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11020"/>
          </w:cols>
          <w:pgMar w:left="320" w:top="1440" w:right="559" w:bottom="1440" w:gutter="0" w:footer="0" w:header="0"/>
        </w:sectPr>
      </w:pPr>
    </w:p>
    <w:bookmarkStart w:id="169" w:name="page170"/>
    <w:bookmarkEnd w:id="16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9.</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Harrah’s Gulf Coast</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Mississippi</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Grand Biloxi LLC</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Grand Casinos of Biloxi,</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(formerly known as Grand</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Biloxi Casino Hotel) and</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Casino Computer</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6"/>
              </w:rPr>
              <w:t>Biloxi Land</w:t>
            </w:r>
          </w:p>
        </w:tc>
        <w:tc>
          <w:tcPr>
            <w:tcW w:w="25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Programming,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Tunica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Mississippi and Arkansas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Horseshoe Tunica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Robinson Property Group</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11.</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Tunica Roadhouse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Mississippi</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Tunica Roadhouse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Tunica Roadhouse LLC</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Caesars Atlantic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Caesars Atlantic City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Boardwalk Regency LLC</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(includes Wild Wild West</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6"/>
              </w:rPr>
              <w:t>Bally's Atlantic City LLC</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Caesars New Jersey 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and Block 488 Parcel)</w:t>
            </w: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vMerge w:val="continue"/>
          </w:tcPr>
          <w:p>
            <w:pPr>
              <w:spacing w:after="0"/>
              <w:rPr>
                <w:sz w:val="23"/>
                <w:szCs w:val="23"/>
                <w:color w:val="auto"/>
              </w:rPr>
            </w:pPr>
          </w:p>
        </w:tc>
        <w:tc>
          <w:tcPr>
            <w:tcW w:w="25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86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Harrah’s Lake Tahoe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Harrah's Lake Tahoe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Harveys Tahoe Management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Company LLC</w:t>
            </w:r>
          </w:p>
        </w:tc>
        <w:tc>
          <w:tcPr>
            <w:tcW w:w="0" w:type="dxa"/>
            <w:vAlign w:val="bottom"/>
          </w:tcPr>
          <w:p>
            <w:pPr>
              <w:spacing w:after="0"/>
              <w:rPr>
                <w:sz w:val="1"/>
                <w:szCs w:val="1"/>
                <w:color w:val="auto"/>
              </w:rPr>
            </w:pPr>
          </w:p>
        </w:tc>
      </w:tr>
      <w:tr>
        <w:trPr>
          <w:trHeight w:val="455"/>
        </w:trPr>
        <w:tc>
          <w:tcPr>
            <w:tcW w:w="8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Harvey’s Lake Tahoe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Nevada and California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Harvey's Lake Tahoe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Harveys Tahoe Management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Company 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15.</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Reno Billboard Parcel</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Reno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Bluegrass Downs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Kentucky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Bluegrass Downs Property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Players Bluegrass Downs</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Owner LLC</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11020"/>
          </w:cols>
          <w:pgMar w:left="320" w:top="1440" w:right="559" w:bottom="1440" w:gutter="0" w:footer="0" w:header="0"/>
        </w:sectPr>
      </w:pPr>
    </w:p>
    <w:bookmarkStart w:id="170" w:name="page171"/>
    <w:bookmarkEnd w:id="17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60" w:type="dxa"/>
            <w:vAlign w:val="bottom"/>
            <w:tcBorders>
              <w:top w:val="single" w:sz="8" w:color="auto"/>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17.</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Las Vegas Land</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Vegas Development LLC</w:t>
            </w:r>
          </w:p>
        </w:tc>
        <w:tc>
          <w:tcPr>
            <w:tcW w:w="2280" w:type="dxa"/>
            <w:vAlign w:val="bottom"/>
            <w:tcBorders>
              <w:top w:val="single" w:sz="8" w:color="auto"/>
            </w:tcBorders>
            <w:gridSpan w:val="3"/>
          </w:tcPr>
          <w:p>
            <w:pPr>
              <w:jc w:val="center"/>
              <w:ind w:left="112"/>
              <w:spacing w:after="0"/>
              <w:rPr>
                <w:sz w:val="20"/>
                <w:szCs w:val="20"/>
                <w:color w:val="auto"/>
              </w:rPr>
            </w:pPr>
            <w:r>
              <w:rPr>
                <w:rFonts w:ascii="Arial" w:cs="Arial" w:eastAsia="Arial" w:hAnsi="Arial"/>
                <w:sz w:val="22"/>
                <w:szCs w:val="22"/>
                <w:color w:val="auto"/>
                <w:w w:val="93"/>
              </w:rPr>
              <w:t>Hole in the Wall, LLC</w:t>
            </w:r>
          </w:p>
        </w:tc>
        <w:tc>
          <w:tcPr>
            <w:tcW w:w="260" w:type="dxa"/>
            <w:vAlign w:val="bottom"/>
            <w:tcBorders>
              <w:top w:val="single" w:sz="8" w:color="auto"/>
              <w:right w:val="single" w:sz="8" w:color="auto"/>
            </w:tcBorders>
          </w:tcPr>
          <w:p>
            <w:pPr>
              <w:spacing w:after="0"/>
              <w:rPr>
                <w:sz w:val="24"/>
                <w:szCs w:val="24"/>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Assemblage Properties</w:t>
            </w: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r>
      <w:tr>
        <w:trPr>
          <w:trHeight w:val="657"/>
        </w:trPr>
        <w:tc>
          <w:tcPr>
            <w:tcW w:w="8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w w:val="97"/>
              </w:rPr>
              <w:t>CEOC,</w:t>
            </w:r>
          </w:p>
        </w:tc>
        <w:tc>
          <w:tcPr>
            <w:tcW w:w="520" w:type="dxa"/>
            <w:vAlign w:val="bottom"/>
          </w:tcPr>
          <w:p>
            <w:pPr>
              <w:ind w:left="60"/>
              <w:spacing w:after="0"/>
              <w:rPr>
                <w:sz w:val="20"/>
                <w:szCs w:val="20"/>
                <w:color w:val="auto"/>
              </w:rPr>
            </w:pPr>
            <w:r>
              <w:rPr>
                <w:rFonts w:ascii="Arial" w:cs="Arial" w:eastAsia="Arial" w:hAnsi="Arial"/>
                <w:sz w:val="22"/>
                <w:szCs w:val="22"/>
                <w:color w:val="auto"/>
                <w:w w:val="94"/>
              </w:rPr>
              <w:t>LLC,</w:t>
            </w:r>
          </w:p>
        </w:tc>
        <w:tc>
          <w:tcPr>
            <w:tcW w:w="1040" w:type="dxa"/>
            <w:vAlign w:val="bottom"/>
          </w:tcPr>
          <w:p>
            <w:pPr>
              <w:ind w:left="120"/>
              <w:spacing w:after="0"/>
              <w:rPr>
                <w:sz w:val="20"/>
                <w:szCs w:val="20"/>
                <w:color w:val="auto"/>
              </w:rPr>
            </w:pPr>
            <w:r>
              <w:rPr>
                <w:rFonts w:ascii="Arial" w:cs="Arial" w:eastAsia="Arial" w:hAnsi="Arial"/>
                <w:sz w:val="22"/>
                <w:szCs w:val="22"/>
                <w:color w:val="auto"/>
                <w:w w:val="90"/>
              </w:rPr>
              <w:t>successor</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w w:val="94"/>
              </w:rPr>
              <w:t>interest</w:t>
            </w:r>
          </w:p>
        </w:tc>
        <w:tc>
          <w:tcPr>
            <w:tcW w:w="520" w:type="dxa"/>
            <w:vAlign w:val="bottom"/>
          </w:tcPr>
          <w:p>
            <w:pPr>
              <w:ind w:left="200"/>
              <w:spacing w:after="0"/>
              <w:rPr>
                <w:sz w:val="20"/>
                <w:szCs w:val="20"/>
                <w:color w:val="auto"/>
              </w:rPr>
            </w:pPr>
            <w:r>
              <w:rPr>
                <w:rFonts w:ascii="Arial" w:cs="Arial" w:eastAsia="Arial" w:hAnsi="Arial"/>
                <w:sz w:val="22"/>
                <w:szCs w:val="22"/>
                <w:color w:val="auto"/>
              </w:rPr>
              <w:t>by</w:t>
            </w:r>
          </w:p>
        </w:tc>
        <w:tc>
          <w:tcPr>
            <w:tcW w:w="1040" w:type="dxa"/>
            <w:vAlign w:val="bottom"/>
          </w:tcPr>
          <w:p>
            <w:pPr>
              <w:ind w:left="180"/>
              <w:spacing w:after="0"/>
              <w:rPr>
                <w:sz w:val="20"/>
                <w:szCs w:val="20"/>
                <w:color w:val="auto"/>
              </w:rPr>
            </w:pPr>
            <w:r>
              <w:rPr>
                <w:rFonts w:ascii="Arial" w:cs="Arial" w:eastAsia="Arial" w:hAnsi="Arial"/>
                <w:sz w:val="22"/>
                <w:szCs w:val="22"/>
                <w:color w:val="auto"/>
              </w:rPr>
              <w:t>merger</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w w:val="97"/>
              </w:rPr>
              <w:t>to</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w w:val="82"/>
              </w:rPr>
              <w:t>Caesars</w:t>
            </w:r>
          </w:p>
        </w:tc>
        <w:tc>
          <w:tcPr>
            <w:tcW w:w="520" w:type="dxa"/>
            <w:vAlign w:val="bottom"/>
          </w:tcPr>
          <w:p>
            <w:pPr>
              <w:spacing w:after="0"/>
              <w:rPr>
                <w:sz w:val="22"/>
                <w:szCs w:val="22"/>
                <w:color w:val="auto"/>
              </w:rPr>
            </w:pPr>
          </w:p>
        </w:tc>
        <w:tc>
          <w:tcPr>
            <w:tcW w:w="1300" w:type="dxa"/>
            <w:vAlign w:val="bottom"/>
            <w:tcBorders>
              <w:right w:val="single" w:sz="8" w:color="auto"/>
            </w:tcBorders>
            <w:gridSpan w:val="2"/>
          </w:tcPr>
          <w:p>
            <w:pPr>
              <w:jc w:val="right"/>
              <w:spacing w:after="0"/>
              <w:rPr>
                <w:sz w:val="20"/>
                <w:szCs w:val="20"/>
                <w:color w:val="auto"/>
              </w:rPr>
            </w:pPr>
            <w:r>
              <w:rPr>
                <w:rFonts w:ascii="Arial" w:cs="Arial" w:eastAsia="Arial" w:hAnsi="Arial"/>
                <w:sz w:val="22"/>
                <w:szCs w:val="22"/>
                <w:color w:val="auto"/>
                <w:w w:val="89"/>
              </w:rPr>
              <w:t>Entertainment</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w w:val="91"/>
              </w:rPr>
              <w:t>Operating Company, Inc.</w:t>
            </w:r>
          </w:p>
        </w:tc>
        <w:tc>
          <w:tcPr>
            <w:tcW w:w="260" w:type="dxa"/>
            <w:vAlign w:val="bottom"/>
            <w:tcBorders>
              <w:bottom w:val="single" w:sz="8" w:color="auto"/>
              <w:right w:val="single" w:sz="8" w:color="auto"/>
            </w:tcBorders>
          </w:tcPr>
          <w:p>
            <w:pPr>
              <w:spacing w:after="0"/>
              <w:rPr>
                <w:sz w:val="24"/>
                <w:szCs w:val="24"/>
                <w:color w:val="auto"/>
              </w:rPr>
            </w:pP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18.</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Airplane Hangar</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Vegas Operating Property</w:t>
            </w:r>
          </w:p>
        </w:tc>
        <w:tc>
          <w:tcPr>
            <w:tcW w:w="2540" w:type="dxa"/>
            <w:vAlign w:val="bottom"/>
            <w:tcBorders>
              <w:right w:val="single" w:sz="8" w:color="auto"/>
            </w:tcBorders>
            <w:gridSpan w:val="4"/>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8"/>
              </w:rPr>
              <w:t>interest by merger to</w:t>
            </w:r>
          </w:p>
        </w:tc>
        <w:tc>
          <w:tcPr>
            <w:tcW w:w="260" w:type="dxa"/>
            <w:vAlign w:val="bottom"/>
            <w:tcBorders>
              <w:right w:val="single" w:sz="8" w:color="auto"/>
            </w:tcBorders>
          </w:tcPr>
          <w:p>
            <w:pPr>
              <w:spacing w:after="0"/>
              <w:rPr>
                <w:sz w:val="22"/>
                <w:szCs w:val="22"/>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6"/>
              </w:rPr>
              <w:t>Caesars Entertainment</w:t>
            </w:r>
          </w:p>
        </w:tc>
        <w:tc>
          <w:tcPr>
            <w:tcW w:w="260" w:type="dxa"/>
            <w:vAlign w:val="bottom"/>
            <w:tcBorders>
              <w:right w:val="single" w:sz="8" w:color="auto"/>
            </w:tcBorders>
          </w:tcPr>
          <w:p>
            <w:pPr>
              <w:spacing w:after="0"/>
              <w:rPr>
                <w:sz w:val="22"/>
                <w:szCs w:val="22"/>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Land Leftover from</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Mississippi</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Propco Gulfport LLC</w:t>
            </w:r>
          </w:p>
        </w:tc>
        <w:tc>
          <w:tcPr>
            <w:tcW w:w="2540" w:type="dxa"/>
            <w:vAlign w:val="bottom"/>
            <w:tcBorders>
              <w:right w:val="single" w:sz="8" w:color="auto"/>
            </w:tcBorders>
            <w:gridSpan w:val="4"/>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Gulfport</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8"/>
              </w:rPr>
              <w:t>interest by merger to</w:t>
            </w:r>
          </w:p>
        </w:tc>
        <w:tc>
          <w:tcPr>
            <w:tcW w:w="260" w:type="dxa"/>
            <w:vAlign w:val="bottom"/>
            <w:tcBorders>
              <w:right w:val="single" w:sz="8" w:color="auto"/>
            </w:tcBorders>
          </w:tcPr>
          <w:p>
            <w:pPr>
              <w:spacing w:after="0"/>
              <w:rPr>
                <w:sz w:val="22"/>
                <w:szCs w:val="22"/>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6"/>
              </w:rPr>
              <w:t>Caesars Entertainment</w:t>
            </w:r>
          </w:p>
        </w:tc>
        <w:tc>
          <w:tcPr>
            <w:tcW w:w="260" w:type="dxa"/>
            <w:vAlign w:val="bottom"/>
            <w:tcBorders>
              <w:right w:val="single" w:sz="8" w:color="auto"/>
            </w:tcBorders>
          </w:tcPr>
          <w:p>
            <w:pPr>
              <w:spacing w:after="0"/>
              <w:rPr>
                <w:sz w:val="22"/>
                <w:szCs w:val="22"/>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21.</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Vacant Land in Splendora,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Miscellaneous Land LLC</w:t>
            </w:r>
          </w:p>
        </w:tc>
        <w:tc>
          <w:tcPr>
            <w:tcW w:w="2540" w:type="dxa"/>
            <w:vAlign w:val="bottom"/>
            <w:tcBorders>
              <w:right w:val="single" w:sz="8" w:color="auto"/>
            </w:tcBorders>
            <w:gridSpan w:val="4"/>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TX</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8"/>
              </w:rPr>
              <w:t>interest by merger to</w:t>
            </w:r>
          </w:p>
        </w:tc>
        <w:tc>
          <w:tcPr>
            <w:tcW w:w="260" w:type="dxa"/>
            <w:vAlign w:val="bottom"/>
            <w:tcBorders>
              <w:right w:val="single" w:sz="8" w:color="auto"/>
            </w:tcBorders>
          </w:tcPr>
          <w:p>
            <w:pPr>
              <w:spacing w:after="0"/>
              <w:rPr>
                <w:sz w:val="22"/>
                <w:szCs w:val="22"/>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6"/>
              </w:rPr>
              <w:t>Caesars Entertainment</w:t>
            </w:r>
          </w:p>
        </w:tc>
        <w:tc>
          <w:tcPr>
            <w:tcW w:w="260" w:type="dxa"/>
            <w:vAlign w:val="bottom"/>
            <w:tcBorders>
              <w:right w:val="single" w:sz="8" w:color="auto"/>
            </w:tcBorders>
          </w:tcPr>
          <w:p>
            <w:pPr>
              <w:spacing w:after="0"/>
              <w:rPr>
                <w:sz w:val="22"/>
                <w:szCs w:val="22"/>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Vacant Land at Turfway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Kentucky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Miscellaneous Land LLC</w:t>
            </w:r>
          </w:p>
        </w:tc>
        <w:tc>
          <w:tcPr>
            <w:tcW w:w="2540" w:type="dxa"/>
            <w:vAlign w:val="bottom"/>
            <w:tcBorders>
              <w:right w:val="single" w:sz="8" w:color="auto"/>
            </w:tcBorders>
            <w:gridSpan w:val="4"/>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Park</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8"/>
              </w:rPr>
              <w:t>interest by merger to</w:t>
            </w:r>
          </w:p>
        </w:tc>
        <w:tc>
          <w:tcPr>
            <w:tcW w:w="260" w:type="dxa"/>
            <w:vAlign w:val="bottom"/>
            <w:tcBorders>
              <w:right w:val="single" w:sz="8" w:color="auto"/>
            </w:tcBorders>
          </w:tcPr>
          <w:p>
            <w:pPr>
              <w:spacing w:after="0"/>
              <w:rPr>
                <w:sz w:val="22"/>
                <w:szCs w:val="22"/>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280" w:type="dxa"/>
            <w:vAlign w:val="bottom"/>
            <w:gridSpan w:val="3"/>
          </w:tcPr>
          <w:p>
            <w:pPr>
              <w:jc w:val="center"/>
              <w:ind w:left="112"/>
              <w:spacing w:after="0"/>
              <w:rPr>
                <w:sz w:val="20"/>
                <w:szCs w:val="20"/>
                <w:color w:val="auto"/>
              </w:rPr>
            </w:pPr>
            <w:r>
              <w:rPr>
                <w:rFonts w:ascii="Arial" w:cs="Arial" w:eastAsia="Arial" w:hAnsi="Arial"/>
                <w:sz w:val="22"/>
                <w:szCs w:val="22"/>
                <w:color w:val="auto"/>
                <w:w w:val="86"/>
              </w:rPr>
              <w:t>Caesars Entertainment</w:t>
            </w:r>
          </w:p>
        </w:tc>
        <w:tc>
          <w:tcPr>
            <w:tcW w:w="260" w:type="dxa"/>
            <w:vAlign w:val="bottom"/>
            <w:tcBorders>
              <w:right w:val="single" w:sz="8" w:color="auto"/>
            </w:tcBorders>
          </w:tcPr>
          <w:p>
            <w:pPr>
              <w:spacing w:after="0"/>
              <w:rPr>
                <w:sz w:val="22"/>
                <w:szCs w:val="22"/>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Harrah’s Philadelphia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Pennsylvania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Philadelphia Propco LLC</w:t>
            </w:r>
          </w:p>
        </w:tc>
        <w:tc>
          <w:tcPr>
            <w:tcW w:w="2540" w:type="dxa"/>
            <w:vAlign w:val="bottom"/>
            <w:tcBorders>
              <w:right w:val="single" w:sz="8" w:color="auto"/>
            </w:tcBorders>
            <w:gridSpan w:val="4"/>
          </w:tcPr>
          <w:p>
            <w:pPr>
              <w:jc w:val="center"/>
              <w:spacing w:after="0"/>
              <w:rPr>
                <w:sz w:val="20"/>
                <w:szCs w:val="20"/>
                <w:color w:val="auto"/>
              </w:rPr>
            </w:pPr>
            <w:r>
              <w:rPr>
                <w:rFonts w:ascii="Arial" w:cs="Arial" w:eastAsia="Arial" w:hAnsi="Arial"/>
                <w:sz w:val="22"/>
                <w:szCs w:val="22"/>
                <w:color w:val="auto"/>
                <w:w w:val="88"/>
              </w:rPr>
              <w:t>Chester Downs and Marina,</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372"/>
              <w:spacing w:after="0"/>
              <w:rPr>
                <w:sz w:val="20"/>
                <w:szCs w:val="20"/>
                <w:color w:val="auto"/>
              </w:rPr>
            </w:pPr>
            <w:r>
              <w:rPr>
                <w:rFonts w:ascii="Arial" w:cs="Arial" w:eastAsia="Arial" w:hAnsi="Arial"/>
                <w:sz w:val="22"/>
                <w:szCs w:val="22"/>
                <w:color w:val="auto"/>
                <w:w w:val="99"/>
              </w:rPr>
              <w:t>LLC</w:t>
            </w:r>
          </w:p>
        </w:tc>
        <w:tc>
          <w:tcPr>
            <w:tcW w:w="2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11020"/>
          </w:cols>
          <w:pgMar w:left="320" w:top="1440" w:right="559" w:bottom="1440" w:gutter="0" w:footer="0" w:header="0"/>
        </w:sectPr>
      </w:pPr>
    </w:p>
    <w:bookmarkStart w:id="171" w:name="page172"/>
    <w:bookmarkEnd w:id="1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860" w:type="dxa"/>
            <w:vAlign w:val="bottom"/>
            <w:tcBorders>
              <w:top w:val="single" w:sz="8" w:color="auto"/>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24.</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Harrah’s Atlantic City</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25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6"/>
              </w:rPr>
              <w:t>Harrah’s Atlantic City LLC</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Harrah’s Atlantic City</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Operating Company, LLC</w:t>
            </w:r>
          </w:p>
        </w:tc>
      </w:tr>
      <w:tr>
        <w:trPr>
          <w:trHeight w:val="304"/>
        </w:trPr>
        <w:tc>
          <w:tcPr>
            <w:tcW w:w="860" w:type="dxa"/>
            <w:vAlign w:val="bottom"/>
            <w:tcBorders>
              <w:left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Harrah’s Laughlin</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6"/>
              </w:rPr>
              <w:t>New Laughlin Owner LLC</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Harrah’s Laughlin, LLC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Harrah’s New Orleans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Louisiana</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2"/>
              </w:rPr>
              <w:t>Harrah’s New Orleans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Jazz Casino Company,</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11020"/>
          </w:cols>
          <w:pgMar w:left="320" w:top="1440" w:right="55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u w:val="single" w:color="auto"/>
          <w:color w:val="auto"/>
        </w:rPr>
        <w:t>Schedule C-2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NEW SCHEDULE 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Schedule C-2</w:t>
      </w:r>
    </w:p>
    <w:p>
      <w:pPr>
        <w:sectPr>
          <w:pgSz w:w="11900" w:h="16838" w:orient="portrait"/>
          <w:cols w:equalWidth="0" w:num="1">
            <w:col w:w="9019"/>
          </w:cols>
          <w:pgMar w:left="1440" w:top="1428"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22"/>
          <w:szCs w:val="22"/>
          <w:u w:val="single" w:color="auto"/>
          <w:color w:val="auto"/>
        </w:rPr>
        <w:t>Annex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Bally’s Leased Property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Bally’s Park Place Hotel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THE INTERSECTION OF THE SOUTHERLY LINE OF POP LLOYD BOULEVARD (74.00' WIDE) AND THE EASTERLY LINE OF MICHIGAN AVENUE (50.00' WIDE) AND EXTENDING FROM SAID BEGINNING POINT; THENCE</w:t>
      </w:r>
    </w:p>
    <w:p>
      <w:pPr>
        <w:spacing w:after="0" w:line="185" w:lineRule="exact"/>
        <w:rPr>
          <w:sz w:val="20"/>
          <w:szCs w:val="20"/>
          <w:color w:val="auto"/>
        </w:rPr>
      </w:pPr>
    </w:p>
    <w:p>
      <w:pPr>
        <w:ind w:firstLine="8"/>
        <w:spacing w:after="0" w:line="263" w:lineRule="auto"/>
        <w:tabs>
          <w:tab w:leader="none" w:pos="4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NORTH 62° 32' 00" EAST IN AND ALONG THE SOUTHERLY LINE OF POP LLOYD BOULEVARD A DISTANCE OF 402.35'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29"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NORTH 27° 28' 00" WEST PARALLEL WITH MICHIGAN AVENUE A DISTANCE OF 84.00' TO THE NORTH LINE OF LOT 4 IN BLOCK 44; THENCE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NORTH 62° 32' 00" EAST A DISTANCE OF 145.60' TO THE WEST LINE OF PARK PLACE (60.00' WIDE); THENCE</w:t>
      </w:r>
    </w:p>
    <w:p>
      <w:pPr>
        <w:spacing w:after="0" w:line="254" w:lineRule="exact"/>
        <w:rPr>
          <w:rFonts w:ascii="Arial" w:cs="Arial" w:eastAsia="Arial" w:hAnsi="Arial"/>
          <w:sz w:val="19"/>
          <w:szCs w:val="19"/>
          <w:color w:val="auto"/>
        </w:rPr>
      </w:pPr>
    </w:p>
    <w:p>
      <w:pPr>
        <w:ind w:right="20" w:firstLine="8"/>
        <w:spacing w:after="0" w:line="263" w:lineRule="auto"/>
        <w:tabs>
          <w:tab w:leader="none" w:pos="557" w:val="left"/>
        </w:tabs>
        <w:numPr>
          <w:ilvl w:val="0"/>
          <w:numId w:val="88"/>
        </w:numPr>
        <w:rPr>
          <w:rFonts w:ascii="Arial" w:cs="Arial" w:eastAsia="Arial" w:hAnsi="Arial"/>
          <w:sz w:val="22"/>
          <w:szCs w:val="22"/>
          <w:color w:val="auto"/>
        </w:rPr>
      </w:pPr>
      <w:r>
        <w:rPr>
          <w:rFonts w:ascii="Arial" w:cs="Arial" w:eastAsia="Arial" w:hAnsi="Arial"/>
          <w:sz w:val="22"/>
          <w:szCs w:val="22"/>
          <w:color w:val="auto"/>
        </w:rPr>
        <w:t>SOUTH 27° 28' 00" EAST IN AND ALONG SAME A DISTANCE OF 615.31' TO A POINT IN THE CURVED INTERIOR LINE OF PARK; THENCE</w:t>
      </w:r>
    </w:p>
    <w:p>
      <w:pPr>
        <w:spacing w:after="0" w:line="174" w:lineRule="exact"/>
        <w:rPr>
          <w:rFonts w:ascii="Arial" w:cs="Arial" w:eastAsia="Arial" w:hAnsi="Arial"/>
          <w:sz w:val="22"/>
          <w:szCs w:val="22"/>
          <w:color w:val="auto"/>
        </w:rPr>
      </w:pPr>
    </w:p>
    <w:p>
      <w:pPr>
        <w:ind w:right="20" w:firstLine="8"/>
        <w:spacing w:after="0" w:line="287" w:lineRule="auto"/>
        <w:tabs>
          <w:tab w:leader="none" w:pos="441" w:val="left"/>
        </w:tabs>
        <w:numPr>
          <w:ilvl w:val="0"/>
          <w:numId w:val="88"/>
        </w:numPr>
        <w:rPr>
          <w:rFonts w:ascii="Arial" w:cs="Arial" w:eastAsia="Arial" w:hAnsi="Arial"/>
          <w:sz w:val="21"/>
          <w:szCs w:val="21"/>
          <w:color w:val="auto"/>
        </w:rPr>
      </w:pPr>
      <w:r>
        <w:rPr>
          <w:rFonts w:ascii="Arial" w:cs="Arial" w:eastAsia="Arial" w:hAnsi="Arial"/>
          <w:sz w:val="21"/>
          <w:szCs w:val="21"/>
          <w:color w:val="auto"/>
        </w:rPr>
        <w:t>SOUTHWESTWARDLY IN AND ALONG SAME AND CURVING TO THE LEFT ALONG THE ARC OF A CIRCLE HAVING A RADIUS OF 1679.20' AN ARC DISTANCE OF 20.05' TO A POINT OF TANGENCY IN SAME; THENCE</w:t>
      </w:r>
    </w:p>
    <w:p>
      <w:pPr>
        <w:spacing w:after="0" w:line="151" w:lineRule="exact"/>
        <w:rPr>
          <w:rFonts w:ascii="Arial" w:cs="Arial" w:eastAsia="Arial" w:hAnsi="Arial"/>
          <w:sz w:val="21"/>
          <w:szCs w:val="21"/>
          <w:color w:val="auto"/>
        </w:rPr>
      </w:pPr>
    </w:p>
    <w:p>
      <w:pPr>
        <w:ind w:right="20" w:firstLine="8"/>
        <w:spacing w:after="0" w:line="263" w:lineRule="auto"/>
        <w:tabs>
          <w:tab w:leader="none" w:pos="4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SOUTH 73° 42' 26.6" WEST STILL IN AND ALONG SAME A DISTANCE OF 538.51' TO THE EASTERLY LINE OF MICHIGAN AVENUE; THENCE</w:t>
      </w:r>
    </w:p>
    <w:p>
      <w:pPr>
        <w:spacing w:after="0" w:line="174" w:lineRule="exact"/>
        <w:rPr>
          <w:rFonts w:ascii="Arial" w:cs="Arial" w:eastAsia="Arial" w:hAnsi="Arial"/>
          <w:sz w:val="22"/>
          <w:szCs w:val="22"/>
          <w:color w:val="auto"/>
        </w:rPr>
      </w:pPr>
    </w:p>
    <w:p>
      <w:pPr>
        <w:ind w:firstLine="8"/>
        <w:spacing w:after="0" w:line="263" w:lineRule="auto"/>
        <w:tabs>
          <w:tab w:leader="none" w:pos="515"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422.95' TO THE POINT AND PLACE OF BEGINNING.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LESS AND EXCEPT THE FOLLOWING DESCRIBED PARCEL:</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EASTERLY LINE OF MICHIGAN AVENUE (950 FEET WIDE) DISTANT 715.20 FEET AS MEASURED ALONG THE EASTERLY LINE OF MICHIGAN AVENUE FROM THE SOUTHERLY LINE OF PACIFIC AVENUE (60 FEET WIDE) THENCE FROM SAID BEGINNING POINT;</w:t>
      </w:r>
    </w:p>
    <w:p>
      <w:pPr>
        <w:spacing w:after="0" w:line="185"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EASTERLY, PARALLEL WITH PACIFIC AVENUE, 59.50 FEET TO A POINT; THENCE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ind w:left="5260"/>
        <w:spacing w:after="0"/>
        <w:rPr>
          <w:rFonts w:ascii="Arial" w:cs="Arial" w:eastAsia="Arial" w:hAnsi="Arial"/>
          <w:sz w:val="22"/>
          <w:szCs w:val="22"/>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74" w:name="page175"/>
    <w:bookmarkEnd w:id="174"/>
    <w:p>
      <w:pPr>
        <w:ind w:left="380" w:hanging="372"/>
        <w:spacing w:after="0"/>
        <w:tabs>
          <w:tab w:leader="none" w:pos="3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SOUTHERLY, PARALLEL WITH MICHIGAN AVENUE, 33.00 FEET TO A DRILL HOLE;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EASTERLY, PARALLEL WITH PACIFIC AVENUE, 76.85 FEET TO A NAIL;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SOUTHERLY, PARALLEL WITH MICHIGAN AVENUE, 21.12 FEET TO A NAIL; THENCE</w:t>
      </w:r>
    </w:p>
    <w:p>
      <w:pPr>
        <w:spacing w:after="0" w:line="219" w:lineRule="exact"/>
        <w:rPr>
          <w:rFonts w:ascii="Arial" w:cs="Arial" w:eastAsia="Arial" w:hAnsi="Arial"/>
          <w:sz w:val="22"/>
          <w:szCs w:val="22"/>
          <w:color w:val="auto"/>
        </w:rPr>
      </w:pPr>
    </w:p>
    <w:p>
      <w:pPr>
        <w:ind w:firstLine="8"/>
        <w:spacing w:after="0" w:line="263" w:lineRule="auto"/>
        <w:tabs>
          <w:tab w:leader="none" w:pos="57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EASTERLY, PARALLEL WITH PACIFIC AVENUE, 66.00 FEET TO A POINT WHICH IS DISTANT 150 FEET WESTERLY OF THE WESTERLY LINE OF OHIO AVENUE (50 FEET WIDE);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378" w:val="left"/>
        </w:tabs>
        <w:numPr>
          <w:ilvl w:val="0"/>
          <w:numId w:val="90"/>
        </w:numPr>
        <w:rPr>
          <w:rFonts w:ascii="Arial" w:cs="Arial" w:eastAsia="Arial" w:hAnsi="Arial"/>
          <w:sz w:val="22"/>
          <w:szCs w:val="22"/>
          <w:color w:val="auto"/>
        </w:rPr>
      </w:pPr>
      <w:r>
        <w:rPr>
          <w:rFonts w:ascii="Arial" w:cs="Arial" w:eastAsia="Arial" w:hAnsi="Arial"/>
          <w:sz w:val="22"/>
          <w:szCs w:val="22"/>
          <w:color w:val="auto"/>
        </w:rPr>
        <w:t>SOUTHERLY, PARALLEL WITH MICHIGAN AVENUE, 1230.68 FEET TO THE EXTERIOR LINE IN THE ATLANTIC OCEAN ESTABLISHED BY THE RIPARIAN COMMISSIONERS OF NEW JERSEY; THENCE</w:t>
      </w:r>
    </w:p>
    <w:p>
      <w:pPr>
        <w:spacing w:after="0" w:line="174" w:lineRule="exact"/>
        <w:rPr>
          <w:rFonts w:ascii="Arial" w:cs="Arial" w:eastAsia="Arial" w:hAnsi="Arial"/>
          <w:sz w:val="22"/>
          <w:szCs w:val="22"/>
          <w:color w:val="auto"/>
        </w:rPr>
      </w:pPr>
    </w:p>
    <w:p>
      <w:pPr>
        <w:ind w:firstLine="8"/>
        <w:spacing w:after="0" w:line="263" w:lineRule="auto"/>
        <w:tabs>
          <w:tab w:leader="none" w:pos="416" w:val="left"/>
        </w:tabs>
        <w:numPr>
          <w:ilvl w:val="0"/>
          <w:numId w:val="90"/>
        </w:numPr>
        <w:rPr>
          <w:rFonts w:ascii="Arial" w:cs="Arial" w:eastAsia="Arial" w:hAnsi="Arial"/>
          <w:sz w:val="22"/>
          <w:szCs w:val="22"/>
          <w:color w:val="auto"/>
        </w:rPr>
      </w:pPr>
      <w:r>
        <w:rPr>
          <w:rFonts w:ascii="Arial" w:cs="Arial" w:eastAsia="Arial" w:hAnsi="Arial"/>
          <w:sz w:val="22"/>
          <w:szCs w:val="22"/>
          <w:color w:val="auto"/>
        </w:rPr>
        <w:t>WESTERLY, PARALLEL WITH PACIFIC AVENUE, IN AND ALONG SAID EXTERIOR LINE, 202.35 FEET TO THE EASTERLY LINE OF MICHIGAN AVENUE IF SAME WERE EXTENDED SOUTHERLY;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NORTHERLY, IN AND ALONG THE EASTERLY LINE OF MICHIGAN AVENUE, IF EXTENDED, 1284.80 FEET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Together with the beneficial easement rights as set forth in Access and Parking Agreement recorded in VOL 13723 CFN#201412082.</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Together with the beneficial easement rights as set forth in Easement Agreement Recorded in VOL 13724 CFN #2014012083.</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KNOWN AS LOTS 1 &amp; 3 IN BLOCK 45 AND LOT 4 IN BLOCK 44 AS SHOWN ON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Boardwalk Parcel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TRACT, PARCEL AND LOT OF LAND LYING AND BEING SITUATE IN THE CITY OF ATLANTIC CITY, COUNTY OF ATLANTIC, STATE OF NEW JERSEY, BEING MORE PARTICULARLY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EASTERLY LINE OF MICHIGAN AVENUE (50 FEET WIDE) DISTANT 715.20 FEET AS MEASURED ALONG THE EASTERLY LINE OF MICHIGAN AVENUE FROM THE SOUTHERLY LINE OF PACIFIC AVENUE (60 FEET WIDE) THENCE FROM SAID BEGINNING POINT;</w:t>
      </w:r>
    </w:p>
    <w:p>
      <w:pPr>
        <w:spacing w:after="0" w:line="185" w:lineRule="exact"/>
        <w:rPr>
          <w:sz w:val="20"/>
          <w:szCs w:val="20"/>
          <w:color w:val="auto"/>
        </w:rPr>
      </w:pPr>
    </w:p>
    <w:p>
      <w:pPr>
        <w:ind w:firstLine="8"/>
        <w:spacing w:after="0" w:line="263" w:lineRule="auto"/>
        <w:tabs>
          <w:tab w:leader="none" w:pos="506"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NORTH 62 DEGREES 32 MINUTES 00 SECONDS EAST, PARALLEL WITH PACIFIC AVENUE, 59.50 FEET TO A POINT;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75" w:name="page176"/>
    <w:bookmarkEnd w:id="175"/>
    <w:p>
      <w:pPr>
        <w:ind w:firstLine="8"/>
        <w:spacing w:after="0" w:line="263" w:lineRule="auto"/>
        <w:tabs>
          <w:tab w:leader="none" w:pos="435" w:val="left"/>
        </w:tabs>
        <w:numPr>
          <w:ilvl w:val="0"/>
          <w:numId w:val="92"/>
        </w:numPr>
        <w:rPr>
          <w:rFonts w:ascii="Arial" w:cs="Arial" w:eastAsia="Arial" w:hAnsi="Arial"/>
          <w:sz w:val="22"/>
          <w:szCs w:val="22"/>
          <w:color w:val="auto"/>
        </w:rPr>
      </w:pPr>
      <w:r>
        <w:rPr>
          <w:rFonts w:ascii="Arial" w:cs="Arial" w:eastAsia="Arial" w:hAnsi="Arial"/>
          <w:sz w:val="22"/>
          <w:szCs w:val="22"/>
          <w:color w:val="auto"/>
        </w:rPr>
        <w:t>SOUTH 27 DEGREES 28 MINUTES 00 SECONDS EAST, PARALLEL WITH MICHIGAN AVENUE, 33.00 FEET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06"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NORTH 62 DEGREES 32 MINUTES 00 SECONDS EAST, PARALLEL WITH PACIFIC AVENUE, 76.85 FEET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35" w:val="left"/>
        </w:tabs>
        <w:numPr>
          <w:ilvl w:val="0"/>
          <w:numId w:val="92"/>
        </w:numPr>
        <w:rPr>
          <w:rFonts w:ascii="Arial" w:cs="Arial" w:eastAsia="Arial" w:hAnsi="Arial"/>
          <w:sz w:val="22"/>
          <w:szCs w:val="22"/>
          <w:color w:val="auto"/>
        </w:rPr>
      </w:pPr>
      <w:r>
        <w:rPr>
          <w:rFonts w:ascii="Arial" w:cs="Arial" w:eastAsia="Arial" w:hAnsi="Arial"/>
          <w:sz w:val="22"/>
          <w:szCs w:val="22"/>
          <w:color w:val="auto"/>
        </w:rPr>
        <w:t>SOUTH 27 DEGREES 28 MINUTES 00 SECONDS EAST, PARALLEL WITH MICHIGAN AVENUE, 21.12 FEET TO A POINT;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92"/>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66.00 FEET;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THENCE</w:t>
      </w:r>
    </w:p>
    <w:p>
      <w:pPr>
        <w:spacing w:after="0" w:line="201" w:lineRule="exact"/>
        <w:rPr>
          <w:rFonts w:ascii="Arial" w:cs="Arial" w:eastAsia="Arial" w:hAnsi="Arial"/>
          <w:sz w:val="21"/>
          <w:szCs w:val="21"/>
          <w:color w:val="auto"/>
        </w:rPr>
      </w:pPr>
    </w:p>
    <w:p>
      <w:pPr>
        <w:ind w:left="440" w:hanging="432"/>
        <w:spacing w:after="0"/>
        <w:tabs>
          <w:tab w:leader="none" w:pos="4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SOUTH 27 DEGREES 28 MINUTES 00 SECONDS EAST, PARALLEL WITH MICHIGAN AVENUE, A DISTANCE OF</w:t>
      </w:r>
    </w:p>
    <w:p>
      <w:pPr>
        <w:spacing w:after="0" w:line="55" w:lineRule="exact"/>
        <w:rPr>
          <w:rFonts w:ascii="Arial" w:cs="Arial" w:eastAsia="Arial" w:hAnsi="Arial"/>
          <w:sz w:val="19"/>
          <w:szCs w:val="19"/>
          <w:color w:val="auto"/>
        </w:rPr>
      </w:pPr>
    </w:p>
    <w:p>
      <w:pPr>
        <w:ind w:right="20"/>
        <w:spacing w:after="0" w:line="246" w:lineRule="auto"/>
        <w:rPr>
          <w:rFonts w:ascii="Arial" w:cs="Arial" w:eastAsia="Arial" w:hAnsi="Arial"/>
          <w:sz w:val="19"/>
          <w:szCs w:val="19"/>
          <w:color w:val="auto"/>
        </w:rPr>
      </w:pPr>
      <w:r>
        <w:rPr>
          <w:rFonts w:ascii="Arial" w:cs="Arial" w:eastAsia="Arial" w:hAnsi="Arial"/>
          <w:sz w:val="22"/>
          <w:szCs w:val="22"/>
          <w:color w:val="auto"/>
        </w:rPr>
        <w:t>1230.68 FEET TO A POINT IN THE RIPARIAN COMMISSIONERS LINE 2000 FEET SOUTH OF PACIFIC AVENUE; THENCE</w:t>
      </w:r>
    </w:p>
    <w:p>
      <w:pPr>
        <w:spacing w:after="0" w:line="192" w:lineRule="exact"/>
        <w:rPr>
          <w:rFonts w:ascii="Arial" w:cs="Arial" w:eastAsia="Arial" w:hAnsi="Arial"/>
          <w:sz w:val="19"/>
          <w:szCs w:val="19"/>
          <w:color w:val="auto"/>
        </w:rPr>
      </w:pPr>
    </w:p>
    <w:p>
      <w:pPr>
        <w:ind w:firstLine="8"/>
        <w:spacing w:after="0" w:line="263" w:lineRule="auto"/>
        <w:tabs>
          <w:tab w:leader="none" w:pos="450" w:val="left"/>
        </w:tabs>
        <w:numPr>
          <w:ilvl w:val="0"/>
          <w:numId w:val="92"/>
        </w:numPr>
        <w:rPr>
          <w:rFonts w:ascii="Arial" w:cs="Arial" w:eastAsia="Arial" w:hAnsi="Arial"/>
          <w:sz w:val="22"/>
          <w:szCs w:val="22"/>
          <w:color w:val="auto"/>
        </w:rPr>
      </w:pPr>
      <w:r>
        <w:rPr>
          <w:rFonts w:ascii="Arial" w:cs="Arial" w:eastAsia="Arial" w:hAnsi="Arial"/>
          <w:sz w:val="22"/>
          <w:szCs w:val="22"/>
          <w:color w:val="auto"/>
        </w:rPr>
        <w:t>SOUTH 62 DEGREES 32 MINUTES 00 SECONDS WEST IN AND ALONG SAME A DISTANCE OF 202.35 FEET TO A POINT IN THE EAST LINE OF MICHIGAN AVENUE IF EXTENDED; THENCE</w:t>
      </w:r>
    </w:p>
    <w:p>
      <w:pPr>
        <w:spacing w:after="0" w:line="174" w:lineRule="exact"/>
        <w:rPr>
          <w:rFonts w:ascii="Arial" w:cs="Arial" w:eastAsia="Arial" w:hAnsi="Arial"/>
          <w:sz w:val="22"/>
          <w:szCs w:val="22"/>
          <w:color w:val="auto"/>
        </w:rPr>
      </w:pPr>
    </w:p>
    <w:p>
      <w:pPr>
        <w:ind w:firstLine="8"/>
        <w:spacing w:after="0" w:line="263" w:lineRule="auto"/>
        <w:tabs>
          <w:tab w:leader="none" w:pos="493"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NORTH 27 DEGREES 28 MINUTES 00 SECONDS WEST, IN AND ALONG SAME A DISTANCE OF 1284.80 FEET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Together with the beneficial easement rights as set forth in Access and Parking Agreement recorded in VOL 13723 CFN#201412082.</w:t>
      </w:r>
    </w:p>
    <w:p>
      <w:pPr>
        <w:spacing w:after="0" w:line="175" w:lineRule="exact"/>
        <w:rPr>
          <w:sz w:val="20"/>
          <w:szCs w:val="20"/>
          <w:color w:val="auto"/>
        </w:rPr>
      </w:pPr>
    </w:p>
    <w:p>
      <w:pPr>
        <w:spacing w:after="0" w:line="410" w:lineRule="auto"/>
        <w:rPr>
          <w:sz w:val="20"/>
          <w:szCs w:val="20"/>
          <w:color w:val="auto"/>
        </w:rPr>
      </w:pPr>
      <w:r>
        <w:rPr>
          <w:rFonts w:ascii="Arial" w:cs="Arial" w:eastAsia="Arial" w:hAnsi="Arial"/>
          <w:sz w:val="19"/>
          <w:szCs w:val="19"/>
          <w:color w:val="auto"/>
        </w:rPr>
        <w:t>Together with the beneficial easement rights as set forth in Easement Agreement Recorded in VOL 13724 CFN #2014012083. FOR INFORMATION PURPOSES ONLY: KNOWN AS LOTS 5 IN BLOCK 45 AS SHOWN ON THE ATLANTIC CITY TAX</w:t>
      </w:r>
    </w:p>
    <w:p>
      <w:pPr>
        <w:jc w:val="both"/>
        <w:spacing w:after="0" w:line="246" w:lineRule="auto"/>
        <w:rPr>
          <w:sz w:val="20"/>
          <w:szCs w:val="20"/>
          <w:color w:val="auto"/>
        </w:rPr>
      </w:pPr>
      <w:r>
        <w:rPr>
          <w:rFonts w:ascii="Arial" w:cs="Arial" w:eastAsia="Arial" w:hAnsi="Arial"/>
          <w:sz w:val="22"/>
          <w:szCs w:val="22"/>
          <w:color w:val="auto"/>
        </w:rPr>
        <w:t>MAP. NOTE: Lands lying waterward of the Interior Line of the Public Park are assessed to the City of Atlantic City as Tax Lot 98 Block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Bally’s Park Place Garage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THE INTERSECTION OF THE SOUTHERLY LINE OF PACIFIC AVENUE (60.00' WIDE) AND THE EASTERLY LINE OF MICHIGAN AVENUE (50.00' WIDE) AND EXTENDING FROM SAID BEGINNING POINT; THENCE</w:t>
      </w:r>
    </w:p>
    <w:p>
      <w:pPr>
        <w:spacing w:after="0" w:line="185"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NORTH 62° 32' 00" EAST IN AND ALONG THE SOUTHERLY LINE OF PACIFIC AVENUE A DISTANCE OF 352.35'</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WESTERLY LINE OF OHIO AVENUE (50.00' WIDE);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76" w:name="page177"/>
    <w:bookmarkEnd w:id="176"/>
    <w:p>
      <w:pPr>
        <w:ind w:firstLine="8"/>
        <w:spacing w:after="0" w:line="263" w:lineRule="auto"/>
        <w:tabs>
          <w:tab w:leader="none" w:pos="385" w:val="left"/>
        </w:tabs>
        <w:numPr>
          <w:ilvl w:val="0"/>
          <w:numId w:val="94"/>
        </w:numPr>
        <w:rPr>
          <w:rFonts w:ascii="Arial" w:cs="Arial" w:eastAsia="Arial" w:hAnsi="Arial"/>
          <w:sz w:val="22"/>
          <w:szCs w:val="22"/>
          <w:color w:val="auto"/>
        </w:rPr>
      </w:pPr>
      <w:r>
        <w:rPr>
          <w:rFonts w:ascii="Arial" w:cs="Arial" w:eastAsia="Arial" w:hAnsi="Arial"/>
          <w:sz w:val="22"/>
          <w:szCs w:val="22"/>
          <w:color w:val="auto"/>
        </w:rPr>
        <w:t>SOUTH 27° 28' 00" EAST IN AND ALONG SAME A DISTANCE OF 360.00' TO A POINT IN THE NORTHERLY LINE OF POP LLOYD BOULEVARD (74.00' WIDE); THENCE</w:t>
      </w:r>
    </w:p>
    <w:p>
      <w:pPr>
        <w:spacing w:after="0" w:line="174" w:lineRule="exact"/>
        <w:rPr>
          <w:rFonts w:ascii="Arial" w:cs="Arial" w:eastAsia="Arial" w:hAnsi="Arial"/>
          <w:sz w:val="22"/>
          <w:szCs w:val="22"/>
          <w:color w:val="auto"/>
        </w:rPr>
      </w:pPr>
    </w:p>
    <w:p>
      <w:pPr>
        <w:ind w:firstLine="8"/>
        <w:spacing w:after="0" w:line="263" w:lineRule="auto"/>
        <w:tabs>
          <w:tab w:leader="none" w:pos="422" w:val="left"/>
        </w:tabs>
        <w:numPr>
          <w:ilvl w:val="0"/>
          <w:numId w:val="94"/>
        </w:numPr>
        <w:rPr>
          <w:rFonts w:ascii="Arial" w:cs="Arial" w:eastAsia="Arial" w:hAnsi="Arial"/>
          <w:sz w:val="22"/>
          <w:szCs w:val="22"/>
          <w:color w:val="auto"/>
        </w:rPr>
      </w:pPr>
      <w:r>
        <w:rPr>
          <w:rFonts w:ascii="Arial" w:cs="Arial" w:eastAsia="Arial" w:hAnsi="Arial"/>
          <w:sz w:val="22"/>
          <w:szCs w:val="22"/>
          <w:color w:val="auto"/>
        </w:rPr>
        <w:t>SOUTH 62° 32' 00" WEST PARALLEL IN AND ALONG SAME A DISTANCE OF 352.35' TO THE EASTERLY LINE OF MICHIGAN AVENUE; THENCE</w:t>
      </w:r>
    </w:p>
    <w:p>
      <w:pPr>
        <w:spacing w:after="0" w:line="174" w:lineRule="exact"/>
        <w:rPr>
          <w:rFonts w:ascii="Arial" w:cs="Arial" w:eastAsia="Arial" w:hAnsi="Arial"/>
          <w:sz w:val="22"/>
          <w:szCs w:val="22"/>
          <w:color w:val="auto"/>
        </w:rPr>
      </w:pPr>
    </w:p>
    <w:p>
      <w:pPr>
        <w:ind w:firstLine="8"/>
        <w:spacing w:after="0" w:line="263" w:lineRule="auto"/>
        <w:tabs>
          <w:tab w:leader="none" w:pos="515"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360.00'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Together with the beneficial easement rights as set forth in Access and Parking Agreement recorded in VOL 13723 CFN#201412082.</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Together with the beneficial easement rights as set forth in Easement Agreement Recorded in VOL 13724 CFN #2014012083.</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KNOWN AS LOT 1 IN BLOCK 43 AS SHOWN ON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Wild West Casino</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THE INTERSECTION OF THE SOUTHERLY LINE OF PACIFIC AVENUE (60.00' WIDE) AND THE EASTERLY LINE OF ARKANSAS AVENUE (50.00' WIDE) AND EXTENDING FROM SAID BEGINNING POINT; THENCE</w:t>
      </w:r>
    </w:p>
    <w:p>
      <w:pPr>
        <w:spacing w:after="0" w:line="185"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NORTH 62° 32' 00" EAST IN AND ALONG THE SOUTHERLY LINE OF PACIFIC AVENUE A DISTANCE OF 350.00'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WESTERLY LINE OF MICHIGAN AVENUE (50.00' WIDE); THENCE</w:t>
      </w:r>
    </w:p>
    <w:p>
      <w:pPr>
        <w:spacing w:after="0" w:line="201" w:lineRule="exact"/>
        <w:rPr>
          <w:rFonts w:ascii="Arial" w:cs="Arial" w:eastAsia="Arial" w:hAnsi="Arial"/>
          <w:sz w:val="19"/>
          <w:szCs w:val="19"/>
          <w:color w:val="auto"/>
        </w:rPr>
      </w:pPr>
    </w:p>
    <w:p>
      <w:pPr>
        <w:ind w:firstLine="8"/>
        <w:spacing w:after="0" w:line="263" w:lineRule="auto"/>
        <w:tabs>
          <w:tab w:leader="none" w:pos="432" w:val="left"/>
        </w:tabs>
        <w:numPr>
          <w:ilvl w:val="0"/>
          <w:numId w:val="95"/>
        </w:numPr>
        <w:rPr>
          <w:rFonts w:ascii="Arial" w:cs="Arial" w:eastAsia="Arial" w:hAnsi="Arial"/>
          <w:sz w:val="22"/>
          <w:szCs w:val="22"/>
          <w:color w:val="auto"/>
        </w:rPr>
      </w:pPr>
      <w:r>
        <w:rPr>
          <w:rFonts w:ascii="Arial" w:cs="Arial" w:eastAsia="Arial" w:hAnsi="Arial"/>
          <w:sz w:val="22"/>
          <w:szCs w:val="22"/>
          <w:color w:val="auto"/>
        </w:rPr>
        <w:t>SOUTH 27° 28' 00" EAST IN AND ALONG SAME A DISTANCE OF 847.08' TO A POINT IN THE INTERIOR LINE OF PARK; THENCE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SOUTH 73° 42' 27" WEST IN AND ALONG SAME A DISTANCE OF 332.25' TO A POINT OF CURVATURE IN SAME;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THENCE</w:t>
      </w:r>
    </w:p>
    <w:p>
      <w:pPr>
        <w:spacing w:after="0" w:line="201" w:lineRule="exact"/>
        <w:rPr>
          <w:rFonts w:ascii="Arial" w:cs="Arial" w:eastAsia="Arial" w:hAnsi="Arial"/>
          <w:sz w:val="19"/>
          <w:szCs w:val="19"/>
          <w:color w:val="auto"/>
        </w:rPr>
      </w:pPr>
    </w:p>
    <w:p>
      <w:pPr>
        <w:ind w:firstLine="8"/>
        <w:spacing w:after="0" w:line="287" w:lineRule="auto"/>
        <w:tabs>
          <w:tab w:leader="none" w:pos="537" w:val="left"/>
        </w:tabs>
        <w:numPr>
          <w:ilvl w:val="0"/>
          <w:numId w:val="95"/>
        </w:numPr>
        <w:rPr>
          <w:rFonts w:ascii="Arial" w:cs="Arial" w:eastAsia="Arial" w:hAnsi="Arial"/>
          <w:sz w:val="21"/>
          <w:szCs w:val="21"/>
          <w:color w:val="auto"/>
        </w:rPr>
      </w:pPr>
      <w:r>
        <w:rPr>
          <w:rFonts w:ascii="Arial" w:cs="Arial" w:eastAsia="Arial" w:hAnsi="Arial"/>
          <w:sz w:val="21"/>
          <w:szCs w:val="21"/>
          <w:color w:val="auto"/>
        </w:rPr>
        <w:t>STILL IN AND ALONG SAME AND CURVING TO THE LEFT ALONG THE ARC OF A CIRCLE HAVING A RADIUS OF 1259.09' AN ARC DISTANCE OF 24.86' TO THE EASTERLY LINE OF ARKANSAS AVENUE; THENCE</w:t>
      </w:r>
    </w:p>
    <w:p>
      <w:pPr>
        <w:spacing w:after="0" w:line="151" w:lineRule="exact"/>
        <w:rPr>
          <w:rFonts w:ascii="Arial" w:cs="Arial" w:eastAsia="Arial" w:hAnsi="Arial"/>
          <w:sz w:val="21"/>
          <w:szCs w:val="21"/>
          <w:color w:val="auto"/>
        </w:rPr>
      </w:pPr>
    </w:p>
    <w:p>
      <w:pPr>
        <w:ind w:firstLine="8"/>
        <w:spacing w:after="0" w:line="263" w:lineRule="auto"/>
        <w:tabs>
          <w:tab w:leader="none" w:pos="447"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105.00' TO THE SOUTHERLY LINE OF LOT 4.01 IN BLOCK 43;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77" w:name="page178"/>
    <w:bookmarkEnd w:id="177"/>
    <w:p>
      <w:pPr>
        <w:ind w:left="440" w:hanging="432"/>
        <w:spacing w:after="0"/>
        <w:tabs>
          <w:tab w:leader="none" w:pos="4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NORTH 62° 32' 00" EAST IN AND ALONG SAME, PARALLEL WITH PACIFIC AVENUE A DISTANCE OF 200.00'</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TO A POINT; THENCE</w:t>
      </w:r>
    </w:p>
    <w:p>
      <w:pPr>
        <w:spacing w:after="0" w:line="201" w:lineRule="exact"/>
        <w:rPr>
          <w:rFonts w:ascii="Arial" w:cs="Arial" w:eastAsia="Arial" w:hAnsi="Arial"/>
          <w:sz w:val="21"/>
          <w:szCs w:val="21"/>
          <w:color w:val="auto"/>
        </w:rPr>
      </w:pPr>
    </w:p>
    <w:p>
      <w:pPr>
        <w:ind w:left="380" w:hanging="372"/>
        <w:spacing w:after="0"/>
        <w:tabs>
          <w:tab w:leader="none" w:pos="3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NORTH 27° 28' 00" WEST PARALLEL WITH ARKANSAS AVENUE A DISTANCE OF 173.19' TO A POINT; THENCE</w:t>
      </w:r>
    </w:p>
    <w:p>
      <w:pPr>
        <w:spacing w:after="0" w:line="254" w:lineRule="exact"/>
        <w:rPr>
          <w:rFonts w:ascii="Arial" w:cs="Arial" w:eastAsia="Arial" w:hAnsi="Arial"/>
          <w:sz w:val="19"/>
          <w:szCs w:val="19"/>
          <w:color w:val="auto"/>
        </w:rPr>
      </w:pPr>
    </w:p>
    <w:p>
      <w:pPr>
        <w:ind w:left="380" w:hanging="372"/>
        <w:spacing w:after="0"/>
        <w:tabs>
          <w:tab w:leader="none" w:pos="3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SOUTH 62° 32' 00" WEST PARALLEL WITH PACIFIC AVENUE A DISTANCE OF 12.50' TO A POINT; THENCE</w:t>
      </w:r>
    </w:p>
    <w:p>
      <w:pPr>
        <w:spacing w:after="0" w:line="231" w:lineRule="exact"/>
        <w:rPr>
          <w:rFonts w:ascii="Arial" w:cs="Arial" w:eastAsia="Arial" w:hAnsi="Arial"/>
          <w:sz w:val="21"/>
          <w:szCs w:val="21"/>
          <w:color w:val="auto"/>
        </w:rPr>
      </w:pPr>
    </w:p>
    <w:p>
      <w:pPr>
        <w:ind w:left="380" w:hanging="372"/>
        <w:spacing w:after="0"/>
        <w:tabs>
          <w:tab w:leader="none" w:pos="3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NORTH 27° 28' 00" WEST PARALLEL WITH ARKANSAS AVENUE A DISTANCE OF 50.00' TO A POINT; THENCE</w:t>
      </w:r>
    </w:p>
    <w:p>
      <w:pPr>
        <w:spacing w:after="0" w:line="231" w:lineRule="exact"/>
        <w:rPr>
          <w:rFonts w:ascii="Arial" w:cs="Arial" w:eastAsia="Arial" w:hAnsi="Arial"/>
          <w:sz w:val="21"/>
          <w:szCs w:val="21"/>
          <w:color w:val="auto"/>
        </w:rPr>
      </w:pPr>
    </w:p>
    <w:p>
      <w:pPr>
        <w:ind w:firstLine="8"/>
        <w:spacing w:after="0" w:line="263" w:lineRule="auto"/>
        <w:tabs>
          <w:tab w:leader="none" w:pos="5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SOUTH 62° 32' 00" WEST PARALLEL WITH PACIFIC AVENUE A DISTANCE OF 187.50' TO THE WESTERLY LINE OF ARKANSAS AVENUE; THENCE</w:t>
      </w:r>
    </w:p>
    <w:p>
      <w:pPr>
        <w:spacing w:after="0" w:line="174" w:lineRule="exact"/>
        <w:rPr>
          <w:rFonts w:ascii="Arial" w:cs="Arial" w:eastAsia="Arial" w:hAnsi="Arial"/>
          <w:sz w:val="22"/>
          <w:szCs w:val="22"/>
          <w:color w:val="auto"/>
        </w:rPr>
      </w:pPr>
    </w:p>
    <w:p>
      <w:pPr>
        <w:ind w:firstLine="8"/>
        <w:spacing w:after="0" w:line="263" w:lineRule="auto"/>
        <w:tabs>
          <w:tab w:leader="none" w:pos="598"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450.00' TO THE POINT AND PLACE OF BEGINNING.</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Together with the beneficial easement rights as set forth in Declaration of Cross Easements recorded in Deed Book 6619, page 86.</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KNOWN AS LOT 1 IN BLOCK 42 AS SHOWN ON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Hummock Avenue Parcel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BEGINNING AT THE SOUTH LINE OF HUMMOCK AVENUE (50.00' WIDE) A DISTANCE OF 252.76' SOUTHWEST OF OHIO AVENUE (50.00' WIDE) AND EXTENDING; THENCE</w:t>
      </w:r>
    </w:p>
    <w:p>
      <w:pPr>
        <w:spacing w:after="0" w:line="175" w:lineRule="exact"/>
        <w:rPr>
          <w:sz w:val="20"/>
          <w:szCs w:val="20"/>
          <w:color w:val="auto"/>
        </w:rPr>
      </w:pPr>
    </w:p>
    <w:p>
      <w:pPr>
        <w:ind w:firstLine="8"/>
        <w:spacing w:after="0" w:line="263" w:lineRule="auto"/>
        <w:tabs>
          <w:tab w:leader="none" w:pos="470"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NORTH 62° 32' 00" EAST IN AND ALONG THE SOUTHERLY LINE OF HUMMOCK AVENUE A DISTANCE OF 69.76'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02" w:val="left"/>
        </w:tabs>
        <w:numPr>
          <w:ilvl w:val="0"/>
          <w:numId w:val="97"/>
        </w:numPr>
        <w:rPr>
          <w:rFonts w:ascii="Arial" w:cs="Arial" w:eastAsia="Arial" w:hAnsi="Arial"/>
          <w:sz w:val="22"/>
          <w:szCs w:val="22"/>
          <w:color w:val="auto"/>
        </w:rPr>
      </w:pPr>
      <w:r>
        <w:rPr>
          <w:rFonts w:ascii="Arial" w:cs="Arial" w:eastAsia="Arial" w:hAnsi="Arial"/>
          <w:sz w:val="22"/>
          <w:szCs w:val="22"/>
          <w:color w:val="auto"/>
        </w:rPr>
        <w:t>SOUTH 27° 28' 00" EAST PARALLEL WITH OHIO AVENUE AND AT RIGHT ANGLES TO HUMMOCK AVENUE A DISTANCE OF 121.00' TO A POINT; THENCE</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SOUTH 62° 32' 00" WEST PARALLEL WITH HUMMOCK AVENUE A DISTANCE OF 3.53' TO A POINT DISTANT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152.00' NORTHEAST OF BACHARACH BOULEVARD; THENCE</w:t>
      </w:r>
    </w:p>
    <w:p>
      <w:pPr>
        <w:spacing w:after="0" w:line="201" w:lineRule="exact"/>
        <w:rPr>
          <w:rFonts w:ascii="Arial" w:cs="Arial" w:eastAsia="Arial" w:hAnsi="Arial"/>
          <w:sz w:val="21"/>
          <w:szCs w:val="21"/>
          <w:color w:val="auto"/>
        </w:rPr>
      </w:pPr>
    </w:p>
    <w:p>
      <w:pPr>
        <w:ind w:firstLine="8"/>
        <w:spacing w:after="0" w:line="263" w:lineRule="auto"/>
        <w:tabs>
          <w:tab w:leader="none" w:pos="475"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15.44 TO A POINT;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78" w:name="page179"/>
    <w:bookmarkEnd w:id="178"/>
    <w:p>
      <w:pPr>
        <w:ind w:firstLine="8"/>
        <w:spacing w:after="0" w:line="263" w:lineRule="auto"/>
        <w:tabs>
          <w:tab w:leader="none" w:pos="508" w:val="left"/>
        </w:tabs>
        <w:numPr>
          <w:ilvl w:val="0"/>
          <w:numId w:val="98"/>
        </w:numPr>
        <w:rPr>
          <w:rFonts w:ascii="Arial" w:cs="Arial" w:eastAsia="Arial" w:hAnsi="Arial"/>
          <w:sz w:val="22"/>
          <w:szCs w:val="22"/>
          <w:color w:val="auto"/>
        </w:rPr>
      </w:pPr>
      <w:r>
        <w:rPr>
          <w:rFonts w:ascii="Arial" w:cs="Arial" w:eastAsia="Arial" w:hAnsi="Arial"/>
          <w:sz w:val="22"/>
          <w:szCs w:val="22"/>
          <w:color w:val="auto"/>
        </w:rPr>
        <w:t>SOUTH 13° 19' 00" WEST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66"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16"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NORTH 13° 19' 00" EAST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43"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103.50' TO A POINT;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06"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NORTH 12° 59' 55" EAST A DISTANCE OF 48.57' TO THE SOUTHERLY LINE OF HUMMOCK AVENUE AND THE POINT AND PLACE OF BEGINNING.</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SUBJECT TO AND TOGETHER WITH THE RIGHT OF INGRESS AND EGRESS WITH OTHERS OVER THE FOLLOWING DESCRIBED RIGHT OF WAY: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BEGINNING AT A POINT IN THE NORTHEAST LINE OF BACHARACH BLVD. (70 FEET WIDE) DISTANT 570.5 FEET SOUTHEAST OF ARKANSAS AVENUE (60 FEET WIDE) AND EXTENDING THENCE:</w:t>
      </w:r>
    </w:p>
    <w:p>
      <w:pPr>
        <w:spacing w:after="0" w:line="175" w:lineRule="exact"/>
        <w:rPr>
          <w:sz w:val="20"/>
          <w:szCs w:val="20"/>
          <w:color w:val="auto"/>
        </w:rPr>
      </w:pPr>
    </w:p>
    <w:p>
      <w:pPr>
        <w:ind w:left="380" w:hanging="372"/>
        <w:spacing w:after="0"/>
        <w:tabs>
          <w:tab w:leader="none" w:pos="3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NORTHEASTWARDLY AT RIGHT ANGLES TO BACHARACH BLVD. 152 FEET;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SOUTHEASTWARDLY PARALLEL WITH BACHARACH BLVD. 20 FEET; THENCE</w:t>
      </w:r>
    </w:p>
    <w:p>
      <w:pPr>
        <w:spacing w:after="0" w:line="219" w:lineRule="exact"/>
        <w:rPr>
          <w:rFonts w:ascii="Arial" w:cs="Arial" w:eastAsia="Arial" w:hAnsi="Arial"/>
          <w:sz w:val="22"/>
          <w:szCs w:val="22"/>
          <w:color w:val="auto"/>
        </w:rPr>
      </w:pPr>
    </w:p>
    <w:p>
      <w:pPr>
        <w:ind w:right="20" w:firstLine="8"/>
        <w:spacing w:after="0" w:line="263" w:lineRule="auto"/>
        <w:tabs>
          <w:tab w:leader="none" w:pos="464" w:val="left"/>
        </w:tabs>
        <w:numPr>
          <w:ilvl w:val="0"/>
          <w:numId w:val="99"/>
        </w:numPr>
        <w:rPr>
          <w:rFonts w:ascii="Arial" w:cs="Arial" w:eastAsia="Arial" w:hAnsi="Arial"/>
          <w:sz w:val="22"/>
          <w:szCs w:val="22"/>
          <w:color w:val="auto"/>
        </w:rPr>
      </w:pPr>
      <w:r>
        <w:rPr>
          <w:rFonts w:ascii="Arial" w:cs="Arial" w:eastAsia="Arial" w:hAnsi="Arial"/>
          <w:sz w:val="22"/>
          <w:szCs w:val="22"/>
          <w:color w:val="auto"/>
        </w:rPr>
        <w:t>SOUTHWESTWARDLY AT RIGHT ANGLES TO BACHARACH BLVD 152 FEET TO THE NORTHEAST LINE OF BACHARACH BLVD.; THENCE</w:t>
      </w:r>
    </w:p>
    <w:p>
      <w:pPr>
        <w:spacing w:after="0" w:line="174" w:lineRule="exact"/>
        <w:rPr>
          <w:rFonts w:ascii="Arial" w:cs="Arial" w:eastAsia="Arial" w:hAnsi="Arial"/>
          <w:sz w:val="22"/>
          <w:szCs w:val="22"/>
          <w:color w:val="auto"/>
        </w:rPr>
      </w:pPr>
    </w:p>
    <w:p>
      <w:pPr>
        <w:ind w:firstLine="8"/>
        <w:spacing w:after="0" w:line="263" w:lineRule="auto"/>
        <w:tabs>
          <w:tab w:leader="none" w:pos="626"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NORTHWESTWARDLY IN AND ALONG BACHARACH BLVD 20 FEET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BEING KNOWN AS LOTS 20, 21 &amp; 22 IN BLOCK 488 OF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Air Rights Over Michigan Avenue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TRACT I:</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WESTERLY LINE OF MICHIGAN AVENUE (50.00 WIDE), SAID POINT BEING DISTANT 239.00 FEET SOUTH OF THE SOUTHERLY LINE OF PACIFIC AVENUE (60.00 FEET WIDE), AND EXTENDING;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79" w:name="page180"/>
    <w:bookmarkEnd w:id="179"/>
    <w:p>
      <w:pPr>
        <w:ind w:firstLine="8"/>
        <w:spacing w:after="0" w:line="287" w:lineRule="auto"/>
        <w:tabs>
          <w:tab w:leader="none" w:pos="47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AND CROSSING MICHIGAN AVENUE, A DISTANCE OF 50.00 FEET TO THE EASTERLY LINE OF MICHIGAN AVENUE; THENCE</w:t>
      </w:r>
    </w:p>
    <w:p>
      <w:pPr>
        <w:spacing w:after="0" w:line="151" w:lineRule="exact"/>
        <w:rPr>
          <w:rFonts w:ascii="Arial" w:cs="Arial" w:eastAsia="Arial" w:hAnsi="Arial"/>
          <w:sz w:val="21"/>
          <w:szCs w:val="21"/>
          <w:color w:val="auto"/>
        </w:rPr>
      </w:pPr>
    </w:p>
    <w:p>
      <w:pPr>
        <w:ind w:firstLine="8"/>
        <w:spacing w:after="0" w:line="263" w:lineRule="auto"/>
        <w:tabs>
          <w:tab w:leader="none" w:pos="4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SOUTH 27 DEGREES 28 MINUTES 00 SECONDS EAST IN AND ALONG THE EASTERLY LINE OF MICHIGAN AVENUE A DISTANCE OF 50.00 FEET; THENCE</w:t>
      </w:r>
    </w:p>
    <w:p>
      <w:pPr>
        <w:spacing w:after="0" w:line="174" w:lineRule="exact"/>
        <w:rPr>
          <w:rFonts w:ascii="Arial" w:cs="Arial" w:eastAsia="Arial" w:hAnsi="Arial"/>
          <w:sz w:val="22"/>
          <w:szCs w:val="22"/>
          <w:color w:val="auto"/>
        </w:rPr>
      </w:pPr>
    </w:p>
    <w:p>
      <w:pPr>
        <w:ind w:right="20" w:firstLine="8"/>
        <w:spacing w:after="0" w:line="287" w:lineRule="auto"/>
        <w:tabs>
          <w:tab w:leader="none" w:pos="46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SOUTH 62 DEGREES 32 MINUTES 00 SECONDS WEST, PARALLEL WITH PACIFIC AVENUE AND CROSSING MICHIGAN AVENUE A DISTANCE OF 50.00 FEET TO THE WESTERLY LINE OF MICHIGAN AVENUE; THENCE</w:t>
      </w:r>
    </w:p>
    <w:p>
      <w:pPr>
        <w:spacing w:after="0" w:line="151" w:lineRule="exact"/>
        <w:rPr>
          <w:rFonts w:ascii="Arial" w:cs="Arial" w:eastAsia="Arial" w:hAnsi="Arial"/>
          <w:sz w:val="21"/>
          <w:szCs w:val="21"/>
          <w:color w:val="auto"/>
        </w:rPr>
      </w:pPr>
    </w:p>
    <w:p>
      <w:pPr>
        <w:ind w:firstLine="8"/>
        <w:spacing w:after="0" w:line="263" w:lineRule="auto"/>
        <w:tabs>
          <w:tab w:leader="none" w:pos="43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NORTH 27 DEGREES 28 MINUTES 00 SECONDS WEST IN AND ALONG THE WESTERLY LINE OF MICHIGAN AVENUE, A DISTANCE OF 50.00 FEET TO THE POINT AND PLACE OF BEGINNING.</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BEING AN AREA ABOVE THE HORIZONTAL PLACE OF MICHIGAN AVENUE BETWEEN ELEVATION 46.00 FEET AND ELEVATION 46.00 FEET 6 INCHES SAID ELEVATIONS IN REFERENCE TO U.S.C. AND G.S. DATUM</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(ELEVATION 0.00 =MEAN SEA LEVEL)</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FOR INFORMATION ONLY: BEING KNOWN AS KNOWN AS LOT 6 IN BLOCK 42 OF THE ATLANTIC CITY TAX MAP</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TRACT II</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WESTERLY LINE OF MICHIGAN AVENUE (50.00 WIDE) SAID POINT BEING DISTANT 503.17 FEET SOUTH OF THE SOUTHERLY LINE OF PACIFIC AVENUE (60.00 FEET WIDE) AND EXTENDING FROM SAID BEGINNING POINT; THENCE</w:t>
      </w:r>
    </w:p>
    <w:p>
      <w:pPr>
        <w:spacing w:after="0" w:line="185" w:lineRule="exact"/>
        <w:rPr>
          <w:sz w:val="20"/>
          <w:szCs w:val="20"/>
          <w:color w:val="auto"/>
        </w:rPr>
      </w:pPr>
    </w:p>
    <w:p>
      <w:pPr>
        <w:ind w:right="20" w:firstLine="8"/>
        <w:spacing w:after="0" w:line="263" w:lineRule="auto"/>
        <w:tabs>
          <w:tab w:leader="none" w:pos="48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SOUTH 27 DEGREES 28 MINUTES EAST IN AND ALONG THE EASTERLY LINE OF MICHIGAN AVENUE, A DISTANCE OF 27.16 FEET;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1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SOUTH 39 DEGREES 32 MINUTES 00 SECONDS WEST, CROSSING MICHIGAN AVENUE A DISTANCE OF 54.32 FEET TO THE WESTERLY LINE OF MICHIGAN AVENUE;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6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NORTH 27 DEGREES 28 MINUTES WEST IN AND ALONG THE WESTERLY LINE OF MICHIGAN AVENUE, A DISTANCE OF 27.16 FEET; THENCE</w:t>
      </w:r>
    </w:p>
    <w:p>
      <w:pPr>
        <w:spacing w:after="0" w:line="174" w:lineRule="exact"/>
        <w:rPr>
          <w:rFonts w:ascii="Arial" w:cs="Arial" w:eastAsia="Arial" w:hAnsi="Arial"/>
          <w:sz w:val="22"/>
          <w:szCs w:val="22"/>
          <w:color w:val="auto"/>
        </w:rPr>
      </w:pPr>
    </w:p>
    <w:p>
      <w:pPr>
        <w:ind w:firstLine="8"/>
        <w:spacing w:after="0" w:line="263" w:lineRule="auto"/>
        <w:tabs>
          <w:tab w:leader="none" w:pos="42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NORTH 39 DEGREES 32 MINUTES 00 SECONDS EAST, CROSSING MICHIGAN AVENUE A DISTANCE OF 54.32 FEET TO THE EASTERLY LINE OF MICHIGAN AVENUE; THE POINT AND PLACE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80" w:name="page181"/>
    <w:bookmarkEnd w:id="180"/>
    <w:p>
      <w:pPr>
        <w:jc w:val="both"/>
        <w:ind w:right="20"/>
        <w:spacing w:after="0" w:line="263" w:lineRule="auto"/>
        <w:rPr>
          <w:sz w:val="20"/>
          <w:szCs w:val="20"/>
          <w:color w:val="auto"/>
        </w:rPr>
      </w:pPr>
      <w:r>
        <w:rPr>
          <w:rFonts w:ascii="Arial" w:cs="Arial" w:eastAsia="Arial" w:hAnsi="Arial"/>
          <w:sz w:val="22"/>
          <w:szCs w:val="22"/>
          <w:color w:val="auto"/>
        </w:rPr>
        <w:t>THE BOTTOM OF THE PROPOSED AIR RIGHTS WILL BE AT AN ELEVATION OF 20.00 N.G.V.D. DATUM (MEAN SEA LEVEL= 0.00) AND THE TOP OF THE AIR RIGHTS WILL BE AT ELEVATION 46.00</w:t>
      </w:r>
    </w:p>
    <w:p>
      <w:pPr>
        <w:spacing w:after="0" w:line="175" w:lineRule="exact"/>
        <w:rPr>
          <w:sz w:val="20"/>
          <w:szCs w:val="20"/>
          <w:color w:val="auto"/>
        </w:rPr>
      </w:pPr>
    </w:p>
    <w:p>
      <w:pPr>
        <w:jc w:val="center"/>
        <w:ind w:right="20"/>
        <w:spacing w:after="0" w:line="448" w:lineRule="auto"/>
        <w:rPr>
          <w:sz w:val="20"/>
          <w:szCs w:val="20"/>
          <w:color w:val="auto"/>
        </w:rPr>
      </w:pPr>
      <w:r>
        <w:rPr>
          <w:rFonts w:ascii="Arial" w:cs="Arial" w:eastAsia="Arial" w:hAnsi="Arial"/>
          <w:sz w:val="22"/>
          <w:szCs w:val="22"/>
          <w:color w:val="auto"/>
        </w:rPr>
        <w:t xml:space="preserve">FOR INFORMATION ONLY: BEING KNOWN AS KNOWN AS LOT 7 IN BLOCK 42 OF THE ATLANTIC CITY TAX MAP </w:t>
      </w:r>
      <w:r>
        <w:rPr>
          <w:rFonts w:ascii="Arial" w:cs="Arial" w:eastAsia="Arial" w:hAnsi="Arial"/>
          <w:sz w:val="22"/>
          <w:szCs w:val="22"/>
          <w:b w:val="1"/>
          <w:bCs w:val="1"/>
          <w:u w:val="single" w:color="auto"/>
          <w:color w:val="auto"/>
        </w:rPr>
        <w:t>Air Rights Over Ohio Avenue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METES AND BOUNDS DESCRIPTION for proposed air rights above Ohio Avenue required in conjunction with the Baily's - Claridge Connection Project, situate in the City of Atlantic City, County of Atlantic and State of New Jersey being bounded and described as follows: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BEGINNING at a point in the easterly line of Ohio Avenue (50' wide), South 27 degrees, 28 minutes, 00 seconds East 350.00' from the southerly line of Pacific Avenue (60' wide), and extending from said beginning point; thence</w:t>
      </w:r>
    </w:p>
    <w:p>
      <w:pPr>
        <w:spacing w:after="0" w:line="175" w:lineRule="exact"/>
        <w:rPr>
          <w:sz w:val="20"/>
          <w:szCs w:val="20"/>
          <w:color w:val="auto"/>
        </w:rPr>
      </w:pPr>
    </w:p>
    <w:p>
      <w:pPr>
        <w:ind w:firstLine="8"/>
        <w:spacing w:after="0" w:line="263" w:lineRule="auto"/>
        <w:tabs>
          <w:tab w:leader="none" w:pos="43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South 27 degrees 28 minutes 00 seconds East in and along the easterly line of Ohio Avenue 10.00’ to the northerly line of Pop Lloyd Boulevard (74’ wide); thence</w:t>
      </w:r>
    </w:p>
    <w:p>
      <w:pPr>
        <w:spacing w:after="0" w:line="174" w:lineRule="exact"/>
        <w:rPr>
          <w:rFonts w:ascii="Arial" w:cs="Arial" w:eastAsia="Arial" w:hAnsi="Arial"/>
          <w:sz w:val="22"/>
          <w:szCs w:val="22"/>
          <w:color w:val="auto"/>
        </w:rPr>
      </w:pPr>
    </w:p>
    <w:p>
      <w:pPr>
        <w:ind w:firstLine="8"/>
        <w:spacing w:after="0" w:line="263" w:lineRule="auto"/>
        <w:tabs>
          <w:tab w:leader="none" w:pos="4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South 62 degrees 32 minutes 00 seconds West in and along same, parallel with Pacific Avenue 50.00’ to the westerly line of Ohio Avenue; thence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North 27 degrees 28 minutes 00 seconds West in and along same, 10.00’ to a point; thence</w:t>
      </w:r>
    </w:p>
    <w:p>
      <w:pPr>
        <w:spacing w:after="0" w:line="219" w:lineRule="exact"/>
        <w:rPr>
          <w:rFonts w:ascii="Arial" w:cs="Arial" w:eastAsia="Arial" w:hAnsi="Arial"/>
          <w:sz w:val="22"/>
          <w:szCs w:val="22"/>
          <w:color w:val="auto"/>
        </w:rPr>
      </w:pPr>
    </w:p>
    <w:p>
      <w:pPr>
        <w:ind w:left="620" w:hanging="612"/>
        <w:spacing w:after="0"/>
        <w:tabs>
          <w:tab w:leader="none" w:pos="62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50.00 feet to the point and place of</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BEGINNING.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above described air rights are located a minimum of 14.00’ above the existing grade elevation of Ohio Avenue.</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INFORMATION ONLY: BEING KNOWN AS KNOWN AS LOT 4.02 IN BLOCK 44 OF THE ATLANTIC CITY TAX MAP</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AIR RIGHTS OVER POP LLOYD BOULEVARD AS SET FORTH IN CITY OF ATLANTIC ORDINANCE NO. 77 OF 1978 AND IN DEED BOOK 3442, PAGE 250.</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INFORMATION ONLY: BEING KNOWN AS KNOWN AS LOT 13 IN BLOCK 43 OF THE ATLANTIC CITY TAX MAP</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BEING ALSO KNOWN AS (REPORTED FOR INFORMATIONAL PURPOSES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Block 42, Lot 1 on the official tax map of the CITY OF ATLANTIC CITY, County of Atlantic, State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428" w:right="339" w:bottom="1440" w:gutter="0" w:footer="0" w:header="0"/>
        </w:sectPr>
      </w:pPr>
    </w:p>
    <w:bookmarkStart w:id="181" w:name="page182"/>
    <w:bookmarkEnd w:id="181"/>
    <w:p>
      <w:pPr>
        <w:spacing w:after="0" w:line="525" w:lineRule="auto"/>
        <w:rPr>
          <w:sz w:val="20"/>
          <w:szCs w:val="20"/>
          <w:color w:val="auto"/>
        </w:rPr>
      </w:pPr>
      <w:r>
        <w:rPr>
          <w:rFonts w:ascii="Arial" w:cs="Arial" w:eastAsia="Arial" w:hAnsi="Arial"/>
          <w:sz w:val="19"/>
          <w:szCs w:val="19"/>
          <w:color w:val="auto"/>
        </w:rPr>
        <w:t>Block 42, Lot 6 on the official tax map of the CITY OF ATLANTIC CITY, County of Atlantic, State of New Jersey Block 42, Lot 7 on the official tax map of the CITY OF ATLANTIC CITY, County of Atlantic, State of New Jersey Block 43, Lot 1 on the official tax map of the CITY OF ATLANTIC CITY, County of Atlantic, State of New Jersey Block 43, Lot 13 on the official tax map of the CITY OF ATLANTIC CITY, County of Atlantic, State of New Jersey Block 44, Lot 4 on the official tax map of the CITY OF ATLANTIC CITY, County of Atlantic, State of New Jersey Block 44, Lot 4.02 on the official tax map of the CITY OF ATLANTIC CITY, County of Atlantic, State of New Jersey Block 45, Lot 1 on the official tax map of the CITY OF ATLANTIC CITY, County of Atlantic, State of New Jersey Block 45, Lot 3 on the official tax map of the CITY OF ATLANTIC CITY, County of Atlantic, State of New Jersey Block 45, Lot 5 on the official tax map of the CITY OF ATLANTIC CITY, County of Atlantic, State of New Jersey Block 488, Lot 23 on the official tax map of the CITY OF ATLANTIC CITY, County of Atlantic, State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60"/>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0280"/>
          </w:cols>
          <w:pgMar w:left="320" w:top="1428" w:right="12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u w:val="single" w:color="auto"/>
          <w:color w:val="auto"/>
        </w:rPr>
        <w:t>Annex B-1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Wild Wild West Parcel</w:t>
      </w:r>
    </w:p>
    <w:p>
      <w:pPr>
        <w:spacing w:after="0" w:line="32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BEGINNING at the intersection of the southeast line of Pacific Avenue (60.00’ wide) and the northeast line of Arkansas Avenue (50.00’ wide) and extending from said beginning point; thence</w:t>
      </w:r>
    </w:p>
    <w:p>
      <w:pPr>
        <w:spacing w:after="0" w:line="175" w:lineRule="exact"/>
        <w:rPr>
          <w:sz w:val="20"/>
          <w:szCs w:val="20"/>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North 62° 32’ 00” East in and along the southeast line of Pacific Avenue a distance of 154.00’ to a point in a proposed subdivision line as shown on the below mentioned plan; thence</w:t>
      </w:r>
    </w:p>
    <w:p>
      <w:pPr>
        <w:spacing w:after="0" w:line="161" w:lineRule="exact"/>
        <w:rPr>
          <w:rFonts w:ascii="Arial" w:cs="Arial" w:eastAsia="Arial" w:hAnsi="Arial"/>
          <w:sz w:val="22"/>
          <w:szCs w:val="22"/>
          <w:color w:val="auto"/>
        </w:rPr>
      </w:pPr>
    </w:p>
    <w:p>
      <w:pPr>
        <w:ind w:left="660" w:hanging="652"/>
        <w:spacing w:after="0" w:line="250"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South 27° 28’ 00” East in and said line and parallel with Arkansas Avenue a distance of 288.00’ to a point in a second proposed subdivision line as shown on the below mentioned plan; thence</w:t>
      </w:r>
    </w:p>
    <w:p>
      <w:pPr>
        <w:spacing w:after="0" w:line="188"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North 62° 32’ 00” East in and along said line and parallel with of Pacific Avenue a distance of 196.00’ to a point in the southwest line of Michigan Avenue (50.00’ wide);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South 27° 28’ 00” East in and said line a distance of 559.08’ to a point in the interior line of public park, also being the northwest line of the Boardwalk R.O.W. (60.00’ wide);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South 73° 42’ 27” West in and along said line a distance of 332.25’ to a point of curvature in same; thence</w:t>
      </w:r>
    </w:p>
    <w:p>
      <w:pPr>
        <w:spacing w:after="0" w:line="219"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Southwesterly still along said line and curving to the left along the arc of a circle having a radius of 1259.09’ an arc distance of 24.47’ to the intersection of the aforesaid northeast line of Arkansas Avenue;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North 27° 28’ 00” West in and along said line a distance of 105.00’ to a point in the division line of lot 4.01; thence</w:t>
      </w:r>
    </w:p>
    <w:p>
      <w:pPr>
        <w:spacing w:after="0" w:line="231" w:lineRule="exact"/>
        <w:rPr>
          <w:rFonts w:ascii="Arial" w:cs="Arial" w:eastAsia="Arial" w:hAnsi="Arial"/>
          <w:sz w:val="21"/>
          <w:szCs w:val="21"/>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North 62° 32’ 00” East in and along said line and parallel with of Pacific Avenue a distance of 200.00’ to a common property corner of lot 4.01;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North 27° 28’ 00” West still in and along said division line and parallel with Arkansas a distance of 173.19’ to another common property corner of lot 4.01;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South 62° 32’ 00” West still in and along said division line and parallel with Pacific Avenue a distance of 12.50’ to another common property corner of lot 4.01;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B-1</w:t>
      </w:r>
    </w:p>
    <w:p>
      <w:pPr>
        <w:sectPr>
          <w:pgSz w:w="11900" w:h="16838" w:orient="portrait"/>
          <w:cols w:equalWidth="0" w:num="1">
            <w:col w:w="11240"/>
          </w:cols>
          <w:pgMar w:left="320" w:top="1428" w:right="339" w:bottom="1440" w:gutter="0" w:footer="0" w:header="0"/>
        </w:sectPr>
      </w:pPr>
    </w:p>
    <w:bookmarkStart w:id="183" w:name="page184"/>
    <w:bookmarkEnd w:id="183"/>
    <w:p>
      <w:pPr>
        <w:ind w:left="660" w:hanging="652"/>
        <w:spacing w:after="0" w:line="263" w:lineRule="auto"/>
        <w:tabs>
          <w:tab w:leader="none" w:pos="64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North 27° 28’ 00” West still in and along said division line and parallel with Arkansas a distance of 50.00’ to another common property corner</w:t>
      </w:r>
    </w:p>
    <w:p>
      <w:pPr>
        <w:spacing w:after="0" w:line="174" w:lineRule="exact"/>
        <w:rPr>
          <w:rFonts w:ascii="Arial" w:cs="Arial" w:eastAsia="Arial" w:hAnsi="Arial"/>
          <w:sz w:val="22"/>
          <w:szCs w:val="22"/>
          <w:color w:val="auto"/>
        </w:rPr>
      </w:pPr>
    </w:p>
    <w:p>
      <w:pPr>
        <w:ind w:left="660" w:right="20" w:hanging="652"/>
        <w:spacing w:after="0" w:line="263" w:lineRule="auto"/>
        <w:tabs>
          <w:tab w:leader="none" w:pos="65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South 62° 32’ 00” West still in and along said division line and parallel with Pacific Avenue a distance of 187.50’ to a point in the aforesaid northeast line of Arkansas Avenue;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North 27° 28’ 00” West l in and along said line a distance of 450.00’ to the point and place of BEGINNING.</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BEING known as a portion of lot 1, also being depicted as lot 1.05 in block 42 in the City of Atlantic City as shown on the below mentioned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CONTAINING an area of 183,920.08 square feet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legal description was prepared by Daniel J. Ponzio Sr. NJPLS and is composed in accordance with a minor subdivision plan prepared by Arthur W. Ponzio Co. &amp; Associates, Inc. dated 5/5/20 Project #35167</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TOGETHER with the easements appurtenant to such land set forth in that certain Reciprocal Easement Agreement dated as of November 18, 2020, by and between Premier Entertainment AC, LLC and Bally’s Atlantic City LLC and recorded in the Office of the County Clerk of Atlantic County, New Jersey substantially concurrently with the execution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B-1</w:t>
      </w:r>
    </w:p>
    <w:p>
      <w:pPr>
        <w:sectPr>
          <w:pgSz w:w="11900" w:h="16838" w:orient="portrait"/>
          <w:cols w:equalWidth="0" w:num="1">
            <w:col w:w="11240"/>
          </w:cols>
          <w:pgMar w:left="320" w:top="1428"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u w:val="single" w:color="auto"/>
          <w:color w:val="auto"/>
        </w:rPr>
        <w:t>Annex B-2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Block 488 Parcel</w:t>
      </w:r>
    </w:p>
    <w:p>
      <w:pPr>
        <w:spacing w:after="0" w:line="32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BEGINNING AT THE SOUTH LINE OF HUMMOCK AVENUE (50.00' WIDE) A DISTANCE OF 252.76' SOUTHWEST OF OHIO AVENUE (50.00' WIDE) AND EXTENDING; THENCE</w:t>
      </w:r>
    </w:p>
    <w:p>
      <w:pPr>
        <w:spacing w:after="0" w:line="175" w:lineRule="exact"/>
        <w:rPr>
          <w:sz w:val="20"/>
          <w:szCs w:val="20"/>
          <w:color w:val="auto"/>
        </w:rPr>
      </w:pPr>
    </w:p>
    <w:p>
      <w:pPr>
        <w:ind w:firstLine="8"/>
        <w:spacing w:after="0" w:line="263" w:lineRule="auto"/>
        <w:tabs>
          <w:tab w:leader="none" w:pos="47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NORTH 62° 32' 00" EAST IN AND ALONG THE SOUTHERLY LINE OF HUMMOCK AVENUE A DISTANCE OF 69.76'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0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SOUTH 27° 28' 00" EAST PARALLEL WITH OHIO AVENUE AND AT RIGHT ANGLES TO HUMMOCK AVENUE A DISTANCE OF 121.00' TO A POINT; THENCE</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SOUTH 62° 32' 00" WEST PARALLEL WITH HUMMOCK AVENUE A DISTANCE OF 3.53' TO A POINT DISTANT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152.00' NORTHEAST OF BACHARACH BOULEVARD; THENCE</w:t>
      </w:r>
    </w:p>
    <w:p>
      <w:pPr>
        <w:spacing w:after="0" w:line="201" w:lineRule="exact"/>
        <w:rPr>
          <w:rFonts w:ascii="Arial" w:cs="Arial" w:eastAsia="Arial" w:hAnsi="Arial"/>
          <w:sz w:val="21"/>
          <w:szCs w:val="21"/>
          <w:color w:val="auto"/>
        </w:rPr>
      </w:pPr>
    </w:p>
    <w:p>
      <w:pPr>
        <w:ind w:firstLine="8"/>
        <w:spacing w:after="0" w:line="263" w:lineRule="auto"/>
        <w:tabs>
          <w:tab w:leader="none" w:pos="47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15.44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0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SOUTH 13° 19' 00" WEST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6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1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NORTH 13° 19' 00" EAST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4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103.50' TO A POINT;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0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NORTH 12° 59' 55" EAST A DISTANCE OF 48.57' TO THE SOUTHERLY LINE OF HUMMOCK AVENUE AND THE POINT AND PLACE OF BEGINNING.</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SUBJECT TO AND TOGETHER WITH THE RIGHT OF INGRESS AND EGRESS WITH OTHERS OVER THE FOLLOWING DESCRIBED RIGHT OF WAY: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BEGINNING AT A POINT IN THE NORTHEAST LINE OF BACHARACH BLVD. (70 FEET WIDE) DISTANT 570.5 FEET SOUTHEAST OF ARKANSAS AVENUE (60 FEET WIDE) AND EXTENDING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B-2</w:t>
      </w:r>
    </w:p>
    <w:p>
      <w:pPr>
        <w:sectPr>
          <w:pgSz w:w="11900" w:h="16838" w:orient="portrait"/>
          <w:cols w:equalWidth="0" w:num="1">
            <w:col w:w="11240"/>
          </w:cols>
          <w:pgMar w:left="320" w:top="1428" w:right="339" w:bottom="1440" w:gutter="0" w:footer="0" w:header="0"/>
        </w:sectPr>
      </w:pPr>
    </w:p>
    <w:bookmarkStart w:id="185" w:name="page186"/>
    <w:bookmarkEnd w:id="185"/>
    <w:p>
      <w:pPr>
        <w:ind w:left="380" w:hanging="372"/>
        <w:spacing w:after="0"/>
        <w:tabs>
          <w:tab w:leader="none" w:pos="3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NORTHEASTWARDLY AT RIGHT ANGLES TO BACHARACH BLVD. 152 FEET;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SOUTHEASTWARDLY PARALLEL WITH BACHARACH BLVD. 20 FEET; THENCE</w:t>
      </w:r>
    </w:p>
    <w:p>
      <w:pPr>
        <w:spacing w:after="0" w:line="219" w:lineRule="exact"/>
        <w:rPr>
          <w:rFonts w:ascii="Arial" w:cs="Arial" w:eastAsia="Arial" w:hAnsi="Arial"/>
          <w:sz w:val="22"/>
          <w:szCs w:val="22"/>
          <w:color w:val="auto"/>
        </w:rPr>
      </w:pPr>
    </w:p>
    <w:p>
      <w:pPr>
        <w:ind w:right="20" w:firstLine="8"/>
        <w:spacing w:after="0" w:line="263" w:lineRule="auto"/>
        <w:tabs>
          <w:tab w:leader="none" w:pos="46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SOUTHWESTWARDLY AT RIGHT ANGLES TO BACHARACH BLVD 152 FEET TO THE NORTHEAST LINE OF BACHARACH BLVD.; THENCE</w:t>
      </w:r>
    </w:p>
    <w:p>
      <w:pPr>
        <w:spacing w:after="0" w:line="174" w:lineRule="exact"/>
        <w:rPr>
          <w:rFonts w:ascii="Arial" w:cs="Arial" w:eastAsia="Arial" w:hAnsi="Arial"/>
          <w:sz w:val="22"/>
          <w:szCs w:val="22"/>
          <w:color w:val="auto"/>
        </w:rPr>
      </w:pPr>
    </w:p>
    <w:p>
      <w:pPr>
        <w:ind w:firstLine="8"/>
        <w:spacing w:after="0" w:line="263" w:lineRule="auto"/>
        <w:tabs>
          <w:tab w:leader="none" w:pos="62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NORTHWESTWARDLY IN AND ALONG BACHARACH BLVD 20 FEET TO THE POINT AND PLACE OF BEGINNING.</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INFORMATION PURPOSES ONLY: BEING KNOWN AS LOT 23 IN BLOCK 488 OF THE ATLANTIC CITY TAX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B-2</w:t>
      </w:r>
    </w:p>
    <w:p>
      <w:pPr>
        <w:sectPr>
          <w:pgSz w:w="11900" w:h="16838" w:orient="portrait"/>
          <w:cols w:equalWidth="0" w:num="1">
            <w:col w:w="11240"/>
          </w:cols>
          <w:pgMar w:left="320" w:top="1428"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u w:val="single" w:color="auto"/>
          <w:color w:val="auto"/>
        </w:rPr>
        <w:t>Annex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Released Missouri Property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Vacant Land in Missouri</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PARCEL NO. 1: A parcel of ground being all of Lot 1 of the "Resubdivision Plat of Riverport Tract 7", a subdivision recorded as Daily No. 1065, on June 23, 1994, in Plat Book 327, pages 89 through 92, St. Louis County Recorder’s Office, said parcel being more particularly described as follows: Beginning at the most Southern corner of Lot 1, of said “Resubdivision Plat of Riverport Tract 7”, said corner being in the Northeastern line of a Levee Easement recorded in Book 8351, page 1184, St. Louis County Recorder’s Office; thence North 23 degrees 10 minutes 00 seconds West 1291.20 feet along the Southwestern line of said Lot 1, and along the Northeastern line of said Levee Easement, to an angle point therein; thence North 25 degrees 30 minutes 00 seconds East 250.00 feet along the Northwestern line of said Lot 1, being also the Southeastern line of said Levee Easement, to the most Southwestern corner of a Drainage and Storm Water Easement recorded in Book 8351 page 1187, St. Louis County Recorder’s Office; thence in a generally Northeastwardly direction, along the southeastern line of said Drainage and Storm Water Easement and along the Northwestern line of said Lot 1, the following courses and distances: North 50 degrees 03 minutes 29 seconds East 262.30 feet, North 28 degrees 16 minutes 56 seconds East 222.78 feet to a point of curve; thence Northeastwardly 246.83 feet along a curve to the right having a radius of 230.00 feet, the chord of which bears North 59 degrees 01 minute 32 seconds East 235.15 feet, to a point of tangency, in the Southern line of said Drainage and Storm Water Easement, and the Northern line of said Lot 1; thence North 89 degrees 46 minutes 09 seconds East 464.11 feet along the Southern line of said Drainage and Storm Water Easement, and the Northern line of said Lot 1, to the Northeastern corner of said Lot 1; thence South 23 degrees 10 minutes 00 seconds East 1521.93 feet along the Northeastern line of said Lot 1, being also the Southwestern line of Lot 2 of said “Resubdivision Plat of Riverport Tract 7”, to the most Eastern corner of said Lot 1; thence South 66 degrees 50 minutes 00 seconds West 1273.47 feet along the Southeastern line of said Lot 1, to its most Southern corner and the point of beginning.</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PARCEL NO. 2: Non-Exclusive easements to use all private roadways as set forth in the First Revised and Restated Riverport Project Trust Indenture recorded in Book 8191 page 380, as amended by instruments recorded in Book 8465 page 1068, Book 9013 page 1955, Book 10263 page 1872, Book 10694 page 1881, and Book 11104 page 991, Book 11304 page 1396, Book 11890 page 2353 and Book 15124 page 654 St. Louis County Records.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PARCEL NO. 3: Non-Exclusive easements, according to Infrastructure Easement Agreement recorded on July 22, 1994, in Book 10263 page 1910, St. Louis County Records.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PARCEL NO. 4: Easements (Levee Easement), according to instrument recorded on July 22, 1994, in Book 10263 page 1895 St. Louis County Records.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PARCEL NO. 5: Non-exclusive, perpetual, irrevocable appurtenant easement for vehicle and pedestrian access, ingress and egress as set forth in Book 10263 page 1926 and as amended in the Amended and Restated Roadway Easement Agreement recorded in Book 10694 page 1908.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Harrah’s North Kansas - CEOC</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TRACT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C</w:t>
      </w:r>
    </w:p>
    <w:p>
      <w:pPr>
        <w:sectPr>
          <w:pgSz w:w="11900" w:h="16838" w:orient="portrait"/>
          <w:cols w:equalWidth="0" w:num="1">
            <w:col w:w="11240"/>
          </w:cols>
          <w:pgMar w:left="320" w:top="1428" w:right="339" w:bottom="1440" w:gutter="0" w:footer="0" w:header="0"/>
        </w:sectPr>
      </w:pPr>
    </w:p>
    <w:bookmarkStart w:id="187" w:name="page188"/>
    <w:bookmarkEnd w:id="187"/>
    <w:p>
      <w:pPr>
        <w:jc w:val="both"/>
        <w:spacing w:after="0" w:line="246" w:lineRule="auto"/>
        <w:rPr>
          <w:sz w:val="20"/>
          <w:szCs w:val="20"/>
          <w:color w:val="auto"/>
        </w:rPr>
      </w:pPr>
      <w:r>
        <w:rPr>
          <w:rFonts w:ascii="Arial" w:cs="Arial" w:eastAsia="Arial" w:hAnsi="Arial"/>
          <w:sz w:val="20"/>
          <w:szCs w:val="20"/>
          <w:color w:val="auto"/>
        </w:rPr>
        <w:t>All of Lots 1 through 33, both inclusive, and part of Lots 34 through 44, both inclusive, "PLAN OF RANDOLPH SUBDIVISION OF EXHIBITS "B", "C", "E" AND "F"; Part of Lot 6, Block 38; Part of Lots 1 through 5, and All of Lot 6, Block 39, "PLAN OF RANDOLPH", both being subdivisions in Randolph, Clay County, Missouri, together with vacated Third Street, vacated Locust Street, and the vacated alleys lying therein, all being more particularly described as follows: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Beginning at the Northeast corner of said Lot 1, "PLAN OF RANDOLPH SUBDIVISION OF EXHIBITS "B", "C", "E", AND "F", said corner being the intersection of the Southerly Right of Way line of the Norfolk &amp; Southern Railroad (formerly Wabash Railroad) and the West Right of Way line of Liberty Street, as both are now established; thence South 0 degrees 44 minutes 54 seconds West along the West Right of Way line of said Liberty Street, a distance of 500.92 feet to the Southeast corner of said Lot 6, Block 39, "PLAN OF RANDOLPH"; thence South 80 degrees 48 minutes 37 seconds West, along the South line of said Lot 6 and the South line of Lot 5 of said Block 39, a distance of 119.97 feet to a point on the Northerly Right of Way line of the Birmingham Drainage District as established by Condemnation Case No. 7087 filed in the Circuit Court of Clay County; thence North 74 degrees 47 minutes 13 seconds West, along said Northerly Right of Way line, a distance of 495.29 feet; thence Northerly continuing along said Northerly Right of Way line of the Birmingham Drainage District, along a curve to the left, having an initial tangent bearing of North 72 degrees 34 minutes 03 seconds West, a radius of 672.93 feet, and a central angle of 1 degree 25 minutes 20 seconds an arc distance of 16.70 feet to a point on the East Right of Way line of Interstate Highway Route No. 435, as condemned by the State of Missouri in Case No. 33895 in the Circuit Court of Clay County, Missouri, as set forth in the Report of Commissioners filed for record December 30, 1966 under Document No. C-7308 in Book 917 at Page 600; thence North 2 degrees 17 minutes 24 seconds East, along said East Right of Way line, a distance of 286.87 feet to a point on the aforesaid Southerly Right of Way line of the Norfolk &amp; Southern Railroad (formerly the Wabash Railroad); thence North 80 degrees 48 minutes 37 seconds East along said Southerly Right of Way line, a distance of 615.36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C</w:t>
      </w:r>
    </w:p>
    <w:p>
      <w:pPr>
        <w:sectPr>
          <w:pgSz w:w="11900" w:h="16838" w:orient="portrait"/>
          <w:cols w:equalWidth="0" w:num="1">
            <w:col w:w="11240"/>
          </w:cols>
          <w:pgMar w:left="320" w:top="1419"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u w:val="single" w:color="auto"/>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LEASE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FOURTH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November 18, 2020, by and among </w:t>
      </w:r>
      <w:r>
        <w:rPr>
          <w:rFonts w:ascii="Arial" w:cs="Arial" w:eastAsia="Arial" w:hAnsi="Arial"/>
          <w:sz w:val="21"/>
          <w:szCs w:val="21"/>
          <w:b w:val="1"/>
          <w:bCs w:val="1"/>
          <w:color w:val="auto"/>
        </w:rPr>
        <w:t>HARRAH’S JOLIET LANDCO LLC</w:t>
      </w:r>
      <w:r>
        <w:rPr>
          <w:rFonts w:ascii="Arial" w:cs="Arial" w:eastAsia="Arial" w:hAnsi="Arial"/>
          <w:sz w:val="21"/>
          <w:szCs w:val="21"/>
          <w:color w:val="auto"/>
        </w:rPr>
        <w:t>, a Delaware limited liability company (together with its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w:t>
      </w:r>
      <w:r>
        <w:rPr>
          <w:rFonts w:ascii="Arial" w:cs="Arial" w:eastAsia="Arial" w:hAnsi="Arial"/>
          <w:sz w:val="21"/>
          <w:szCs w:val="21"/>
          <w:b w:val="1"/>
          <w:bCs w:val="1"/>
          <w:color w:val="auto"/>
        </w:rPr>
        <w:t>DES PLAINES DEVELOPMENT LIMITED PARTNERSHIP</w:t>
      </w:r>
      <w:r>
        <w:rPr>
          <w:rFonts w:ascii="Arial" w:cs="Arial" w:eastAsia="Arial" w:hAnsi="Arial"/>
          <w:sz w:val="21"/>
          <w:szCs w:val="21"/>
          <w:color w:val="auto"/>
        </w:rPr>
        <w:t>, a Delaware limited partnership (together with its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and, solely for the purposes of the last paragraph of Section 1.1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last paragraph of Section 1.1 of the Lease, Propco TRS</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to that certain Lease (Joliet) dated as of October 6, 2017, as amended by that certain First Amendment to Lease (Joliet), dated as of December 26, 2018, as amended by that certain Omnibus Amendment to Leases, dated as of June 1, 2020, as amended by that certain Second Amendment to Lease (Joliet), dated as of July 20, 2020, as amended by that certain Third Amendment to Lease, dated as of September 30, 2020, and to the extent amended by that certain Amended and Restated Omnibus Amendment to Leases, dated as of October 27,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(i) Bally’s Park Place LLC (“</w:t>
      </w:r>
      <w:r>
        <w:rPr>
          <w:rFonts w:ascii="Arial" w:cs="Arial" w:eastAsia="Arial" w:hAnsi="Arial"/>
          <w:sz w:val="21"/>
          <w:szCs w:val="21"/>
          <w:u w:val="single" w:color="auto"/>
          <w:color w:val="auto"/>
        </w:rPr>
        <w:t>Operator</w:t>
      </w:r>
      <w:r>
        <w:rPr>
          <w:rFonts w:ascii="Arial" w:cs="Arial" w:eastAsia="Arial" w:hAnsi="Arial"/>
          <w:sz w:val="21"/>
          <w:szCs w:val="21"/>
          <w:color w:val="auto"/>
        </w:rPr>
        <w:t>”), as operator, Bally’s Atlantic City LLC, as</w:t>
      </w:r>
      <w:r>
        <w:rPr>
          <w:rFonts w:ascii="Arial" w:cs="Arial" w:eastAsia="Arial" w:hAnsi="Arial"/>
          <w:sz w:val="21"/>
          <w:szCs w:val="21"/>
          <w:b w:val="1"/>
          <w:bCs w:val="1"/>
          <w:color w:val="auto"/>
        </w:rPr>
        <w:t xml:space="preserve"> </w:t>
      </w:r>
      <w:r>
        <w:rPr>
          <w:rFonts w:ascii="Arial" w:cs="Arial" w:eastAsia="Arial" w:hAnsi="Arial"/>
          <w:sz w:val="21"/>
          <w:szCs w:val="21"/>
          <w:color w:val="auto"/>
        </w:rPr>
        <w:t>seller, and Premier Entertainment AC, LLC (as successor by assignment to Twin River Management Group, Inc.) (“</w:t>
      </w:r>
      <w:r>
        <w:rPr>
          <w:rFonts w:ascii="Arial" w:cs="Arial" w:eastAsia="Arial" w:hAnsi="Arial"/>
          <w:sz w:val="21"/>
          <w:szCs w:val="21"/>
          <w:u w:val="single" w:color="auto"/>
          <w:color w:val="auto"/>
        </w:rPr>
        <w:t>Purchaser</w:t>
      </w:r>
      <w:r>
        <w:rPr>
          <w:rFonts w:ascii="Arial" w:cs="Arial" w:eastAsia="Arial" w:hAnsi="Arial"/>
          <w:sz w:val="21"/>
          <w:szCs w:val="21"/>
          <w:color w:val="auto"/>
        </w:rPr>
        <w:t>”), as purchaser, are closing a purchase and sale transaction under that certain Agreement of Sale, dated as of April 24, 2020, with respect to certain real property and (ii) Operator and Purchaser are closing a purchase and sale transaction under that certain Asset Purchase Agreement, dated as of April 24, 2020, with respect to certain casino and related operations and assets, in each case under clauses (i) and (ii), associated with the gaming and entertainment facility known as Bally’s Atlantic City, located in Atlantic City, New Jersey (the “</w:t>
      </w:r>
      <w:r>
        <w:rPr>
          <w:rFonts w:ascii="Arial" w:cs="Arial" w:eastAsia="Arial" w:hAnsi="Arial"/>
          <w:sz w:val="21"/>
          <w:szCs w:val="21"/>
          <w:u w:val="single" w:color="auto"/>
          <w:color w:val="auto"/>
        </w:rPr>
        <w:t>Bally’s Transaction</w:t>
      </w:r>
      <w:r>
        <w:rPr>
          <w:rFonts w:ascii="Arial" w:cs="Arial" w:eastAsia="Arial" w:hAnsi="Arial"/>
          <w:sz w:val="21"/>
          <w:szCs w:val="21"/>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Bally’s Transaction, the parties hereto desire to amend the Lease as set forth herein.</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ind w:firstLine="1304"/>
        <w:spacing w:after="0" w:line="263" w:lineRule="auto"/>
        <w:tabs>
          <w:tab w:leader="none" w:pos="140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Except as otherwise defined herein, all capitalized terms used herein without definition shall have the meanings applicable to such terms, respectively, as set forth in the Lease.</w:t>
      </w:r>
    </w:p>
    <w:p>
      <w:pPr>
        <w:sectPr>
          <w:pgSz w:w="11900" w:h="16838" w:orient="portrait"/>
          <w:cols w:equalWidth="0" w:num="1">
            <w:col w:w="11240"/>
          </w:cols>
          <w:pgMar w:left="320" w:top="126" w:right="339" w:bottom="1440" w:gutter="0" w:footer="0" w:header="0"/>
        </w:sectPr>
      </w:pPr>
    </w:p>
    <w:bookmarkStart w:id="189" w:name="page190"/>
    <w:bookmarkEnd w:id="189"/>
    <w:p>
      <w:pPr>
        <w:ind w:left="1300" w:hanging="644"/>
        <w:spacing w:after="0"/>
        <w:tabs>
          <w:tab w:leader="none" w:pos="130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980" w:hanging="324"/>
        <w:spacing w:after="0" w:line="265" w:lineRule="auto"/>
        <w:tabs>
          <w:tab w:leader="none" w:pos="968"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Annual Minimum Cap Ex Amount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“Annual Minimum Cap Ex Amount” is hereby revised and modified to replace the reference therein to “One Hundred Nineteen Million Three Hundred Thousand and No/100 Dollars ($119,300,000.00)” with a reference to “One Hundred Fourteen Million Five Hundred Thousand and No/100 Dollars ($114,500,000.00)”.</w:t>
      </w:r>
    </w:p>
    <w:p>
      <w:pPr>
        <w:spacing w:after="0" w:line="175" w:lineRule="exact"/>
        <w:rPr>
          <w:rFonts w:ascii="Arial" w:cs="Arial" w:eastAsia="Arial" w:hAnsi="Arial"/>
          <w:sz w:val="21"/>
          <w:szCs w:val="21"/>
          <w:color w:val="auto"/>
        </w:rPr>
      </w:pPr>
    </w:p>
    <w:p>
      <w:pPr>
        <w:jc w:val="both"/>
        <w:ind w:left="980" w:hanging="324"/>
        <w:spacing w:after="0" w:line="292" w:lineRule="auto"/>
        <w:tabs>
          <w:tab w:leader="none" w:pos="98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Annual Minimum Per-Lease B&amp;I Cap Ex Requirement</w:t>
      </w:r>
      <w:r>
        <w:rPr>
          <w:rFonts w:ascii="Arial" w:cs="Arial" w:eastAsia="Arial" w:hAnsi="Arial"/>
          <w:sz w:val="19"/>
          <w:szCs w:val="19"/>
          <w:color w:val="auto"/>
        </w:rPr>
        <w:t>. The Annual Minimum Per-Lease B&amp;I Cap Ex Requirement shall be unchanged by this Amendment. Further, Landlord and Tenant hereby acknowledge, for the avoidance of doubt, that the Net Revenue attributable to the Bally’s Facility (as defined in the Seventh Amendment to the Regional Lease being entered into concurrently with this Amendment) during the period the Bally’s Facility was included in the Regional Lease (i.e., during the period from the “Commencement Date” (as defined in the Regional Lease) until the date of this Amendment) shall be included for purposes of calculating the Capital Expenditures required under Section 10.5(a)(ii) of the Lease (i.e., the Annual Minimum Per-Lease B&amp;I Cap Ex Requirement).</w:t>
      </w:r>
    </w:p>
    <w:p>
      <w:pPr>
        <w:spacing w:after="0" w:line="150" w:lineRule="exact"/>
        <w:rPr>
          <w:rFonts w:ascii="Arial" w:cs="Arial" w:eastAsia="Arial" w:hAnsi="Arial"/>
          <w:sz w:val="19"/>
          <w:szCs w:val="19"/>
          <w:color w:val="auto"/>
        </w:rPr>
      </w:pPr>
    </w:p>
    <w:p>
      <w:pPr>
        <w:jc w:val="both"/>
        <w:ind w:left="980" w:hanging="324"/>
        <w:spacing w:after="0" w:line="265" w:lineRule="auto"/>
        <w:tabs>
          <w:tab w:leader="none" w:pos="968"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Triennial Allocated Minimum Cap Ex Amount B Floor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Allocated Minimum Cap Ex Amount B Floor” is hereby revised and modified to replace the reference therein to “Three Hundred Twenty-Seven Million Eight Hundred Thousand and No/100 Dollars ($327,800,000.00)” with a reference to “Three Hundred Eleven Million and No/100 Dollars ($311,000,000.00)”.</w:t>
      </w:r>
    </w:p>
    <w:p>
      <w:pPr>
        <w:spacing w:after="0" w:line="175" w:lineRule="exact"/>
        <w:rPr>
          <w:rFonts w:ascii="Arial" w:cs="Arial" w:eastAsia="Arial" w:hAnsi="Arial"/>
          <w:sz w:val="21"/>
          <w:szCs w:val="21"/>
          <w:color w:val="auto"/>
        </w:rPr>
      </w:pPr>
    </w:p>
    <w:p>
      <w:pPr>
        <w:jc w:val="both"/>
        <w:ind w:left="980" w:hanging="324"/>
        <w:spacing w:after="0" w:line="265" w:lineRule="auto"/>
        <w:tabs>
          <w:tab w:leader="none" w:pos="980"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Ninety Million Three Hundred Thousand and No/100 Dollars ($590,300,000.00)” with a reference to “Five Hundred Sixty-Six Million Seven Hundred Thousand and No/100 Dollars ($566,700,000.00)”.</w:t>
      </w:r>
    </w:p>
    <w:p>
      <w:pPr>
        <w:spacing w:after="0" w:line="175" w:lineRule="exact"/>
        <w:rPr>
          <w:rFonts w:ascii="Arial" w:cs="Arial" w:eastAsia="Arial" w:hAnsi="Arial"/>
          <w:sz w:val="21"/>
          <w:szCs w:val="21"/>
          <w:color w:val="auto"/>
        </w:rPr>
      </w:pPr>
    </w:p>
    <w:p>
      <w:pPr>
        <w:jc w:val="both"/>
        <w:ind w:left="980" w:hanging="324"/>
        <w:spacing w:after="0" w:line="265" w:lineRule="auto"/>
        <w:tabs>
          <w:tab w:leader="none" w:pos="968"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“Four Hundred Twenty-One Million Nine Hundred Thousand and No/100 Dollars ($421,900,000.00)” with a reference to “Four Hundred Five Million Two Hundred Thousand and No/100 Dollars ($405,200,000.00)”.</w:t>
      </w:r>
    </w:p>
    <w:p>
      <w:pPr>
        <w:spacing w:after="0" w:line="175" w:lineRule="exact"/>
        <w:rPr>
          <w:rFonts w:ascii="Arial" w:cs="Arial" w:eastAsia="Arial" w:hAnsi="Arial"/>
          <w:sz w:val="21"/>
          <w:szCs w:val="21"/>
          <w:color w:val="auto"/>
        </w:rPr>
      </w:pPr>
    </w:p>
    <w:p>
      <w:pPr>
        <w:ind w:left="980" w:hanging="324"/>
        <w:spacing w:after="0"/>
        <w:tabs>
          <w:tab w:leader="none" w:pos="98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90" w:name="page191"/>
    <w:bookmarkEnd w:id="190"/>
    <w:p>
      <w:pPr>
        <w:jc w:val="both"/>
        <w:ind w:left="964" w:hanging="430"/>
        <w:spacing w:after="0" w:line="294" w:lineRule="auto"/>
        <w:tabs>
          <w:tab w:leader="none" w:pos="96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Section 10.5(a)(v)(b) of the Lease is hereby amended to (a) replace the reference therein to “Five Hundred Ninety Million Three Hundred Thousand and No/100 Dollars ($590,300,000.00)” with a reference to “Five Hundred Sixty-Six Million Seven Hundred Thousand and No/100 Dollars ($566,700,000.00)” and (b) replace the reference therein to “One Hundred Ninety-Six Million Seven Hundred Sixty-Six Thousand Six Hundred Sixty-Six and 67/100 Dollars ($196,766,666.67)” with a reference to “One Hundred Eighty-Eight Million Nine Hundred Thousand and No/100 Dollars ($188,900,000.00)”,</w:t>
      </w:r>
    </w:p>
    <w:p>
      <w:pPr>
        <w:spacing w:after="0" w:line="149" w:lineRule="exact"/>
        <w:rPr>
          <w:rFonts w:ascii="Arial" w:cs="Arial" w:eastAsia="Arial" w:hAnsi="Arial"/>
          <w:sz w:val="19"/>
          <w:szCs w:val="19"/>
          <w:color w:val="auto"/>
        </w:rPr>
      </w:pPr>
    </w:p>
    <w:p>
      <w:pPr>
        <w:jc w:val="both"/>
        <w:ind w:left="964" w:hanging="490"/>
        <w:spacing w:after="0" w:line="294" w:lineRule="auto"/>
        <w:tabs>
          <w:tab w:leader="none" w:pos="96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Section 10.5(a)(v)(c)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 and</w:t>
      </w:r>
    </w:p>
    <w:p>
      <w:pPr>
        <w:spacing w:after="0" w:line="149" w:lineRule="exact"/>
        <w:rPr>
          <w:rFonts w:ascii="Arial" w:cs="Arial" w:eastAsia="Arial" w:hAnsi="Arial"/>
          <w:sz w:val="19"/>
          <w:szCs w:val="19"/>
          <w:color w:val="auto"/>
        </w:rPr>
      </w:pPr>
    </w:p>
    <w:p>
      <w:pPr>
        <w:jc w:val="both"/>
        <w:ind w:left="964" w:hanging="550"/>
        <w:spacing w:after="0" w:line="257" w:lineRule="auto"/>
        <w:tabs>
          <w:tab w:leader="none" w:pos="964" w:val="left"/>
        </w:tabs>
        <w:numPr>
          <w:ilvl w:val="1"/>
          <w:numId w:val="111"/>
        </w:numPr>
        <w:rPr>
          <w:rFonts w:ascii="Arial" w:cs="Arial" w:eastAsia="Arial" w:hAnsi="Arial"/>
          <w:sz w:val="21"/>
          <w:szCs w:val="21"/>
          <w:color w:val="auto"/>
        </w:rPr>
      </w:pPr>
      <w:r>
        <w:rPr>
          <w:rFonts w:ascii="Arial" w:cs="Arial" w:eastAsia="Arial" w:hAnsi="Arial"/>
          <w:sz w:val="21"/>
          <w:szCs w:val="21"/>
          <w:color w:val="auto"/>
        </w:rPr>
        <w:t>The second sentence of Section 10.5(a)(v) of the Lease is hereby amended to (a) replace the reference therein to “Five Hundred Ninety Million Three Hundred Thousand and No/100 Dollars ($590,300,000.00)” with a reference to “Five Hundred Sixty-Six Million Seven Hundred Thousand and No/100 Dollars ($566,700,000.00)”, (b) replace the reference therein to “One Hundred Ninety-Six Million Seven Hundred Sixty-Six Thousand Six Hundred Sixty-Six and 67/100 Dollars ($196,766,666.67)” with a reference to “One Hundred Eighty-Eight Million Nine Hundred Thousand and No/100 Dollars ($188,900,000.00)”, (c) replace the reference therein to “Four Hundred Twenty-One Million Nine Hundred Thousand and No/100 Dollars ($421,900,000.00)” with a reference to “Four Hundred Five Million Two Hundred Thousand and No/100 Dollars ($405,200,000.00)” and (d) replace the reference therein to “One Hundred Forty Million Six Hundred Thirty-Three Thousand Three Hundred Thirty-Three and 33/100 Dollars ($140,633,333.33)” with a reference to “One Hundred Thirty-Five Million Sixty-Six Thousand Six Hundred Sixty-Six and 67/100 Dollars ($135,066,666.67)”.</w:t>
      </w:r>
    </w:p>
    <w:p>
      <w:pPr>
        <w:spacing w:after="0" w:line="190" w:lineRule="exact"/>
        <w:rPr>
          <w:rFonts w:ascii="Arial" w:cs="Arial" w:eastAsia="Arial" w:hAnsi="Arial"/>
          <w:sz w:val="21"/>
          <w:szCs w:val="21"/>
          <w:color w:val="auto"/>
        </w:rPr>
      </w:pPr>
    </w:p>
    <w:p>
      <w:pPr>
        <w:ind w:left="324" w:hanging="324"/>
        <w:spacing w:after="0"/>
        <w:tabs>
          <w:tab w:leader="none" w:pos="32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22.2(ix) Transfer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964" w:hanging="430"/>
        <w:spacing w:after="0" w:line="312" w:lineRule="auto"/>
        <w:tabs>
          <w:tab w:leader="none" w:pos="964" w:val="left"/>
        </w:tabs>
        <w:numPr>
          <w:ilvl w:val="1"/>
          <w:numId w:val="112"/>
        </w:numPr>
        <w:rPr>
          <w:rFonts w:ascii="Arial" w:cs="Arial" w:eastAsia="Arial" w:hAnsi="Arial"/>
          <w:sz w:val="19"/>
          <w:szCs w:val="19"/>
          <w:color w:val="auto"/>
        </w:rPr>
      </w:pPr>
      <w:r>
        <w:rPr>
          <w:rFonts w:ascii="Arial" w:cs="Arial" w:eastAsia="Arial" w:hAnsi="Arial"/>
          <w:sz w:val="19"/>
          <w:szCs w:val="19"/>
          <w:color w:val="auto"/>
        </w:rPr>
        <w:t>Landlord and Tenant hereby acknowledge and agree that the Bally’s Transaction shall be deemed to be, and treated as, a transfer and sale of the entire “Leased Property” (as defined in the Regional Lease) with respect to a “Facility” (as defined in the Regional Lease) pursuant to Section 22.2(ix) of the Regional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191" w:name="page192"/>
    <w:bookmarkEnd w:id="191"/>
    <w:p>
      <w:pPr>
        <w:ind w:left="1620" w:hanging="490"/>
        <w:spacing w:after="0" w:line="263" w:lineRule="auto"/>
        <w:tabs>
          <w:tab w:leader="none" w:pos="162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The 2018 Facility EBITDAR of Regional Tenant for the Bally’s Facility is as set forth on </w:t>
      </w:r>
      <w:r>
        <w:rPr>
          <w:rFonts w:ascii="Arial" w:cs="Arial" w:eastAsia="Arial" w:hAnsi="Arial"/>
          <w:sz w:val="22"/>
          <w:szCs w:val="22"/>
          <w:u w:val="single" w:color="auto"/>
          <w:color w:val="auto"/>
        </w:rPr>
        <w:t>Schedule C-2</w:t>
      </w:r>
      <w:r>
        <w:rPr>
          <w:rFonts w:ascii="Arial" w:cs="Arial" w:eastAsia="Arial" w:hAnsi="Arial"/>
          <w:sz w:val="22"/>
          <w:szCs w:val="22"/>
          <w:color w:val="auto"/>
        </w:rPr>
        <w:t xml:space="preserve"> annexed to the Seventh Amendment to the Regional Lease.</w:t>
      </w:r>
    </w:p>
    <w:p>
      <w:pPr>
        <w:spacing w:after="0" w:line="174" w:lineRule="exact"/>
        <w:rPr>
          <w:rFonts w:ascii="Arial" w:cs="Arial" w:eastAsia="Arial" w:hAnsi="Arial"/>
          <w:sz w:val="22"/>
          <w:szCs w:val="22"/>
          <w:color w:val="auto"/>
        </w:rPr>
      </w:pPr>
    </w:p>
    <w:p>
      <w:pPr>
        <w:jc w:val="both"/>
        <w:ind w:left="1620" w:hanging="550"/>
        <w:spacing w:after="0" w:line="271" w:lineRule="auto"/>
        <w:tabs>
          <w:tab w:leader="none" w:pos="162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The amount of the 2018 EBITDAR Pool shall not be reduced as a result of the Bally’s Facility no longer being a Regional Facility under the Regional Lease, and the removal of the Bally’s Facility from the Regional Lease shall not constitute a L1 Transfer or a L2 Transfer under the Regional Lease.</w:t>
      </w:r>
    </w:p>
    <w:p>
      <w:pPr>
        <w:spacing w:after="0" w:line="161" w:lineRule="exact"/>
        <w:rPr>
          <w:rFonts w:ascii="Arial" w:cs="Arial" w:eastAsia="Arial" w:hAnsi="Arial"/>
          <w:sz w:val="21"/>
          <w:szCs w:val="21"/>
          <w:color w:val="auto"/>
        </w:rPr>
      </w:pPr>
    </w:p>
    <w:p>
      <w:pPr>
        <w:ind w:left="1300" w:hanging="644"/>
        <w:spacing w:after="0"/>
        <w:tabs>
          <w:tab w:leader="none" w:pos="13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p>
    <w:p>
      <w:pPr>
        <w:spacing w:after="0" w:line="225"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19"/>
          <w:szCs w:val="19"/>
          <w:color w:val="auto"/>
        </w:rPr>
        <w:t>. The Lease shall remain in full force and effect except as expressly amended or modified by this Amendment.</w:t>
      </w:r>
    </w:p>
    <w:p>
      <w:pPr>
        <w:spacing w:after="0" w:line="5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From and after the date of this Amendment, all references in the Lease to the “Lease” shall be deemed to refer to the Lease as amended by this Amendment.</w:t>
      </w:r>
    </w:p>
    <w:p>
      <w:pPr>
        <w:spacing w:after="0" w:line="186" w:lineRule="exact"/>
        <w:rPr>
          <w:sz w:val="20"/>
          <w:szCs w:val="20"/>
          <w:color w:val="auto"/>
        </w:rPr>
      </w:pPr>
    </w:p>
    <w:p>
      <w:pPr>
        <w:jc w:val="both"/>
        <w:ind w:firstLine="656"/>
        <w:spacing w:after="0" w:line="267" w:lineRule="auto"/>
        <w:tabs>
          <w:tab w:leader="none" w:pos="1296"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b w:val="1"/>
          <w:bCs w:val="1"/>
          <w:color w:val="auto"/>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67"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p>
    <w:p>
      <w:pPr>
        <w:spacing w:after="0" w:line="226" w:lineRule="exact"/>
        <w:rPr>
          <w:sz w:val="20"/>
          <w:szCs w:val="20"/>
          <w:color w:val="auto"/>
        </w:rPr>
      </w:pPr>
    </w:p>
    <w:p>
      <w:pPr>
        <w:jc w:val="both"/>
        <w:ind w:firstLine="1304"/>
        <w:spacing w:after="0" w:line="253" w:lineRule="auto"/>
        <w:tabs>
          <w:tab w:leader="none" w:pos="140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This Amendment may be executed by one or more of the parties hereto on any number of separate counterparts, and all of such counterparts taken together shall be deemed to constitute one and the same instrument. Facsimile and/or .pdf signatures shall be deemed to be originals for all purposes.</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p>
    <w:p>
      <w:pPr>
        <w:spacing w:after="0" w:line="226" w:lineRule="exact"/>
        <w:rPr>
          <w:sz w:val="20"/>
          <w:szCs w:val="20"/>
          <w:color w:val="auto"/>
        </w:rPr>
      </w:pPr>
    </w:p>
    <w:p>
      <w:pPr>
        <w:ind w:left="120" w:hanging="112"/>
        <w:spacing w:after="0"/>
        <w:tabs>
          <w:tab w:leader="none" w:pos="1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This Amendment shall be effective, as of the date hereof, only upon execution and delivery by each of the parties hereto.</w:t>
      </w:r>
    </w:p>
    <w:p>
      <w:pPr>
        <w:spacing w:after="0" w:line="248" w:lineRule="exact"/>
        <w:rPr>
          <w:rFonts w:ascii="Arial" w:cs="Arial" w:eastAsia="Arial" w:hAnsi="Arial"/>
          <w:sz w:val="19"/>
          <w:szCs w:val="19"/>
          <w:color w:val="auto"/>
        </w:rPr>
      </w:pPr>
    </w:p>
    <w:p>
      <w:pPr>
        <w:jc w:val="both"/>
        <w:ind w:firstLine="656"/>
        <w:spacing w:after="0" w:line="291" w:lineRule="auto"/>
        <w:tabs>
          <w:tab w:leader="none" w:pos="1296" w:val="left"/>
        </w:tabs>
        <w:numPr>
          <w:ilvl w:val="1"/>
          <w:numId w:val="117"/>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sectPr>
      </w:pPr>
    </w:p>
    <w:bookmarkStart w:id="193" w:name="page194"/>
    <w:bookmarkEnd w:id="19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JOLIET LANDCO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999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1">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Continue on Following Pages]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Fourth Amendment to Joliet Lease]</w:t>
      </w:r>
    </w:p>
    <w:p>
      <w:pPr>
        <w:sectPr>
          <w:pgSz w:w="11900" w:h="16838" w:orient="portrait"/>
          <w:cols w:equalWidth="0" w:num="1">
            <w:col w:w="11220"/>
          </w:cols>
          <w:pgMar w:left="320" w:top="1419" w:right="359" w:bottom="1440" w:gutter="0" w:footer="0" w:header="0"/>
        </w:sectPr>
      </w:pPr>
    </w:p>
    <w:bookmarkStart w:id="194" w:name="page195"/>
    <w:bookmarkEnd w:id="194"/>
    <w:p>
      <w:pPr>
        <w:ind w:right="4839"/>
        <w:spacing w:after="0" w:line="267" w:lineRule="auto"/>
        <w:rPr>
          <w:sz w:val="20"/>
          <w:szCs w:val="20"/>
          <w:color w:val="auto"/>
        </w:rPr>
      </w:pPr>
      <w:r>
        <w:rPr>
          <w:rFonts w:ascii="Arial" w:cs="Arial" w:eastAsia="Arial" w:hAnsi="Arial"/>
          <w:sz w:val="20"/>
          <w:szCs w:val="20"/>
          <w:b w:val="1"/>
          <w:bCs w:val="1"/>
          <w:color w:val="auto"/>
        </w:rPr>
        <w:t xml:space="preserve">DES PLAINES DEVELOPMENT LIMITED PARTNERSHIP, </w:t>
      </w:r>
      <w:r>
        <w:rPr>
          <w:rFonts w:ascii="Arial" w:cs="Arial" w:eastAsia="Arial" w:hAnsi="Arial"/>
          <w:sz w:val="20"/>
          <w:szCs w:val="20"/>
          <w:color w:val="auto"/>
        </w:rPr>
        <w:t>a Delaware limited partnership</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Harrah’s Illinois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Nevada limited liability company,</w:t>
      </w:r>
    </w:p>
    <w:p>
      <w:pPr>
        <w:ind w:left="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762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2">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 Edmund L. Quatmann, Jr.</w:t>
      </w:r>
    </w:p>
    <w:p>
      <w:pPr>
        <w:ind w:left="200"/>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8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 solely for the purposes of the last paragraph of Section 1.1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[Signature Page to Fourth Amendment to Joliet Lease]</w:t>
      </w:r>
    </w:p>
    <w:p>
      <w:pPr>
        <w:sectPr>
          <w:pgSz w:w="11900" w:h="16838" w:orient="portrait"/>
          <w:cols w:equalWidth="0" w:num="1">
            <w:col w:w="10139"/>
          </w:cols>
          <w:pgMar w:left="320" w:top="1413" w:right="1440"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b w:val="1"/>
          <w:bCs w:val="1"/>
          <w:color w:val="auto"/>
        </w:rPr>
        <w:t>PROPCO TRS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999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3">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 David Kieske</w:t>
      </w:r>
    </w:p>
    <w:p>
      <w:pPr>
        <w:ind w:left="2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351" w:lineRule="exact"/>
        <w:rPr>
          <w:sz w:val="20"/>
          <w:szCs w:val="20"/>
          <w:color w:val="auto"/>
        </w:rPr>
      </w:pPr>
    </w:p>
    <w:p>
      <w:pPr>
        <w:ind w:left="3880"/>
        <w:spacing w:after="0"/>
        <w:rPr>
          <w:sz w:val="20"/>
          <w:szCs w:val="20"/>
          <w:color w:val="auto"/>
        </w:rPr>
      </w:pPr>
      <w:r>
        <w:rPr>
          <w:rFonts w:ascii="Arial" w:cs="Arial" w:eastAsia="Arial" w:hAnsi="Arial"/>
          <w:sz w:val="20"/>
          <w:szCs w:val="20"/>
          <w:b w:val="1"/>
          <w:bCs w:val="1"/>
          <w:i w:val="1"/>
          <w:iCs w:val="1"/>
          <w:color w:val="auto"/>
        </w:rPr>
        <w:t>[Signatures Continue on Following Pages]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CEOC, LLC </w:t>
      </w:r>
      <w:r>
        <w:rPr>
          <w:rFonts w:ascii="Arial" w:cs="Arial" w:eastAsia="Arial" w:hAnsi="Arial"/>
          <w:sz w:val="18"/>
          <w:szCs w:val="18"/>
          <w:color w:val="auto"/>
        </w:rPr>
        <w:t>hereby acknowledges this Amendment and reaffirms its joinder attached to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[Signature Page to Fourth Amendment to Joliet Lease]</w:t>
      </w:r>
    </w:p>
    <w:p>
      <w:pPr>
        <w:sectPr>
          <w:pgSz w:w="11900" w:h="16838" w:orient="portrait"/>
          <w:cols w:equalWidth="0" w:num="1">
            <w:col w:w="10139"/>
          </w:cols>
          <w:pgMar w:left="320" w:top="1413" w:right="1440" w:bottom="1440" w:gutter="0" w:footer="0" w:header="0"/>
        </w:sectPr>
      </w:pPr>
    </w:p>
    <w:bookmarkStart w:id="196" w:name="page197"/>
    <w:bookmarkEnd w:id="196"/>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CEOC,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62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4">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[Signature Page to Fourth Amendment to Joliet Lease]</w:t>
      </w:r>
    </w:p>
    <w:p>
      <w:pPr>
        <w:sectPr>
          <w:pgSz w:w="11900" w:h="16838" w:orient="portrait"/>
          <w:cols w:equalWidth="0" w:num="1">
            <w:col w:w="10139"/>
          </w:cols>
          <w:pgMar w:left="320" w:top="1440"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ACKNOWLEDGMENT AND AGREEMENT OF GUARANTOR</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Fourth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November 18, 2020,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88" w:lineRule="exact"/>
        <w:rPr>
          <w:sz w:val="20"/>
          <w:szCs w:val="20"/>
          <w:color w:val="auto"/>
        </w:rPr>
      </w:pPr>
    </w:p>
    <w:p>
      <w:pPr>
        <w:jc w:val="both"/>
        <w:ind w:firstLine="294"/>
        <w:spacing w:after="0" w:line="260" w:lineRule="auto"/>
        <w:rPr>
          <w:sz w:val="20"/>
          <w:szCs w:val="20"/>
          <w:color w:val="auto"/>
        </w:rPr>
      </w:pPr>
      <w:r>
        <w:rPr>
          <w:rFonts w:ascii="Arial" w:cs="Arial" w:eastAsia="Arial" w:hAnsi="Arial"/>
          <w:sz w:val="20"/>
          <w:szCs w:val="20"/>
          <w:color w:val="auto"/>
        </w:rPr>
        <w:t>IN WITNESS WHEREOF, the undersigned has caused this Acknowledgment and Agreement of Guarantor to be duly executed as of November 18, 2020.</w:t>
      </w:r>
    </w:p>
    <w:p>
      <w:pPr>
        <w:sectPr>
          <w:pgSz w:w="11900" w:h="16838" w:orient="portrait"/>
          <w:cols w:equalWidth="0" w:num="1">
            <w:col w:w="11240"/>
          </w:cols>
          <w:pgMar w:left="320" w:top="1413" w:right="3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5">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2599"/>
        <w:spacing w:after="0"/>
        <w:rPr>
          <w:sz w:val="20"/>
          <w:szCs w:val="20"/>
          <w:color w:val="auto"/>
        </w:rPr>
      </w:pPr>
      <w:r>
        <w:rPr>
          <w:rFonts w:ascii="Arial" w:cs="Arial" w:eastAsia="Arial" w:hAnsi="Arial"/>
          <w:sz w:val="14"/>
          <w:szCs w:val="14"/>
          <w:i w:val="1"/>
          <w:iCs w:val="1"/>
          <w:color w:val="auto"/>
        </w:rPr>
        <w:t>[Signature Page to Acknowledgment and Agreement of Guarantor]</w:t>
      </w:r>
    </w:p>
    <w:p>
      <w:pPr>
        <w:sectPr>
          <w:pgSz w:w="11900" w:h="16838" w:orient="portrait"/>
          <w:cols w:equalWidth="0" w:num="1">
            <w:col w:w="10139"/>
          </w:cols>
          <w:pgMar w:left="320" w:top="1413"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t>Exhibit 10.53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18"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the 20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August 2020 (the “</w:t>
      </w:r>
      <w:r>
        <w:rPr>
          <w:rFonts w:ascii="Arial" w:cs="Arial" w:eastAsia="Arial" w:hAnsi="Arial"/>
          <w:sz w:val="21"/>
          <w:szCs w:val="21"/>
          <w:u w:val="single" w:color="auto"/>
          <w:color w:val="auto"/>
        </w:rPr>
        <w:t>Grant Date</w:t>
      </w:r>
      <w:r>
        <w:rPr>
          <w:rFonts w:ascii="Arial" w:cs="Arial" w:eastAsia="Arial" w:hAnsi="Arial"/>
          <w:sz w:val="21"/>
          <w:szCs w:val="21"/>
          <w:color w:val="auto"/>
        </w:rPr>
        <w:t>”) between Caesars Entertainment,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w:t>
      </w:r>
      <w:r>
        <w:rPr>
          <w:rFonts w:ascii="Arial" w:cs="Arial" w:eastAsia="Arial" w:hAnsi="Arial"/>
          <w:sz w:val="21"/>
          <w:szCs w:val="21"/>
          <w:color w:val="FFFFFF"/>
        </w:rPr>
        <w:t xml:space="preserve">[_________] </w:t>
      </w:r>
      <w:r>
        <w:rPr>
          <w:rFonts w:ascii="Arial" w:cs="Arial" w:eastAsia="Arial" w:hAnsi="Arial"/>
          <w:sz w:val="21"/>
          <w:szCs w:val="21"/>
          <w:color w:val="000000"/>
        </w:rPr>
        <w:t>(the “</w:t>
      </w:r>
      <w:r>
        <w:rPr>
          <w:rFonts w:ascii="Arial" w:cs="Arial" w:eastAsia="Arial" w:hAnsi="Arial"/>
          <w:sz w:val="21"/>
          <w:szCs w:val="21"/>
          <w:u w:val="single" w:color="auto"/>
          <w:color w:val="000000"/>
        </w:rPr>
        <w:t>Participant</w:t>
      </w:r>
      <w:r>
        <w:rPr>
          <w:rFonts w:ascii="Arial" w:cs="Arial" w:eastAsia="Arial" w:hAnsi="Arial"/>
          <w:sz w:val="21"/>
          <w:szCs w:val="21"/>
          <w:color w:val="000000"/>
        </w:rPr>
        <w:t>”), and is made pursuant to the terms of the Company’s Amended &amp; Restated 2015 Equity</w:t>
      </w:r>
      <w:r>
        <w:rPr>
          <w:rFonts w:ascii="Arial" w:cs="Arial" w:eastAsia="Arial" w:hAnsi="Arial"/>
          <w:sz w:val="21"/>
          <w:szCs w:val="21"/>
          <w:color w:val="FFFFFF"/>
        </w:rPr>
        <w:t xml:space="preserve"> </w:t>
      </w:r>
      <w:r>
        <w:rPr>
          <w:rFonts w:ascii="Arial" w:cs="Arial" w:eastAsia="Arial" w:hAnsi="Arial"/>
          <w:sz w:val="21"/>
          <w:szCs w:val="21"/>
          <w:color w:val="000000"/>
        </w:rPr>
        <w:t>Incentive Plan (the “</w:t>
      </w:r>
      <w:r>
        <w:rPr>
          <w:rFonts w:ascii="Arial" w:cs="Arial" w:eastAsia="Arial" w:hAnsi="Arial"/>
          <w:sz w:val="21"/>
          <w:szCs w:val="21"/>
          <w:u w:val="single" w:color="auto"/>
          <w:color w:val="000000"/>
        </w:rPr>
        <w:t>Plan</w:t>
      </w:r>
      <w:r>
        <w:rPr>
          <w:rFonts w:ascii="Arial" w:cs="Arial" w:eastAsia="Arial" w:hAnsi="Arial"/>
          <w:sz w:val="21"/>
          <w:szCs w:val="21"/>
          <w:color w:val="000000"/>
        </w:rPr>
        <w:t>”). Capitalized terms used herein but not defined shall have the meanings set forth in the Plan.</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Restricted Stock Units</w:t>
      </w:r>
    </w:p>
    <w:p>
      <w:pPr>
        <w:spacing w:after="0" w:line="220" w:lineRule="exact"/>
        <w:rPr>
          <w:sz w:val="20"/>
          <w:szCs w:val="20"/>
          <w:color w:val="auto"/>
        </w:rPr>
      </w:pPr>
    </w:p>
    <w:p>
      <w:pPr>
        <w:jc w:val="both"/>
        <w:ind w:firstLine="1304"/>
        <w:spacing w:after="0" w:line="250" w:lineRule="auto"/>
        <w:tabs>
          <w:tab w:leader="none" w:pos="140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The Company hereby issues to the Participant, as of the Grant Date, </w:t>
      </w:r>
      <w:r>
        <w:rPr>
          <w:rFonts w:ascii="Arial" w:cs="Arial" w:eastAsia="Arial" w:hAnsi="Arial"/>
          <w:sz w:val="22"/>
          <w:szCs w:val="22"/>
          <w:color w:val="FFFFFF"/>
        </w:rPr>
        <w:t>[____]</w:t>
      </w:r>
      <w:r>
        <w:rPr>
          <w:rFonts w:ascii="Arial" w:cs="Arial" w:eastAsia="Arial" w:hAnsi="Arial"/>
          <w:sz w:val="22"/>
          <w:szCs w:val="22"/>
          <w:color w:val="auto"/>
        </w:rPr>
        <w:t xml:space="preserve">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subject to such vesting, transfer and other restrictions and conditions as set forth in this Agreement (the “</w:t>
      </w:r>
      <w:r>
        <w:rPr>
          <w:rFonts w:ascii="Arial" w:cs="Arial" w:eastAsia="Arial" w:hAnsi="Arial"/>
          <w:sz w:val="22"/>
          <w:szCs w:val="22"/>
          <w:u w:val="single" w:color="auto"/>
          <w:color w:val="auto"/>
        </w:rPr>
        <w:t>Award</w:t>
      </w:r>
      <w:r>
        <w:rPr>
          <w:rFonts w:ascii="Arial" w:cs="Arial" w:eastAsia="Arial" w:hAnsi="Arial"/>
          <w:sz w:val="22"/>
          <w:szCs w:val="22"/>
          <w:color w:val="auto"/>
        </w:rPr>
        <w:t>”). Each RSU represents the right to receive the Fair Market Value of one Share, subject to the terms and conditions set forth in this Agreement and the Plan.</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Vesting Requirements</w:t>
      </w:r>
      <w:r>
        <w:rPr>
          <w:rFonts w:ascii="Arial" w:cs="Arial" w:eastAsia="Arial" w:hAnsi="Arial"/>
          <w:sz w:val="19"/>
          <w:szCs w:val="19"/>
          <w:color w:val="auto"/>
        </w:rPr>
        <w:t>.</w:t>
      </w:r>
    </w:p>
    <w:p>
      <w:pPr>
        <w:spacing w:after="0" w:line="214" w:lineRule="exact"/>
        <w:rPr>
          <w:sz w:val="20"/>
          <w:szCs w:val="20"/>
          <w:color w:val="auto"/>
        </w:rPr>
      </w:pPr>
    </w:p>
    <w:p>
      <w:pPr>
        <w:jc w:val="both"/>
        <w:ind w:firstLine="1304"/>
        <w:spacing w:after="0" w:line="252" w:lineRule="auto"/>
        <w:tabs>
          <w:tab w:leader="none" w:pos="1939"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Generally</w:t>
      </w:r>
      <w:r>
        <w:rPr>
          <w:rFonts w:ascii="Arial" w:cs="Arial" w:eastAsia="Arial" w:hAnsi="Arial"/>
          <w:sz w:val="22"/>
          <w:szCs w:val="22"/>
          <w:b w:val="1"/>
          <w:bCs w:val="1"/>
          <w:color w:val="auto"/>
        </w:rPr>
        <w:t>. Except as otherwise provided herein, the RSUs shall vest and become non-forfeitable in equal installments on the first three anniversaries of the Grant Date (each, a “</w:t>
      </w:r>
      <w:r>
        <w:rPr>
          <w:rFonts w:ascii="Arial" w:cs="Arial" w:eastAsia="Arial" w:hAnsi="Arial"/>
          <w:sz w:val="22"/>
          <w:szCs w:val="22"/>
          <w:b w:val="1"/>
          <w:bCs w:val="1"/>
          <w:u w:val="single" w:color="auto"/>
          <w:color w:val="auto"/>
        </w:rPr>
        <w:t>Vesting Date</w:t>
      </w:r>
      <w:r>
        <w:rPr>
          <w:rFonts w:ascii="Arial" w:cs="Arial" w:eastAsia="Arial" w:hAnsi="Arial"/>
          <w:sz w:val="22"/>
          <w:szCs w:val="22"/>
          <w:b w:val="1"/>
          <w:bCs w:val="1"/>
          <w:color w:val="auto"/>
        </w:rPr>
        <w:t>”), subject to the Participant’s continuous service or employment with the Company and its Affiliates (“</w:t>
      </w: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from the Grant Date through the applicable Vesting Date.</w:t>
      </w:r>
    </w:p>
    <w:p>
      <w:pPr>
        <w:spacing w:after="0" w:line="179" w:lineRule="exact"/>
        <w:rPr>
          <w:rFonts w:ascii="Arial" w:cs="Arial" w:eastAsia="Arial" w:hAnsi="Arial"/>
          <w:sz w:val="22"/>
          <w:szCs w:val="22"/>
          <w:b w:val="1"/>
          <w:bCs w:val="1"/>
          <w:color w:val="auto"/>
        </w:rPr>
      </w:pPr>
    </w:p>
    <w:p>
      <w:pPr>
        <w:jc w:val="both"/>
        <w:ind w:firstLine="1304"/>
        <w:spacing w:after="0" w:line="291" w:lineRule="auto"/>
        <w:tabs>
          <w:tab w:leader="none" w:pos="1938"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If the Participant receives a Replacement Award in respect of the RSUs (the “</w:t>
      </w:r>
      <w:r>
        <w:rPr>
          <w:rFonts w:ascii="Arial" w:cs="Arial" w:eastAsia="Arial" w:hAnsi="Arial"/>
          <w:sz w:val="19"/>
          <w:szCs w:val="19"/>
          <w:b w:val="1"/>
          <w:bCs w:val="1"/>
          <w:u w:val="single" w:color="auto"/>
          <w:color w:val="auto"/>
        </w:rPr>
        <w:t>Replacement Units</w:t>
      </w:r>
      <w:r>
        <w:rPr>
          <w:rFonts w:ascii="Arial" w:cs="Arial" w:eastAsia="Arial" w:hAnsi="Arial"/>
          <w:sz w:val="19"/>
          <w:szCs w:val="19"/>
          <w:b w:val="1"/>
          <w:bCs w:val="1"/>
          <w:color w:val="auto"/>
        </w:rPr>
        <w:t xml:space="preserve">”) upon a Change in Control that occurs prior to the final Vesting Date, then the unvested RSUs will not vest upon such Change in Control and such Replacement Units shall continue to vest in accordance with the vesting schedule set forth in Section 2(a) above and continue to be subject to the terms of the Plan and this Agreement. If, however, upon a Change in Control the Participant does </w:t>
      </w:r>
      <w:r>
        <w:rPr>
          <w:rFonts w:ascii="Arial" w:cs="Arial" w:eastAsia="Arial" w:hAnsi="Arial"/>
          <w:sz w:val="19"/>
          <w:szCs w:val="19"/>
          <w:b w:val="1"/>
          <w:bCs w:val="1"/>
          <w:i w:val="1"/>
          <w:iCs w:val="1"/>
          <w:color w:val="auto"/>
        </w:rPr>
        <w:t>not</w:t>
      </w:r>
      <w:r>
        <w:rPr>
          <w:rFonts w:ascii="Arial" w:cs="Arial" w:eastAsia="Arial" w:hAnsi="Arial"/>
          <w:sz w:val="19"/>
          <w:szCs w:val="19"/>
          <w:b w:val="1"/>
          <w:bCs w:val="1"/>
          <w:color w:val="auto"/>
        </w:rPr>
        <w:t xml:space="preserve"> receive a Replacement Award in respect of the RSUs, then any RSUs that are unvested and held by the Participant as of immediately prior to the Change in Control shall vest as of immediately prior to the Change in Control (the “</w:t>
      </w:r>
      <w:r>
        <w:rPr>
          <w:rFonts w:ascii="Arial" w:cs="Arial" w:eastAsia="Arial" w:hAnsi="Arial"/>
          <w:sz w:val="19"/>
          <w:szCs w:val="19"/>
          <w:b w:val="1"/>
          <w:bCs w:val="1"/>
          <w:u w:val="single" w:color="auto"/>
          <w:color w:val="auto"/>
        </w:rPr>
        <w:t>CIC Vested Awards</w:t>
      </w:r>
      <w:r>
        <w:rPr>
          <w:rFonts w:ascii="Arial" w:cs="Arial" w:eastAsia="Arial" w:hAnsi="Arial"/>
          <w:sz w:val="19"/>
          <w:szCs w:val="19"/>
          <w:b w:val="1"/>
          <w:bCs w:val="1"/>
          <w:color w:val="auto"/>
        </w:rPr>
        <w:t>”), and will be treated in accordance with Section 12(b) of the Plan, subject to the Participant’s continuous Service through the Change in Control.</w:t>
      </w:r>
    </w:p>
    <w:p>
      <w:pPr>
        <w:spacing w:after="0" w:line="148" w:lineRule="exact"/>
        <w:rPr>
          <w:rFonts w:ascii="Arial" w:cs="Arial" w:eastAsia="Arial" w:hAnsi="Arial"/>
          <w:sz w:val="19"/>
          <w:szCs w:val="19"/>
          <w:b w:val="1"/>
          <w:bCs w:val="1"/>
          <w:color w:val="auto"/>
        </w:rPr>
      </w:pPr>
    </w:p>
    <w:p>
      <w:pPr>
        <w:jc w:val="both"/>
        <w:ind w:firstLine="1304"/>
        <w:spacing w:after="0" w:line="248" w:lineRule="auto"/>
        <w:tabs>
          <w:tab w:leader="none" w:pos="1941"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without Cause, for Good Reason, or due to Death or Disability (other than During the 24-Month Period Immediately Following a Change in Control)</w:t>
      </w:r>
      <w:r>
        <w:rPr>
          <w:rFonts w:ascii="Arial" w:cs="Arial" w:eastAsia="Arial" w:hAnsi="Arial"/>
          <w:sz w:val="22"/>
          <w:szCs w:val="22"/>
          <w:b w:val="1"/>
          <w:bCs w:val="1"/>
          <w:color w:val="auto"/>
        </w:rPr>
        <w:t>. Notwithstanding Section 2(a) or Section 2(b) hereof, in the event of the Participant’s termination of Service (i) by the Company and its Affiliates without Cause, (ii) to the extent that the Participant is party to an employment agreement as of the date of termination that provides for “good reason” protection, by the Participant for “Good Reason” or (iii) due to the Participant’s death or Disability, in each case, at any time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9"/>
          <w:szCs w:val="9"/>
          <w:color w:val="FFFFFF"/>
        </w:rPr>
        <w:t>DEPTS.00106</w:t>
      </w:r>
    </w:p>
    <w:p>
      <w:pPr>
        <w:sectPr>
          <w:pgSz w:w="11900" w:h="16838" w:orient="portrait"/>
          <w:cols w:equalWidth="0" w:num="1">
            <w:col w:w="11240"/>
          </w:cols>
          <w:pgMar w:left="320" w:top="1422" w:right="339" w:bottom="1440" w:gutter="0" w:footer="0" w:header="0"/>
        </w:sectPr>
      </w:pPr>
    </w:p>
    <w:bookmarkStart w:id="200" w:name="page201"/>
    <w:bookmarkEnd w:id="200"/>
    <w:p>
      <w:pPr>
        <w:jc w:val="both"/>
        <w:spacing w:after="0" w:line="259" w:lineRule="auto"/>
        <w:rPr>
          <w:sz w:val="20"/>
          <w:szCs w:val="20"/>
          <w:color w:val="auto"/>
        </w:rPr>
      </w:pPr>
      <w:r>
        <w:rPr>
          <w:rFonts w:ascii="Arial" w:cs="Arial" w:eastAsia="Arial" w:hAnsi="Arial"/>
          <w:sz w:val="21"/>
          <w:szCs w:val="21"/>
          <w:b w:val="1"/>
          <w:bCs w:val="1"/>
          <w:color w:val="auto"/>
        </w:rPr>
        <w:t>than during the 24-month period immediately following a Change in Control, then the Participant will vest in a pro rata portion of the Restricted Stock Units, determined by multiplying the number of Restricted Stock Units that would have otherwise vested on the next-scheduled Vesting Date following the date of termination (the “</w:t>
      </w:r>
      <w:r>
        <w:rPr>
          <w:rFonts w:ascii="Arial" w:cs="Arial" w:eastAsia="Arial" w:hAnsi="Arial"/>
          <w:sz w:val="21"/>
          <w:szCs w:val="21"/>
          <w:b w:val="1"/>
          <w:bCs w:val="1"/>
          <w:u w:val="single" w:color="auto"/>
          <w:color w:val="auto"/>
        </w:rPr>
        <w:t>Termination Date</w:t>
      </w:r>
      <w:r>
        <w:rPr>
          <w:rFonts w:ascii="Arial" w:cs="Arial" w:eastAsia="Arial" w:hAnsi="Arial"/>
          <w:sz w:val="21"/>
          <w:szCs w:val="21"/>
          <w:b w:val="1"/>
          <w:bCs w:val="1"/>
          <w:color w:val="auto"/>
        </w:rPr>
        <w:t>”) by a fraction, the numerator of which is the number of days that the Participant provided continuous Service from the most recent Vesting Date through the Termination Date (or, if no Vesting Date has occurred, from the Grant Date through the Termination Date), and the denominator of which is 365. Any Restricted Stock Units that do not become vested pursuant to the immediately-preceding sentence shall immediately be forfeited and cancelled, and the Participant shall not be entitled to any compensation or other amount with respect thereto. For purposes of this Section 2(c), “Good Reason” shall have the meaning (if any) set forth in the Participant’s employment agreement in effect as of the Termination Date, if applicable.</w:t>
      </w:r>
    </w:p>
    <w:p>
      <w:pPr>
        <w:spacing w:after="0" w:line="175" w:lineRule="exact"/>
        <w:rPr>
          <w:sz w:val="20"/>
          <w:szCs w:val="20"/>
          <w:color w:val="auto"/>
        </w:rPr>
      </w:pPr>
    </w:p>
    <w:p>
      <w:pPr>
        <w:jc w:val="both"/>
        <w:ind w:firstLine="1304"/>
        <w:spacing w:after="0" w:line="247" w:lineRule="auto"/>
        <w:tabs>
          <w:tab w:leader="none" w:pos="1938"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without Cause, for Good Reason, or due to Death or Disability during the 24-Month Period Immediately Following a Change in Control</w:t>
      </w:r>
      <w:r>
        <w:rPr>
          <w:rFonts w:ascii="Arial" w:cs="Arial" w:eastAsia="Arial" w:hAnsi="Arial"/>
          <w:sz w:val="22"/>
          <w:szCs w:val="22"/>
          <w:b w:val="1"/>
          <w:bCs w:val="1"/>
          <w:color w:val="auto"/>
        </w:rPr>
        <w:t>. Notwithstanding Sections 2(a)-(c) hereof, in the event of the Participant’s termination of Service by the Company and its Affiliates without Cause, by the Participant for Good Reason, or due to the Participant’s death or Disability, in each case, within the 24-month period immediately following a Change in Control, then 100% of any then unvested Replacement Units shall immediately become fully vested and non-forfeitable on the Termination Date. For purposes of this Section 2(d), “Good Reason” shall have the meaning set forth in the Plan.</w:t>
      </w:r>
    </w:p>
    <w:p>
      <w:pPr>
        <w:spacing w:after="0" w:line="189" w:lineRule="exact"/>
        <w:rPr>
          <w:rFonts w:ascii="Arial" w:cs="Arial" w:eastAsia="Arial" w:hAnsi="Arial"/>
          <w:sz w:val="22"/>
          <w:szCs w:val="22"/>
          <w:b w:val="1"/>
          <w:bCs w:val="1"/>
          <w:color w:val="auto"/>
        </w:rPr>
      </w:pPr>
    </w:p>
    <w:p>
      <w:pPr>
        <w:jc w:val="both"/>
        <w:ind w:firstLine="1304"/>
        <w:spacing w:after="0" w:line="262" w:lineRule="auto"/>
        <w:tabs>
          <w:tab w:leader="none" w:pos="1941"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Terminations of Service</w:t>
      </w:r>
      <w:r>
        <w:rPr>
          <w:rFonts w:ascii="Arial" w:cs="Arial" w:eastAsia="Arial" w:hAnsi="Arial"/>
          <w:sz w:val="21"/>
          <w:szCs w:val="21"/>
          <w:b w:val="1"/>
          <w:bCs w:val="1"/>
          <w:color w:val="auto"/>
        </w:rPr>
        <w:t>. Upon the occurrence of a termination of the Participant’s Service for any reason other than as provided for by Section 2(c) or 2(d) hereof, all outstanding and unvested RSUs shall immediately be forfeited and cancelled, and the Participant shall not be entitled to any compensation or other amount with respect thereto. Notwithstanding anything to the contrary herein, upon a termination of the Participant’s Service for Cause, all RSUs, whether vested or unvested, shall immediately be forfeited and cancelled, and the Participant shall not be entitled to any compensation or other amount with respect thereto.</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Settlement</w:t>
      </w:r>
    </w:p>
    <w:p>
      <w:pPr>
        <w:spacing w:after="0" w:line="220" w:lineRule="exact"/>
        <w:rPr>
          <w:sz w:val="20"/>
          <w:szCs w:val="20"/>
          <w:color w:val="auto"/>
        </w:rPr>
      </w:pPr>
    </w:p>
    <w:p>
      <w:pPr>
        <w:jc w:val="both"/>
        <w:ind w:firstLine="1304"/>
        <w:spacing w:after="0" w:line="259" w:lineRule="auto"/>
        <w:tabs>
          <w:tab w:leader="none" w:pos="140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As soon as reasonably practicable following the applicable Vesting Date, Termination Date, or the occurrence of a Change in Control where no Replacement Award has been provided, as applicable (and in any event within 10 days following the applicable Vesting Date, Termination Date, or the occurrence of such Change in Control, as applicable), any RSUs that become vested and non-forfeitable shall be paid, unless otherwise determined by the Committee, by the Company delivering to the Participant a number of Shares equal to the number of RSUs that vested and became non-forfeitable pursuant to Section 2 hereof. Notwithstanding the foregoing, if the Participant is subject to a trading blackout on the Vesting Date, Termination Date, or the occurrence of such Change in Control, as applicable, then the applicable RSUs shall instead be settled and paid as soon as reasonably practicable (and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28" w:lineRule="auto"/>
        <w:rPr>
          <w:sz w:val="20"/>
          <w:szCs w:val="20"/>
          <w:color w:val="auto"/>
        </w:rPr>
      </w:pPr>
      <w:r>
        <w:rPr>
          <w:rFonts w:ascii="Arial" w:cs="Arial" w:eastAsia="Arial" w:hAnsi="Arial"/>
          <w:sz w:val="22"/>
          <w:szCs w:val="22"/>
          <w:color w:val="auto"/>
        </w:rPr>
        <w:t>event within 10 days) following the date on which the trading blackout is no longer applicable (but in no event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calendar year in which the Vesting Date, Termination Date, or the occurrence of such Change in Control, as applicable, occurs).</w:t>
      </w:r>
    </w:p>
    <w:p>
      <w:pPr>
        <w:spacing w:after="0" w:line="19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Restrictions on Transfer</w:t>
      </w:r>
    </w:p>
    <w:p>
      <w:pPr>
        <w:spacing w:after="0" w:line="220" w:lineRule="exact"/>
        <w:rPr>
          <w:sz w:val="20"/>
          <w:szCs w:val="20"/>
          <w:color w:val="auto"/>
        </w:rPr>
      </w:pPr>
    </w:p>
    <w:p>
      <w:pPr>
        <w:jc w:val="both"/>
        <w:ind w:firstLine="1304"/>
        <w:spacing w:after="0" w:line="259" w:lineRule="auto"/>
        <w:tabs>
          <w:tab w:leader="none" w:pos="140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No RSUs (nor any interest therein) may be sold, assigned, alienated, 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designation of a beneficiary shall not constitute a sale, assignment, alienation, pledge, attachment, transfer or encumbrance. Notwithstanding the foregoing, at the discretion of the Committee, RSUs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Investment Representation</w:t>
      </w:r>
    </w:p>
    <w:p>
      <w:pPr>
        <w:spacing w:after="0" w:line="220" w:lineRule="exact"/>
        <w:rPr>
          <w:sz w:val="20"/>
          <w:szCs w:val="20"/>
          <w:color w:val="auto"/>
        </w:rPr>
      </w:pPr>
    </w:p>
    <w:p>
      <w:pPr>
        <w:jc w:val="both"/>
        <w:ind w:firstLine="1304"/>
        <w:spacing w:after="0" w:line="287" w:lineRule="auto"/>
        <w:tabs>
          <w:tab w:leader="none" w:pos="140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Participant is acquiring the RSUs for investment purposes only and not with a view to, or in connection with, the public distribution thereof in violation of the Securities Act of 1933, as amended (the “</w:t>
      </w:r>
      <w:r>
        <w:rPr>
          <w:rFonts w:ascii="Arial" w:cs="Arial" w:eastAsia="Arial" w:hAnsi="Arial"/>
          <w:sz w:val="19"/>
          <w:szCs w:val="19"/>
          <w:u w:val="single" w:color="auto"/>
          <w:color w:val="auto"/>
        </w:rPr>
        <w:t>Securities Ac</w:t>
      </w:r>
      <w:r>
        <w:rPr>
          <w:rFonts w:ascii="Arial" w:cs="Arial" w:eastAsia="Arial" w:hAnsi="Arial"/>
          <w:sz w:val="19"/>
          <w:szCs w:val="19"/>
          <w:color w:val="auto"/>
        </w:rPr>
        <w:t>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9"/>
          <w:szCs w:val="19"/>
          <w:u w:val="single" w:color="auto"/>
          <w:color w:val="auto"/>
        </w:rPr>
        <w:t>Adjustments</w:t>
      </w:r>
    </w:p>
    <w:p>
      <w:pPr>
        <w:spacing w:after="0" w:line="220" w:lineRule="exact"/>
        <w:rPr>
          <w:sz w:val="20"/>
          <w:szCs w:val="20"/>
          <w:color w:val="auto"/>
        </w:rPr>
      </w:pPr>
    </w:p>
    <w:p>
      <w:pPr>
        <w:ind w:left="1420" w:hanging="116"/>
        <w:spacing w:after="0"/>
        <w:tabs>
          <w:tab w:leader="none" w:pos="14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Award granted hereunder shall be subject to adjustment as provided in Section 4(b) of the Plan.</w:t>
      </w:r>
    </w:p>
    <w:p>
      <w:pPr>
        <w:spacing w:after="0" w:line="219"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u w:val="single" w:color="auto"/>
          <w:color w:val="auto"/>
        </w:rPr>
        <w:t>Section 7.</w:t>
      </w:r>
      <w:r>
        <w:rPr>
          <w:rFonts w:ascii="Arial" w:cs="Arial" w:eastAsia="Arial" w:hAnsi="Arial"/>
          <w:sz w:val="19"/>
          <w:szCs w:val="19"/>
          <w:u w:val="single" w:color="auto"/>
          <w:color w:val="auto"/>
        </w:rPr>
        <w:t>No Right of Continued Service</w:t>
      </w:r>
    </w:p>
    <w:p>
      <w:pPr>
        <w:spacing w:after="0" w:line="220" w:lineRule="exact"/>
        <w:rPr>
          <w:sz w:val="20"/>
          <w:szCs w:val="20"/>
          <w:color w:val="auto"/>
        </w:rPr>
      </w:pPr>
    </w:p>
    <w:p>
      <w:pPr>
        <w:ind w:right="20" w:firstLine="1304"/>
        <w:spacing w:after="0" w:line="263" w:lineRule="auto"/>
        <w:tabs>
          <w:tab w:leader="none" w:pos="14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Nothing in the Plan or this Agreement shall confer upon the Participant any right to continued Service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02" w:name="page203"/>
    <w:bookmarkEnd w:id="202"/>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9"/>
          <w:szCs w:val="19"/>
          <w:u w:val="single" w:color="auto"/>
          <w:color w:val="auto"/>
        </w:rPr>
        <w:t>Tax Withholding</w:t>
      </w:r>
    </w:p>
    <w:p>
      <w:pPr>
        <w:spacing w:after="0" w:line="220" w:lineRule="exact"/>
        <w:rPr>
          <w:sz w:val="20"/>
          <w:szCs w:val="20"/>
          <w:color w:val="auto"/>
        </w:rPr>
      </w:pPr>
    </w:p>
    <w:p>
      <w:pPr>
        <w:ind w:left="1420" w:hanging="116"/>
        <w:spacing w:after="0"/>
        <w:tabs>
          <w:tab w:leader="none" w:pos="14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Award shall be subject to tax and/or other withholding in accordance with Section 15(e) of the Plan.</w:t>
      </w:r>
    </w:p>
    <w:p>
      <w:pPr>
        <w:spacing w:after="0" w:line="231"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u w:val="single" w:color="auto"/>
          <w:color w:val="auto"/>
        </w:rPr>
        <w:t>Section 9.</w:t>
      </w:r>
      <w:r>
        <w:rPr>
          <w:rFonts w:ascii="Arial" w:cs="Arial" w:eastAsia="Arial" w:hAnsi="Arial"/>
          <w:sz w:val="19"/>
          <w:szCs w:val="19"/>
          <w:u w:val="single" w:color="auto"/>
          <w:color w:val="auto"/>
        </w:rPr>
        <w:t>No Rights as a Stockholder; Dividends</w:t>
      </w:r>
    </w:p>
    <w:p>
      <w:pPr>
        <w:spacing w:after="0" w:line="220" w:lineRule="exact"/>
        <w:rPr>
          <w:sz w:val="20"/>
          <w:szCs w:val="20"/>
          <w:color w:val="auto"/>
        </w:rPr>
      </w:pPr>
    </w:p>
    <w:p>
      <w:pPr>
        <w:jc w:val="both"/>
        <w:ind w:firstLine="1304"/>
        <w:spacing w:after="0" w:line="289" w:lineRule="auto"/>
        <w:tabs>
          <w:tab w:leader="none" w:pos="144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Participant shall not have any privileges of a stockholder of the Company with respect to any RSUs, including without limitation any right to vote any Shares underlying such RSUs or to receive dividends or other distributions in respect thereof, unless and until Shares underlying the RSUs are delivered to the Participant in accordance with Section 3 hereof. Notwithstanding the foregoing, any dividends payable with respect to the RSUs underlying the Award during the period from the Grant Date through the date the applicable RSUs are settled in accordance with Section 3 hereof will accumulate in cash and be payable to the Participant on a deferred basis, but only to the extent that the Award vests in accordance with Section 2 hereof. In no event shall the Participant be entitled to any payments relating to dividends paid after the earlier to occur of the settlement or forfeiture of the applicable RSUs underlying the Award and, for the avoidance of doubt, all accumulated dividends shall be forfeited immediately upon the forfeiture or cancellation of the Award or applicable portion thereof.</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10.</w:t>
      </w:r>
      <w:r>
        <w:rPr>
          <w:sz w:val="20"/>
          <w:szCs w:val="20"/>
          <w:color w:val="auto"/>
        </w:rPr>
        <w:tab/>
      </w:r>
      <w:r>
        <w:rPr>
          <w:rFonts w:ascii="Arial" w:cs="Arial" w:eastAsia="Arial" w:hAnsi="Arial"/>
          <w:sz w:val="19"/>
          <w:szCs w:val="19"/>
          <w:u w:val="single" w:color="auto"/>
          <w:color w:val="auto"/>
        </w:rPr>
        <w:t>Clawback</w:t>
      </w:r>
    </w:p>
    <w:p>
      <w:pPr>
        <w:spacing w:after="0" w:line="220" w:lineRule="exact"/>
        <w:rPr>
          <w:sz w:val="20"/>
          <w:szCs w:val="20"/>
          <w:color w:val="auto"/>
        </w:rPr>
      </w:pPr>
    </w:p>
    <w:p>
      <w:pPr>
        <w:jc w:val="both"/>
        <w:ind w:firstLine="1304"/>
        <w:spacing w:after="0" w:line="247" w:lineRule="auto"/>
        <w:tabs>
          <w:tab w:leader="none" w:pos="140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Award shall be subject to the Clawback and Recoupment Policy adopted by the Board on February 27, 2019, as such policy may be amended from time to time.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11.</w:t>
      </w:r>
      <w:r>
        <w:rPr>
          <w:sz w:val="20"/>
          <w:szCs w:val="20"/>
          <w:color w:val="auto"/>
        </w:rPr>
        <w:tab/>
      </w:r>
      <w:r>
        <w:rPr>
          <w:rFonts w:ascii="Arial" w:cs="Arial" w:eastAsia="Arial" w:hAnsi="Arial"/>
          <w:sz w:val="19"/>
          <w:szCs w:val="19"/>
          <w:u w:val="single" w:color="auto"/>
          <w:color w:val="auto"/>
        </w:rPr>
        <w:t>Amendment and Termination</w:t>
      </w:r>
    </w:p>
    <w:p>
      <w:pPr>
        <w:spacing w:after="0" w:line="220" w:lineRule="exact"/>
        <w:rPr>
          <w:sz w:val="20"/>
          <w:szCs w:val="20"/>
          <w:color w:val="auto"/>
        </w:rPr>
      </w:pPr>
    </w:p>
    <w:p>
      <w:pPr>
        <w:jc w:val="both"/>
        <w:ind w:firstLine="1304"/>
        <w:spacing w:after="0" w:line="294" w:lineRule="auto"/>
        <w:tabs>
          <w:tab w:leader="none" w:pos="140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Subject to the terms of the Plan, any amendment to this Agreement shall be in writing and signed by the parties hereto. Notwithstanding the immediately-preceding sentence, subject to the terms of the Plan, the Committee may waive any conditions or rights under, amend any terms of, or alter, suspend, discontinue, cancel or terminate, this Agreement and/or the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terms of the Plan, any such waiver, amendment, alteration, suspension, discontinuance, cancellation or termination that would materially impair the rights of the Participant or any holder or beneficiary of the Award shall not be effective without the written consent of the Participant, holder or beneficiary.</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12.</w:t>
      </w:r>
      <w:r>
        <w:rPr>
          <w:sz w:val="20"/>
          <w:szCs w:val="20"/>
          <w:color w:val="auto"/>
        </w:rPr>
        <w:tab/>
      </w:r>
      <w:r>
        <w:rPr>
          <w:rFonts w:ascii="Arial" w:cs="Arial" w:eastAsia="Arial" w:hAnsi="Arial"/>
          <w:sz w:val="19"/>
          <w:szCs w:val="19"/>
          <w:u w:val="single" w:color="auto"/>
          <w:color w:val="auto"/>
        </w:rPr>
        <w:t>Construction</w:t>
      </w:r>
    </w:p>
    <w:p>
      <w:pPr>
        <w:spacing w:after="0" w:line="220" w:lineRule="exact"/>
        <w:rPr>
          <w:sz w:val="20"/>
          <w:szCs w:val="20"/>
          <w:color w:val="auto"/>
        </w:rPr>
      </w:pPr>
    </w:p>
    <w:p>
      <w:pPr>
        <w:jc w:val="both"/>
        <w:ind w:firstLine="1304"/>
        <w:spacing w:after="0" w:line="253" w:lineRule="auto"/>
        <w:tabs>
          <w:tab w:leader="none" w:pos="140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Award granted hereunder is granted by the Company pursuant to the Plan and is in all respects subject to the terms and conditions of the Plan. The Participant hereby acknowledges that a copy of the Plan has been delivered to the Participant and accepts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03" w:name="page204"/>
    <w:bookmarkEnd w:id="203"/>
    <w:p>
      <w:pPr>
        <w:jc w:val="both"/>
        <w:spacing w:after="0" w:line="250" w:lineRule="auto"/>
        <w:rPr>
          <w:sz w:val="20"/>
          <w:szCs w:val="20"/>
          <w:color w:val="auto"/>
        </w:rPr>
      </w:pPr>
      <w:r>
        <w:rPr>
          <w:rFonts w:ascii="Arial" w:cs="Arial" w:eastAsia="Arial" w:hAnsi="Arial"/>
          <w:sz w:val="22"/>
          <w:szCs w:val="22"/>
          <w:color w:val="auto"/>
        </w:rPr>
        <w:t>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13.</w:t>
      </w:r>
      <w:r>
        <w:rPr>
          <w:sz w:val="20"/>
          <w:szCs w:val="20"/>
          <w:color w:val="auto"/>
        </w:rPr>
        <w:tab/>
      </w:r>
      <w:r>
        <w:rPr>
          <w:rFonts w:ascii="Arial" w:cs="Arial" w:eastAsia="Arial" w:hAnsi="Arial"/>
          <w:sz w:val="19"/>
          <w:szCs w:val="19"/>
          <w:u w:val="single" w:color="auto"/>
          <w:color w:val="auto"/>
        </w:rPr>
        <w:t>Governing Law</w:t>
      </w:r>
    </w:p>
    <w:p>
      <w:pPr>
        <w:spacing w:after="0" w:line="220" w:lineRule="exact"/>
        <w:rPr>
          <w:sz w:val="20"/>
          <w:szCs w:val="20"/>
          <w:color w:val="auto"/>
        </w:rPr>
      </w:pPr>
    </w:p>
    <w:p>
      <w:pPr>
        <w:jc w:val="both"/>
        <w:ind w:firstLine="1304"/>
        <w:spacing w:after="0" w:line="253" w:lineRule="auto"/>
        <w:tabs>
          <w:tab w:leader="none" w:pos="141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laws of the State of Delaware, without giving effect to the choice of law principles thereof, or principles of conflicts of laws of any other jurisdiction which could cause the application of the laws of any jurisdiction other than the State of Delaware.</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14.</w:t>
      </w:r>
      <w:r>
        <w:rPr>
          <w:sz w:val="20"/>
          <w:szCs w:val="20"/>
          <w:color w:val="auto"/>
        </w:rPr>
        <w:tab/>
      </w:r>
      <w:r>
        <w:rPr>
          <w:rFonts w:ascii="Arial" w:cs="Arial" w:eastAsia="Arial" w:hAnsi="Arial"/>
          <w:sz w:val="19"/>
          <w:szCs w:val="19"/>
          <w:u w:val="single" w:color="auto"/>
          <w:color w:val="auto"/>
        </w:rPr>
        <w:t>Counterparts</w:t>
      </w:r>
    </w:p>
    <w:p>
      <w:pPr>
        <w:spacing w:after="0" w:line="220" w:lineRule="exact"/>
        <w:rPr>
          <w:sz w:val="20"/>
          <w:szCs w:val="20"/>
          <w:color w:val="auto"/>
        </w:rPr>
      </w:pPr>
    </w:p>
    <w:p>
      <w:pPr>
        <w:ind w:firstLine="1304"/>
        <w:spacing w:after="0" w:line="263" w:lineRule="auto"/>
        <w:tabs>
          <w:tab w:leader="none" w:pos="141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This Agreement may be executed in counterparts, each of which shall be deemed to be an original but all of which together shall constitute one and the same instrument.</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15.</w:t>
      </w:r>
      <w:r>
        <w:rPr>
          <w:sz w:val="20"/>
          <w:szCs w:val="20"/>
          <w:color w:val="auto"/>
        </w:rPr>
        <w:tab/>
      </w:r>
      <w:r>
        <w:rPr>
          <w:rFonts w:ascii="Arial" w:cs="Arial" w:eastAsia="Arial" w:hAnsi="Arial"/>
          <w:sz w:val="19"/>
          <w:szCs w:val="19"/>
          <w:u w:val="single" w:color="auto"/>
          <w:color w:val="auto"/>
        </w:rPr>
        <w:t>Binding Effect</w:t>
      </w:r>
    </w:p>
    <w:p>
      <w:pPr>
        <w:spacing w:after="0" w:line="220" w:lineRule="exact"/>
        <w:rPr>
          <w:sz w:val="20"/>
          <w:szCs w:val="20"/>
          <w:color w:val="auto"/>
        </w:rPr>
      </w:pPr>
    </w:p>
    <w:p>
      <w:pPr>
        <w:ind w:firstLine="1304"/>
        <w:spacing w:after="0" w:line="263" w:lineRule="auto"/>
        <w:tabs>
          <w:tab w:leader="none" w:pos="141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heirs, executors, administrators, successors and assigns.</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16.</w:t>
      </w:r>
      <w:r>
        <w:rPr>
          <w:sz w:val="20"/>
          <w:szCs w:val="20"/>
          <w:color w:val="auto"/>
        </w:rPr>
        <w:tab/>
      </w:r>
      <w:r>
        <w:rPr>
          <w:rFonts w:ascii="Arial" w:cs="Arial" w:eastAsia="Arial" w:hAnsi="Arial"/>
          <w:sz w:val="19"/>
          <w:szCs w:val="19"/>
          <w:u w:val="single" w:color="auto"/>
          <w:color w:val="auto"/>
        </w:rPr>
        <w:t>Severability</w:t>
      </w:r>
    </w:p>
    <w:p>
      <w:pPr>
        <w:spacing w:after="0" w:line="220" w:lineRule="exact"/>
        <w:rPr>
          <w:sz w:val="20"/>
          <w:szCs w:val="20"/>
          <w:color w:val="auto"/>
        </w:rPr>
      </w:pPr>
    </w:p>
    <w:p>
      <w:pPr>
        <w:jc w:val="both"/>
        <w:ind w:firstLine="1304"/>
        <w:spacing w:after="0" w:line="253" w:lineRule="auto"/>
        <w:tabs>
          <w:tab w:leader="none" w:pos="147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Section 17. Section 409A</w:t>
      </w:r>
      <w:r>
        <w:rPr>
          <w:rFonts w:ascii="Arial" w:cs="Arial" w:eastAsia="Arial" w:hAnsi="Arial"/>
          <w:sz w:val="22"/>
          <w:szCs w:val="22"/>
          <w:color w:val="auto"/>
        </w:rPr>
        <w:t>. This Agreement is intended to comply with, or be exempt from, Section 409A of the Code and shall be construed and administered in accordance with Section 409A of the Code. The Restricted Stock Units granted hereunder shall be subject to the provisions of Section 16 of the Plan.</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18.</w:t>
      </w:r>
      <w:r>
        <w:rPr>
          <w:sz w:val="20"/>
          <w:szCs w:val="20"/>
          <w:color w:val="auto"/>
        </w:rPr>
        <w:tab/>
      </w:r>
      <w:r>
        <w:rPr>
          <w:rFonts w:ascii="Arial" w:cs="Arial" w:eastAsia="Arial" w:hAnsi="Arial"/>
          <w:sz w:val="21"/>
          <w:szCs w:val="21"/>
          <w:u w:val="single" w:color="auto"/>
          <w:color w:val="auto"/>
        </w:rPr>
        <w:t>Fr</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actional Shares</w:t>
      </w:r>
      <w:r>
        <w:rPr>
          <w:rFonts w:ascii="Arial" w:cs="Arial" w:eastAsia="Arial" w:hAnsi="Arial"/>
          <w:sz w:val="22"/>
          <w:szCs w:val="22"/>
          <w:color w:val="auto"/>
        </w:rPr>
        <w:t>. No fractional shares shall be delivered under this Agreement. In lieu of issuing a fraction of a share in settlement of vested RSUs, the Company shall be entitled to pay to Participant an amount in cash equal to the Fair Market Value of such fractional share.</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u w:val="single" w:color="auto"/>
          <w:color w:val="auto"/>
        </w:rPr>
        <w:t>Section 19.</w:t>
      </w:r>
      <w:r>
        <w:rPr>
          <w:sz w:val="20"/>
          <w:szCs w:val="20"/>
          <w:color w:val="auto"/>
        </w:rPr>
        <w:tab/>
      </w:r>
      <w:r>
        <w:rPr>
          <w:rFonts w:ascii="Arial" w:cs="Arial" w:eastAsia="Arial" w:hAnsi="Arial"/>
          <w:sz w:val="19"/>
          <w:szCs w:val="19"/>
          <w:u w:val="single" w:color="auto"/>
          <w:color w:val="auto"/>
        </w:rPr>
        <w:t>Entire Agreement</w:t>
      </w:r>
    </w:p>
    <w:p>
      <w:pPr>
        <w:spacing w:after="0" w:line="220" w:lineRule="exact"/>
        <w:rPr>
          <w:sz w:val="20"/>
          <w:szCs w:val="20"/>
          <w:color w:val="auto"/>
        </w:rPr>
      </w:pPr>
    </w:p>
    <w:p>
      <w:pPr>
        <w:ind w:firstLine="1304"/>
        <w:spacing w:after="0" w:line="263" w:lineRule="auto"/>
        <w:tabs>
          <w:tab w:leader="none" w:pos="143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This Agreement and the Plan constitute the entire agreement between the parties with respect to the subject matter hereof and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139"/>
          </w:cols>
          <w:pgMar w:left="320" w:top="1440"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color w:val="auto"/>
        </w:rPr>
        <w:t>IN WITNESS WHEREOF, the parties hereto have executed this Agreement effective as of the date first written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-17780</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Participant’s Signature: 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Restricted Stock Unit Award Agreement</w:t>
      </w:r>
      <w:r>
        <w:rPr>
          <w:rFonts w:ascii="Arial" w:cs="Arial" w:eastAsia="Arial" w:hAnsi="Arial"/>
          <w:sz w:val="18"/>
          <w:szCs w:val="18"/>
          <w:color w:val="auto"/>
        </w:rPr>
        <w:t>]</w:t>
      </w:r>
    </w:p>
    <w:p>
      <w:pPr>
        <w:sectPr>
          <w:pgSz w:w="11900" w:h="16838" w:orient="portrait"/>
          <w:cols w:equalWidth="0" w:num="1">
            <w:col w:w="11240"/>
          </w:cols>
          <w:pgMar w:left="320" w:top="1428"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t>Exhibit 10.54</w:t>
      </w:r>
    </w:p>
    <w:p>
      <w:pPr>
        <w:spacing w:after="0" w:line="200" w:lineRule="exact"/>
        <w:rPr>
          <w:sz w:val="20"/>
          <w:szCs w:val="20"/>
          <w:color w:val="auto"/>
        </w:rPr>
      </w:pPr>
    </w:p>
    <w:p>
      <w:pPr>
        <w:spacing w:after="0" w:line="290" w:lineRule="exact"/>
        <w:rPr>
          <w:sz w:val="20"/>
          <w:szCs w:val="20"/>
          <w:color w:val="auto"/>
        </w:rPr>
      </w:pPr>
    </w:p>
    <w:p>
      <w:pPr>
        <w:ind w:right="3060" w:firstLine="3055"/>
        <w:spacing w:after="0" w:line="269" w:lineRule="auto"/>
        <w:rPr>
          <w:sz w:val="20"/>
          <w:szCs w:val="20"/>
          <w:color w:val="auto"/>
        </w:rPr>
      </w:pPr>
      <w:r>
        <w:rPr>
          <w:rFonts w:ascii="Arial" w:cs="Arial" w:eastAsia="Arial" w:hAnsi="Arial"/>
          <w:sz w:val="22"/>
          <w:szCs w:val="22"/>
          <w:b w:val="1"/>
          <w:bCs w:val="1"/>
          <w:color w:val="auto"/>
        </w:rPr>
        <w:t>RESTRICTED STOCK UNIT AWARD AGREEMENT PERFORMANCE-BASED (rTSR)</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the 20th day of August 2020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between Caesars Entertainment,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 (the “</w:t>
      </w:r>
      <w:r>
        <w:rPr>
          <w:rFonts w:ascii="Arial" w:cs="Arial" w:eastAsia="Arial" w:hAnsi="Arial"/>
          <w:sz w:val="19"/>
          <w:szCs w:val="19"/>
          <w:u w:val="single" w:color="auto"/>
          <w:color w:val="auto"/>
        </w:rPr>
        <w:t>Participant</w:t>
      </w:r>
      <w:r>
        <w:rPr>
          <w:rFonts w:ascii="Arial" w:cs="Arial" w:eastAsia="Arial" w:hAnsi="Arial"/>
          <w:sz w:val="19"/>
          <w:szCs w:val="19"/>
          <w:color w:val="auto"/>
        </w:rPr>
        <w:t>”), and is made pursuant to the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terms of the Company’s Amended &amp; Restated 2015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Capitalized terms used herein but not defined shall have the meanings set forth in the Plan.</w:t>
      </w:r>
    </w:p>
    <w:p>
      <w:pPr>
        <w:spacing w:after="0" w:line="22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grants to the Participant, on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hereinafter set forth, an Award consisting of a maximum of [_____] restricted stock units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or</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RSUs</w:t>
      </w:r>
      <w:r>
        <w:rPr>
          <w:rFonts w:ascii="Arial" w:cs="Arial" w:eastAsia="Arial" w:hAnsi="Arial"/>
          <w:sz w:val="19"/>
          <w:szCs w:val="19"/>
          <w:color w:val="auto"/>
        </w:rPr>
        <w:t>”), subject to the terms and conditions set forth in this Agreement and the Plan. Subject to Section 2, the Participant’s right to receive all or any portion of the Restricted Stock Units granted hereunder is contingent upon the Company’s level of achievement of the performance goal (“</w:t>
      </w:r>
      <w:r>
        <w:rPr>
          <w:rFonts w:ascii="Arial" w:cs="Arial" w:eastAsia="Arial" w:hAnsi="Arial"/>
          <w:sz w:val="19"/>
          <w:szCs w:val="19"/>
          <w:u w:val="single" w:color="auto"/>
          <w:color w:val="auto"/>
        </w:rPr>
        <w:t>Performance Goal</w:t>
      </w:r>
      <w:r>
        <w:rPr>
          <w:rFonts w:ascii="Arial" w:cs="Arial" w:eastAsia="Arial" w:hAnsi="Arial"/>
          <w:sz w:val="19"/>
          <w:szCs w:val="19"/>
          <w:color w:val="auto"/>
        </w:rPr>
        <w:t xml:space="preserve">”) specified in the performance matrix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Performance Matrix</w:t>
      </w:r>
      <w:r>
        <w:rPr>
          <w:rFonts w:ascii="Arial" w:cs="Arial" w:eastAsia="Arial" w:hAnsi="Arial"/>
          <w:sz w:val="19"/>
          <w:szCs w:val="19"/>
          <w:color w:val="auto"/>
        </w:rPr>
        <w:t>”), measured over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indicated in the Performance Matrix. The Participant’s target-level Award hereunder is equal to [______] Restricted Stock Units (the “</w:t>
      </w:r>
      <w:r>
        <w:rPr>
          <w:rFonts w:ascii="Arial" w:cs="Arial" w:eastAsia="Arial" w:hAnsi="Arial"/>
          <w:sz w:val="19"/>
          <w:szCs w:val="19"/>
          <w:u w:val="single" w:color="auto"/>
          <w:color w:val="auto"/>
        </w:rPr>
        <w:t>Target Award</w:t>
      </w:r>
      <w:r>
        <w:rPr>
          <w:rFonts w:ascii="Arial" w:cs="Arial" w:eastAsia="Arial" w:hAnsi="Arial"/>
          <w:sz w:val="19"/>
          <w:szCs w:val="19"/>
          <w:color w:val="auto"/>
        </w:rPr>
        <w:t>”). Subject to the terms</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and conditions set forth in this Agreement and the Plan, each Restricted Stock Unit represents the right to receive the Fair Market Value of one Share, subject to the terms and conditions set forth in this Agreement (including the Performance Matrix) and the Plan.</w:t>
      </w:r>
    </w:p>
    <w:p>
      <w:pPr>
        <w:spacing w:after="0" w:line="21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u w:val="single" w:color="auto"/>
          <w:color w:val="auto"/>
        </w:rPr>
        <w:t>Vesting of the Restricted Stock Units</w:t>
      </w:r>
      <w:r>
        <w:rPr>
          <w:rFonts w:ascii="Arial" w:cs="Arial" w:eastAsia="Arial" w:hAnsi="Arial"/>
          <w:sz w:val="19"/>
          <w:szCs w:val="19"/>
          <w:b w:val="1"/>
          <w:bCs w:val="1"/>
          <w:color w:val="auto"/>
        </w:rPr>
        <w:t>.</w:t>
      </w:r>
    </w:p>
    <w:p>
      <w:pPr>
        <w:spacing w:after="0" w:line="247" w:lineRule="exact"/>
        <w:rPr>
          <w:sz w:val="20"/>
          <w:szCs w:val="20"/>
          <w:color w:val="auto"/>
        </w:rPr>
      </w:pPr>
    </w:p>
    <w:p>
      <w:pPr>
        <w:jc w:val="both"/>
        <w:ind w:firstLine="1182"/>
        <w:spacing w:after="0" w:line="259" w:lineRule="auto"/>
        <w:rPr>
          <w:sz w:val="20"/>
          <w:szCs w:val="20"/>
          <w:color w:val="auto"/>
        </w:rPr>
      </w:pPr>
      <w:r>
        <w:rPr>
          <w:rFonts w:ascii="Arial" w:cs="Arial" w:eastAsia="Arial" w:hAnsi="Arial"/>
          <w:sz w:val="21"/>
          <w:szCs w:val="21"/>
          <w:b w:val="1"/>
          <w:bCs w:val="1"/>
          <w:color w:val="auto"/>
        </w:rPr>
        <w:t>i.</w:t>
      </w:r>
      <w:r>
        <w:rPr>
          <w:rFonts w:ascii="Arial" w:cs="Arial" w:eastAsia="Arial" w:hAnsi="Arial"/>
          <w:sz w:val="21"/>
          <w:szCs w:val="21"/>
          <w:b w:val="1"/>
          <w:bCs w:val="1"/>
          <w:u w:val="single" w:color="auto"/>
          <w:color w:val="auto"/>
        </w:rPr>
        <w:t>Determination of Earned Award</w:t>
      </w:r>
      <w:r>
        <w:rPr>
          <w:rFonts w:ascii="Arial" w:cs="Arial" w:eastAsia="Arial" w:hAnsi="Arial"/>
          <w:sz w:val="21"/>
          <w:szCs w:val="21"/>
          <w:b w:val="1"/>
          <w:bCs w:val="1"/>
          <w:color w:val="auto"/>
        </w:rPr>
        <w:t>. Within 30 days following the end of the Performance Period, the Committee shall determine whether and to what extent the Award of the Restricted Stock Units has been earned for the Performance Period (the actual date of such Committee determination, the “</w:t>
      </w:r>
      <w:r>
        <w:rPr>
          <w:rFonts w:ascii="Arial" w:cs="Arial" w:eastAsia="Arial" w:hAnsi="Arial"/>
          <w:sz w:val="21"/>
          <w:szCs w:val="21"/>
          <w:b w:val="1"/>
          <w:bCs w:val="1"/>
          <w:u w:val="single" w:color="auto"/>
          <w:color w:val="auto"/>
        </w:rPr>
        <w:t>Determination Date</w:t>
      </w:r>
      <w:r>
        <w:rPr>
          <w:rFonts w:ascii="Arial" w:cs="Arial" w:eastAsia="Arial" w:hAnsi="Arial"/>
          <w:sz w:val="21"/>
          <w:szCs w:val="21"/>
          <w:b w:val="1"/>
          <w:bCs w:val="1"/>
          <w:color w:val="auto"/>
        </w:rPr>
        <w:t>”). The Committee’s determination of the foregoing shall be final and binding on the Participant. Upon such determination by the Committee, the applicable portion of the Restricted Stock Units determined by the Payout Percentage (as defined in the Performance Matrix) as a percentage of the Target Award shall vest and become non-forfeitable (subject to the Participant’s continuous service with the Company and its Affiliates (“</w:t>
      </w:r>
      <w:r>
        <w:rPr>
          <w:rFonts w:ascii="Arial" w:cs="Arial" w:eastAsia="Arial" w:hAnsi="Arial"/>
          <w:sz w:val="21"/>
          <w:szCs w:val="21"/>
          <w:b w:val="1"/>
          <w:bCs w:val="1"/>
          <w:u w:val="single" w:color="auto"/>
          <w:color w:val="auto"/>
        </w:rPr>
        <w:t>Service</w:t>
      </w:r>
      <w:r>
        <w:rPr>
          <w:rFonts w:ascii="Arial" w:cs="Arial" w:eastAsia="Arial" w:hAnsi="Arial"/>
          <w:sz w:val="21"/>
          <w:szCs w:val="21"/>
          <w:b w:val="1"/>
          <w:bCs w:val="1"/>
          <w:color w:val="auto"/>
        </w:rPr>
        <w:t>”) from the Grant Date through the Determination Date). On the Determination Date, any Restricted Stock Units which do not vest in accordance with the immediately preceding sentence shall immediately be forfeited and cancelled, and the Participant shall not be entitled to any compensation or other amount with respect thereto.</w:t>
      </w:r>
    </w:p>
    <w:p>
      <w:pPr>
        <w:spacing w:after="0" w:line="175" w:lineRule="exact"/>
        <w:rPr>
          <w:sz w:val="20"/>
          <w:szCs w:val="20"/>
          <w:color w:val="auto"/>
        </w:rPr>
      </w:pPr>
    </w:p>
    <w:p>
      <w:pPr>
        <w:jc w:val="both"/>
        <w:ind w:firstLine="1122"/>
        <w:spacing w:after="0" w:line="256" w:lineRule="auto"/>
        <w:rPr>
          <w:sz w:val="20"/>
          <w:szCs w:val="20"/>
          <w:color w:val="auto"/>
        </w:rPr>
      </w:pPr>
      <w:r>
        <w:rPr>
          <w:rFonts w:ascii="Arial" w:cs="Arial" w:eastAsia="Arial" w:hAnsi="Arial"/>
          <w:sz w:val="22"/>
          <w:szCs w:val="22"/>
          <w:b w:val="1"/>
          <w:bCs w:val="1"/>
          <w:color w:val="auto"/>
        </w:rPr>
        <w:t>ii.</w:t>
      </w: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Notwithstanding Section 2(a), upon the occurrence of a Change in Control prior to the Determination Date where a Replacement Award is provided to the Participant in lieu of the Restricted Stock Units,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r>
        <w:rPr>
          <w:rFonts w:ascii="Arial" w:cs="Arial" w:eastAsia="Arial" w:hAnsi="Arial"/>
          <w:sz w:val="8"/>
          <w:szCs w:val="8"/>
          <w:color w:val="FFFFFF"/>
        </w:rPr>
        <w:t>DEPTS.00106</w:t>
      </w:r>
    </w:p>
    <w:p>
      <w:pPr>
        <w:sectPr>
          <w:pgSz w:w="11900" w:h="16838" w:orient="portrait"/>
          <w:cols w:equalWidth="0" w:num="1">
            <w:col w:w="11240"/>
          </w:cols>
          <w:pgMar w:left="320" w:top="1422" w:right="339" w:bottom="1440" w:gutter="0" w:footer="0" w:header="0"/>
        </w:sectPr>
      </w:pPr>
    </w:p>
    <w:bookmarkStart w:id="207" w:name="page208"/>
    <w:bookmarkEnd w:id="207"/>
    <w:p>
      <w:pPr>
        <w:jc w:val="both"/>
        <w:spacing w:after="0" w:line="285" w:lineRule="auto"/>
        <w:rPr>
          <w:sz w:val="20"/>
          <w:szCs w:val="20"/>
          <w:color w:val="auto"/>
        </w:rPr>
      </w:pPr>
      <w:r>
        <w:rPr>
          <w:rFonts w:ascii="Arial" w:cs="Arial" w:eastAsia="Arial" w:hAnsi="Arial"/>
          <w:sz w:val="19"/>
          <w:szCs w:val="19"/>
          <w:b w:val="1"/>
          <w:bCs w:val="1"/>
          <w:color w:val="auto"/>
        </w:rPr>
        <w:t>that remain outstanding as of immediately prior to the Change in Control (including, for the avoidance of doubt, any Eligible Units (as defined below)) shall remain outstanding and unvested (the “</w:t>
      </w:r>
      <w:r>
        <w:rPr>
          <w:rFonts w:ascii="Arial" w:cs="Arial" w:eastAsia="Arial" w:hAnsi="Arial"/>
          <w:sz w:val="19"/>
          <w:szCs w:val="19"/>
          <w:b w:val="1"/>
          <w:bCs w:val="1"/>
          <w:u w:val="single" w:color="auto"/>
          <w:color w:val="auto"/>
        </w:rPr>
        <w:t>Replacement Units</w:t>
      </w:r>
      <w:r>
        <w:rPr>
          <w:rFonts w:ascii="Arial" w:cs="Arial" w:eastAsia="Arial" w:hAnsi="Arial"/>
          <w:sz w:val="19"/>
          <w:szCs w:val="19"/>
          <w:b w:val="1"/>
          <w:bCs w:val="1"/>
          <w:color w:val="auto"/>
        </w:rPr>
        <w:t xml:space="preserve">”), and the Replacement Units will continue to be eligible to vest and be earned in accordance with the terms of this Agreement. Upon the occurrence of a Change in Control prior to the Determination Date where a Replacement Award is </w:t>
      </w:r>
      <w:r>
        <w:rPr>
          <w:rFonts w:ascii="Arial" w:cs="Arial" w:eastAsia="Arial" w:hAnsi="Arial"/>
          <w:sz w:val="19"/>
          <w:szCs w:val="19"/>
          <w:b w:val="1"/>
          <w:bCs w:val="1"/>
          <w:i w:val="1"/>
          <w:iCs w:val="1"/>
          <w:color w:val="auto"/>
        </w:rPr>
        <w:t>not</w:t>
      </w:r>
      <w:r>
        <w:rPr>
          <w:rFonts w:ascii="Arial" w:cs="Arial" w:eastAsia="Arial" w:hAnsi="Arial"/>
          <w:sz w:val="19"/>
          <w:szCs w:val="19"/>
          <w:b w:val="1"/>
          <w:bCs w:val="1"/>
          <w:color w:val="auto"/>
        </w:rPr>
        <w:t xml:space="preserve"> provided to the Participant in lieu of the Restricted Stock Units, the Restricted Stock Units that remain outstanding as of immediately prior to the Change in Control (including, for the avoidance of doubt, any Eligible Units) shall immediately vest (i) at the greater of (x) target level or (y) actual level of achievement (as determined in accordance with the Performance Matrix in connection with the Change in Control), if the Change in Control occurs prior to the end of the Performance Period, or</w:t>
      </w:r>
    </w:p>
    <w:p>
      <w:pPr>
        <w:jc w:val="both"/>
        <w:ind w:firstLine="8"/>
        <w:spacing w:after="0" w:line="244" w:lineRule="auto"/>
        <w:tabs>
          <w:tab w:leader="none" w:pos="34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at the actual level of achievement (as determined in accordance with Section 2(a)), if the Change in Control occurs following the end of the Performance Period but prior to the Determination Date (in which case, the Determination Date shall occur prior to the Change in Control) (as applicable, the “</w:t>
      </w:r>
      <w:r>
        <w:rPr>
          <w:rFonts w:ascii="Arial" w:cs="Arial" w:eastAsia="Arial" w:hAnsi="Arial"/>
          <w:sz w:val="22"/>
          <w:szCs w:val="22"/>
          <w:b w:val="1"/>
          <w:bCs w:val="1"/>
          <w:u w:val="single" w:color="auto"/>
          <w:color w:val="auto"/>
        </w:rPr>
        <w:t>CIC Vested Awards</w:t>
      </w:r>
      <w:r>
        <w:rPr>
          <w:rFonts w:ascii="Arial" w:cs="Arial" w:eastAsia="Arial" w:hAnsi="Arial"/>
          <w:sz w:val="22"/>
          <w:szCs w:val="22"/>
          <w:b w:val="1"/>
          <w:bCs w:val="1"/>
          <w:color w:val="auto"/>
        </w:rPr>
        <w:t>”). Any CIC Vested Awards will be treated in accordance with Section 12(b) of the Plan.</w:t>
      </w:r>
    </w:p>
    <w:p>
      <w:pPr>
        <w:spacing w:after="0" w:line="189" w:lineRule="exact"/>
        <w:rPr>
          <w:sz w:val="20"/>
          <w:szCs w:val="20"/>
          <w:color w:val="auto"/>
        </w:rPr>
      </w:pPr>
    </w:p>
    <w:p>
      <w:pPr>
        <w:jc w:val="both"/>
        <w:ind w:firstLine="1062"/>
        <w:spacing w:after="0" w:line="287" w:lineRule="auto"/>
        <w:rPr>
          <w:sz w:val="20"/>
          <w:szCs w:val="20"/>
          <w:color w:val="auto"/>
        </w:rPr>
      </w:pPr>
      <w:r>
        <w:rPr>
          <w:rFonts w:ascii="Arial" w:cs="Arial" w:eastAsia="Arial" w:hAnsi="Arial"/>
          <w:sz w:val="19"/>
          <w:szCs w:val="19"/>
          <w:b w:val="1"/>
          <w:bCs w:val="1"/>
          <w:color w:val="auto"/>
        </w:rPr>
        <w:t>iii.</w:t>
      </w:r>
      <w:r>
        <w:rPr>
          <w:rFonts w:ascii="Arial" w:cs="Arial" w:eastAsia="Arial" w:hAnsi="Arial"/>
          <w:sz w:val="19"/>
          <w:szCs w:val="19"/>
          <w:b w:val="1"/>
          <w:bCs w:val="1"/>
          <w:u w:val="single" w:color="auto"/>
          <w:color w:val="auto"/>
        </w:rPr>
        <w:t>Termination of Service without Cause, for Good Reason, or due to Death or Disability (other than During</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the 24-Month Period Immediately Following a Change in Control)</w:t>
      </w:r>
      <w:r>
        <w:rPr>
          <w:rFonts w:ascii="Arial" w:cs="Arial" w:eastAsia="Arial" w:hAnsi="Arial"/>
          <w:sz w:val="19"/>
          <w:szCs w:val="19"/>
          <w:b w:val="1"/>
          <w:bCs w:val="1"/>
          <w:color w:val="auto"/>
        </w:rPr>
        <w:t>. Notwithstanding anything in Section 2(a) or Section 2(d) to the contrary, upon the occurrence of a termination of the Participant’s Service prior to the Determination Date (i) by the Company and its Affiliates without Cause, (ii) by the Participant for Good Reason, or (iii) by reason of the Participant’s death or Disability (each, a “</w:t>
      </w:r>
      <w:r>
        <w:rPr>
          <w:rFonts w:ascii="Arial" w:cs="Arial" w:eastAsia="Arial" w:hAnsi="Arial"/>
          <w:sz w:val="19"/>
          <w:szCs w:val="19"/>
          <w:b w:val="1"/>
          <w:bCs w:val="1"/>
          <w:u w:val="single" w:color="auto"/>
          <w:color w:val="auto"/>
        </w:rPr>
        <w:t>Qualifying Termination</w:t>
      </w:r>
      <w:r>
        <w:rPr>
          <w:rFonts w:ascii="Arial" w:cs="Arial" w:eastAsia="Arial" w:hAnsi="Arial"/>
          <w:sz w:val="19"/>
          <w:szCs w:val="19"/>
          <w:b w:val="1"/>
          <w:bCs w:val="1"/>
          <w:color w:val="auto"/>
        </w:rPr>
        <w:t>”) other than during the 24-month period immediately following a Change in Control (the “</w:t>
      </w:r>
      <w:r>
        <w:rPr>
          <w:rFonts w:ascii="Arial" w:cs="Arial" w:eastAsia="Arial" w:hAnsi="Arial"/>
          <w:sz w:val="19"/>
          <w:szCs w:val="19"/>
          <w:b w:val="1"/>
          <w:bCs w:val="1"/>
          <w:u w:val="single" w:color="auto"/>
          <w:color w:val="auto"/>
        </w:rPr>
        <w:t>CIC Period</w:t>
      </w:r>
      <w:r>
        <w:rPr>
          <w:rFonts w:ascii="Arial" w:cs="Arial" w:eastAsia="Arial" w:hAnsi="Arial"/>
          <w:sz w:val="19"/>
          <w:szCs w:val="19"/>
          <w:b w:val="1"/>
          <w:bCs w:val="1"/>
          <w:color w:val="auto"/>
        </w:rPr>
        <w:t>”), the Participant will remain eligible to vest (determined in accordance with Section 2(a) following the end of the Performance Period) in a pro rata portion of the Restricted Stock Units, determined by multiplying the total number of Restricted Stock Units outstanding and unvested immediately prior to the Qualifying Termination by a fraction, the numerator of which is the number of days that the Participant provided continuous Service during the Performance Period, and the denominator of which is the total number of days in the Performance Period (such pro-rata portion, the “</w:t>
      </w:r>
      <w:r>
        <w:rPr>
          <w:rFonts w:ascii="Arial" w:cs="Arial" w:eastAsia="Arial" w:hAnsi="Arial"/>
          <w:sz w:val="19"/>
          <w:szCs w:val="19"/>
          <w:b w:val="1"/>
          <w:bCs w:val="1"/>
          <w:u w:val="single" w:color="auto"/>
          <w:color w:val="auto"/>
        </w:rPr>
        <w:t>Eligible Units</w:t>
      </w:r>
      <w:r>
        <w:rPr>
          <w:rFonts w:ascii="Arial" w:cs="Arial" w:eastAsia="Arial" w:hAnsi="Arial"/>
          <w:sz w:val="19"/>
          <w:szCs w:val="19"/>
          <w:b w:val="1"/>
          <w:bCs w:val="1"/>
          <w:color w:val="auto"/>
        </w:rPr>
        <w:t>”). Any Restricted Stock Units that do not constitute Eligible Units as a result of the immediately-preceding sentence shall immediately be forfeited and cancelled, and the Participant shall not be entitled to any compensation or other amount with respect thereto.</w:t>
      </w:r>
    </w:p>
    <w:p>
      <w:pPr>
        <w:spacing w:after="0" w:line="154" w:lineRule="exact"/>
        <w:rPr>
          <w:sz w:val="20"/>
          <w:szCs w:val="20"/>
          <w:color w:val="auto"/>
        </w:rPr>
      </w:pPr>
    </w:p>
    <w:p>
      <w:pPr>
        <w:jc w:val="both"/>
        <w:ind w:firstLine="1074"/>
        <w:spacing w:after="0" w:line="293" w:lineRule="auto"/>
        <w:rPr>
          <w:sz w:val="20"/>
          <w:szCs w:val="20"/>
          <w:color w:val="auto"/>
        </w:rPr>
      </w:pPr>
      <w:r>
        <w:rPr>
          <w:rFonts w:ascii="Arial" w:cs="Arial" w:eastAsia="Arial" w:hAnsi="Arial"/>
          <w:sz w:val="19"/>
          <w:szCs w:val="19"/>
          <w:b w:val="1"/>
          <w:bCs w:val="1"/>
          <w:color w:val="auto"/>
        </w:rPr>
        <w:t>iv.</w:t>
      </w:r>
      <w:r>
        <w:rPr>
          <w:rFonts w:ascii="Arial" w:cs="Arial" w:eastAsia="Arial" w:hAnsi="Arial"/>
          <w:sz w:val="19"/>
          <w:szCs w:val="19"/>
          <w:b w:val="1"/>
          <w:bCs w:val="1"/>
          <w:u w:val="single" w:color="auto"/>
          <w:color w:val="auto"/>
        </w:rPr>
        <w:t>Qualifying Termination During the CIC Period</w:t>
      </w:r>
      <w:r>
        <w:rPr>
          <w:rFonts w:ascii="Arial" w:cs="Arial" w:eastAsia="Arial" w:hAnsi="Arial"/>
          <w:sz w:val="19"/>
          <w:szCs w:val="19"/>
          <w:b w:val="1"/>
          <w:bCs w:val="1"/>
          <w:color w:val="auto"/>
        </w:rPr>
        <w:t>. Notwithstanding anything in Section 2(a)-(c), if the Participant incurs a Qualifying Termination during the CIC Period and prior to the Determination Date, then the Participant’s Replacement Units (if any) shall vest (i) at the greater of (x) target level of achievement or (y) actual level of achievement (as determined in accordance with the Performance Matrix as of the date of the Qualifying Termination), if the Qualifying Termination occurs prior to the end of the Performance Period, or (ii) based on the actual level of achievement (as determined in accordance with Section 2(a) following the end of the Performance Period) if the Qualifying Termination occurs following the end of the Performance Period but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- 2 -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1240"/>
          </w:cols>
          <w:pgMar w:left="320" w:top="1422" w:right="339" w:bottom="1440" w:gutter="0" w:footer="0" w:header="0"/>
        </w:sectPr>
      </w:pPr>
    </w:p>
    <w:bookmarkStart w:id="208" w:name="page209"/>
    <w:bookmarkEnd w:id="208"/>
    <w:p>
      <w:pPr>
        <w:jc w:val="both"/>
        <w:spacing w:after="0" w:line="269" w:lineRule="auto"/>
        <w:rPr>
          <w:sz w:val="20"/>
          <w:szCs w:val="20"/>
          <w:color w:val="auto"/>
        </w:rPr>
      </w:pPr>
      <w:r>
        <w:rPr>
          <w:rFonts w:ascii="Arial" w:cs="Arial" w:eastAsia="Arial" w:hAnsi="Arial"/>
          <w:sz w:val="22"/>
          <w:szCs w:val="22"/>
          <w:b w:val="1"/>
          <w:bCs w:val="1"/>
          <w:color w:val="auto"/>
        </w:rPr>
        <w:t>Determination Date and, in each case, any portion of the Replacement Units that do not vest as a result of the foregoing shall be forfeited and cancelled.</w:t>
      </w:r>
    </w:p>
    <w:p>
      <w:pPr>
        <w:spacing w:after="0" w:line="162" w:lineRule="exact"/>
        <w:rPr>
          <w:sz w:val="20"/>
          <w:szCs w:val="20"/>
          <w:color w:val="auto"/>
        </w:rPr>
      </w:pPr>
    </w:p>
    <w:p>
      <w:pPr>
        <w:jc w:val="both"/>
        <w:ind w:firstLine="1134"/>
        <w:spacing w:after="0" w:line="315" w:lineRule="auto"/>
        <w:rPr>
          <w:sz w:val="20"/>
          <w:szCs w:val="20"/>
          <w:color w:val="auto"/>
        </w:rPr>
      </w:pPr>
      <w:r>
        <w:rPr>
          <w:rFonts w:ascii="Arial" w:cs="Arial" w:eastAsia="Arial" w:hAnsi="Arial"/>
          <w:sz w:val="19"/>
          <w:szCs w:val="19"/>
          <w:b w:val="1"/>
          <w:bCs w:val="1"/>
          <w:color w:val="auto"/>
        </w:rPr>
        <w:t>v.</w:t>
      </w:r>
      <w:r>
        <w:rPr>
          <w:rFonts w:ascii="Arial" w:cs="Arial" w:eastAsia="Arial" w:hAnsi="Arial"/>
          <w:sz w:val="19"/>
          <w:szCs w:val="19"/>
          <w:b w:val="1"/>
          <w:bCs w:val="1"/>
          <w:u w:val="single" w:color="auto"/>
          <w:color w:val="auto"/>
        </w:rPr>
        <w:t>Other Terminations of Service</w:t>
      </w:r>
      <w:r>
        <w:rPr>
          <w:rFonts w:ascii="Arial" w:cs="Arial" w:eastAsia="Arial" w:hAnsi="Arial"/>
          <w:sz w:val="19"/>
          <w:szCs w:val="19"/>
          <w:b w:val="1"/>
          <w:bCs w:val="1"/>
          <w:color w:val="auto"/>
        </w:rPr>
        <w:t>. Upon the occurrence of a termination of Participant’s Service prior to the Determination Date for any reason other than as provided in Section 2(c) or (d), all unvested Restricted Stock Units shall be forfeited and cancelled and Participant shall not be entitled to any compensation or other amount with respect thereto.</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b w:val="1"/>
          <w:bCs w:val="1"/>
          <w:u w:val="single" w:color="auto"/>
          <w:color w:val="auto"/>
        </w:rPr>
        <w:t>Section 3</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Settlement</w:t>
      </w:r>
      <w:r>
        <w:rPr>
          <w:rFonts w:ascii="Arial" w:cs="Arial" w:eastAsia="Arial" w:hAnsi="Arial"/>
          <w:sz w:val="20"/>
          <w:szCs w:val="20"/>
          <w:b w:val="1"/>
          <w:bCs w:val="1"/>
          <w:color w:val="auto"/>
        </w:rPr>
        <w:t xml:space="preserve">. </w:t>
      </w:r>
      <w:r>
        <w:rPr>
          <w:rFonts w:ascii="Arial" w:cs="Arial" w:eastAsia="Arial" w:hAnsi="Arial"/>
          <w:sz w:val="20"/>
          <w:szCs w:val="20"/>
          <w:color w:val="auto"/>
        </w:rPr>
        <w:t>Any Restricted Stock Units that become vested and non-forfeitable pursuant to 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Vested RSUs</w:t>
      </w:r>
      <w:r>
        <w:rPr>
          <w:rFonts w:ascii="Arial" w:cs="Arial" w:eastAsia="Arial" w:hAnsi="Arial"/>
          <w:sz w:val="20"/>
          <w:szCs w:val="20"/>
          <w:color w:val="auto"/>
        </w:rPr>
        <w:t>”) shall be settled within three days following the Determination Date (but in no event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calendar year in which the Performance Period ended); provided, however, that (a) if a Change in Control occurs and a Replacement Award is not provided to Participant in lieu of the Restricted Stock Units, then the Vested RSUs shall be settled immediately upon the Change in Control; and (b) if a Qualifying Termination occurs during the CIC Period, and prior to the end of the Performance Period, then the vested portion of the Replacement Units determined in accordance with Section 2(d) shall be settled within three days following the Qualifying Termination. Unless otherwise determined by the Committee, Vested RSUs will be settled by the Company through the delivery to Participant of a number of shares of common stock equal to the number of Vested RSUs (rounded down to the nearest whole number).</w:t>
      </w:r>
    </w:p>
    <w:p>
      <w:pPr>
        <w:spacing w:after="0" w:line="17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9"/>
          <w:szCs w:val="19"/>
          <w:b w:val="1"/>
          <w:bCs w:val="1"/>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Restrictions on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No Restricted Stock Units (nor any interest therein) may be sold, assigned, alienated,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designation of a beneficiary shall not constitute a sale, assignment, alienation, pledge, attachment, transfer or encumbrance. Notwithstanding the foregoing, at the discretion of the Committee, Restricted Stock Units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Investment Representation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is acquiring the Restricted Stock Units for investment purposes</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not with a view to, or in connection with, the public distribution thereof in violation of the Securities Act of 1933, as amended (the “</w:t>
      </w:r>
      <w:r>
        <w:rPr>
          <w:rFonts w:ascii="Arial" w:cs="Arial" w:eastAsia="Arial" w:hAnsi="Arial"/>
          <w:sz w:val="22"/>
          <w:szCs w:val="22"/>
          <w:u w:val="single" w:color="auto"/>
          <w:color w:val="auto"/>
        </w:rPr>
        <w:t>Securities Ac</w:t>
      </w:r>
      <w:r>
        <w:rPr>
          <w:rFonts w:ascii="Arial" w:cs="Arial" w:eastAsia="Arial" w:hAnsi="Arial"/>
          <w:sz w:val="22"/>
          <w:szCs w:val="22"/>
          <w:color w:val="auto"/>
        </w:rPr>
        <w:t>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- 3 -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1240"/>
          </w:cols>
          <w:pgMar w:left="320" w:top="1422" w:right="339" w:bottom="1440" w:gutter="0" w:footer="0" w:header="0"/>
        </w:sectPr>
      </w:pPr>
    </w:p>
    <w:bookmarkStart w:id="209" w:name="page210"/>
    <w:bookmarkEnd w:id="209"/>
    <w:p>
      <w:pPr>
        <w:jc w:val="both"/>
        <w:spacing w:after="0" w:line="302" w:lineRule="auto"/>
        <w:rPr>
          <w:sz w:val="20"/>
          <w:szCs w:val="20"/>
          <w:color w:val="auto"/>
        </w:rPr>
      </w:pPr>
      <w:r>
        <w:rPr>
          <w:rFonts w:ascii="Arial" w:cs="Arial" w:eastAsia="Arial" w:hAnsi="Arial"/>
          <w:sz w:val="19"/>
          <w:szCs w:val="19"/>
          <w:color w:val="auto"/>
        </w:rPr>
        <w:t>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granted hereunder shall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4(b) of the Plan.</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u w:val="single" w:color="auto"/>
          <w:color w:val="auto"/>
        </w:rPr>
        <w:t>Section 7</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No Right of Continued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this Agreement shall confer upon the Participant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continued service with the Company or any Affiliate.</w:t>
      </w:r>
    </w:p>
    <w:p>
      <w:pPr>
        <w:spacing w:after="0" w:line="162" w:lineRule="exact"/>
        <w:rPr>
          <w:sz w:val="20"/>
          <w:szCs w:val="20"/>
          <w:color w:val="auto"/>
        </w:rPr>
      </w:pPr>
    </w:p>
    <w:p>
      <w:pPr>
        <w:jc w:val="both"/>
        <w:ind w:firstLine="256"/>
        <w:spacing w:after="0" w:line="289" w:lineRule="auto"/>
        <w:rPr>
          <w:sz w:val="20"/>
          <w:szCs w:val="20"/>
          <w:color w:val="auto"/>
        </w:rPr>
      </w:pPr>
      <w:r>
        <w:rPr>
          <w:rFonts w:ascii="Arial" w:cs="Arial" w:eastAsia="Arial" w:hAnsi="Arial"/>
          <w:sz w:val="19"/>
          <w:szCs w:val="19"/>
          <w:b w:val="1"/>
          <w:bCs w:val="1"/>
          <w:u w:val="single" w:color="auto"/>
          <w:color w:val="auto"/>
        </w:rPr>
        <w:t>Section 8</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Limitation of Rights;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shall not have any privileges of a stockholder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with respect to any Restricted Stock Units, including without limitation any right to vote any Shares underlying such Restricted Stock Units or to receive dividends or other distributions in respect thereof, unless and until Shares underlying the Restricted Stock Units are delivered to the Participant in accordance with this Agreement. Notwithstanding the foregoing, any dividends payable with respect to the Restricted Stock Units during the period from the Grant Date through the date the applicable Restricted Stock Units are settled in accordance with this Agreement will accumulate in cash and be payable to the Participant on a deferred basis, but only to the extent that the Restricted Stock Units vest and are earned in accordance with this Agreement. In no event shall the Participant be entitled to any payments relating to dividends paid after the earlier to occur of the settlement or forfeiture of the applicable Restricted Stock Units and, for the avoidance of doubt, all accumulated dividends shall be forfeited immediately upon the forfeiture or cancellation of the Restricted Stock Units or applicable portion thereof.</w:t>
      </w:r>
    </w:p>
    <w:p>
      <w:pPr>
        <w:spacing w:after="0" w:line="177"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22"/>
          <w:szCs w:val="22"/>
          <w:b w:val="1"/>
          <w:bCs w:val="1"/>
          <w:u w:val="single" w:color="auto"/>
          <w:color w:val="auto"/>
        </w:rPr>
        <w:t>Section 9</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of Restricted Stock Units granted hereunder is granted by the Company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is in all respects subject to the terms and conditions of the Plan. The Participant hereby acknowledges that a copy of the Plan has been delivered to the Participant and accepts the Restricted Stock Units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89" w:lineRule="exact"/>
        <w:rPr>
          <w:sz w:val="20"/>
          <w:szCs w:val="20"/>
          <w:color w:val="auto"/>
        </w:rPr>
      </w:pPr>
    </w:p>
    <w:p>
      <w:pPr>
        <w:jc w:val="both"/>
        <w:ind w:firstLine="256"/>
        <w:spacing w:after="0" w:line="274" w:lineRule="auto"/>
        <w:rPr>
          <w:sz w:val="20"/>
          <w:szCs w:val="20"/>
          <w:color w:val="auto"/>
        </w:rPr>
      </w:pPr>
      <w:r>
        <w:rPr>
          <w:rFonts w:ascii="Arial" w:cs="Arial" w:eastAsia="Arial" w:hAnsi="Arial"/>
          <w:sz w:val="21"/>
          <w:szCs w:val="21"/>
          <w:b w:val="1"/>
          <w:bCs w:val="1"/>
          <w:u w:val="single" w:color="auto"/>
          <w:color w:val="auto"/>
        </w:rPr>
        <w:t>Section 10</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construed and enforced in accordance with the laws of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Nevada, without giving effect to the choice of law principles thereof, or principles of conflicts of laws of any other jurisdiction which could cause the application of the laws of any jurisdiction other than the State of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- 4 -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1240"/>
          </w:cols>
          <w:pgMar w:left="320" w:top="1428" w:right="339" w:bottom="1440" w:gutter="0" w:footer="0" w:header="0"/>
        </w:sectPr>
      </w:pPr>
    </w:p>
    <w:bookmarkStart w:id="210" w:name="page211"/>
    <w:bookmarkEnd w:id="210"/>
    <w:p>
      <w:pPr>
        <w:jc w:val="both"/>
        <w:ind w:firstLine="324"/>
        <w:spacing w:after="0" w:line="269" w:lineRule="auto"/>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shall constitute one and the same instrument.</w:t>
      </w:r>
    </w:p>
    <w:p>
      <w:pPr>
        <w:spacing w:after="0" w:line="189"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22"/>
          <w:szCs w:val="22"/>
          <w:b w:val="1"/>
          <w:bCs w:val="1"/>
          <w:u w:val="single" w:color="auto"/>
          <w:color w:val="auto"/>
        </w:rPr>
        <w:t>Section 12. Binding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inure to the benefit of and be binding upon the parties hereto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heirs, executors, administrators, successors and assigns.</w:t>
      </w:r>
    </w:p>
    <w:p>
      <w:pPr>
        <w:spacing w:after="0" w:line="202" w:lineRule="exact"/>
        <w:rPr>
          <w:sz w:val="20"/>
          <w:szCs w:val="20"/>
          <w:color w:val="auto"/>
        </w:rPr>
      </w:pPr>
    </w:p>
    <w:p>
      <w:pPr>
        <w:jc w:val="both"/>
        <w:ind w:firstLine="256"/>
        <w:spacing w:after="0" w:line="261" w:lineRule="auto"/>
        <w:rPr>
          <w:sz w:val="20"/>
          <w:szCs w:val="20"/>
          <w:color w:val="auto"/>
        </w:rPr>
      </w:pPr>
      <w:r>
        <w:rPr>
          <w:rFonts w:ascii="Arial" w:cs="Arial" w:eastAsia="Arial" w:hAnsi="Arial"/>
          <w:sz w:val="21"/>
          <w:szCs w:val="21"/>
          <w:b w:val="1"/>
          <w:bCs w:val="1"/>
          <w:u w:val="single" w:color="auto"/>
          <w:color w:val="auto"/>
        </w:rPr>
        <w:t>Section 13</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intended to comply with, or be exempt from, Section 409A of the Code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construed and administered in accordance with Section 409A of the Code. If a Change in Control constitutes a payment event with respect to any portion of the RSUs that are determined to be subject to Section 409A of the Code, then, to the extent required to avoid the imposition of additional taxes under Section 409A of the Code, the transaction or event shall only constitute a Change in Control for purposes of the payment timing of such RSUs if such transaction also constitutes a “change in control event,” as defined in Treasury Regulation §1.409A-3(i)(5). The Restricted Stock Units granted hereunder shall be subject to the provisions of Section 16 of the Plan.</w:t>
      </w:r>
    </w:p>
    <w:p>
      <w:pPr>
        <w:spacing w:after="0" w:line="200" w:lineRule="exact"/>
        <w:rPr>
          <w:sz w:val="20"/>
          <w:szCs w:val="20"/>
          <w:color w:val="auto"/>
        </w:rPr>
      </w:pPr>
    </w:p>
    <w:p>
      <w:pPr>
        <w:jc w:val="both"/>
        <w:ind w:right="20" w:firstLine="270"/>
        <w:spacing w:after="0" w:line="269" w:lineRule="auto"/>
        <w:rPr>
          <w:sz w:val="20"/>
          <w:szCs w:val="20"/>
          <w:color w:val="auto"/>
        </w:rPr>
      </w:pPr>
      <w:r>
        <w:rPr>
          <w:rFonts w:ascii="Arial" w:cs="Arial" w:eastAsia="Arial" w:hAnsi="Arial"/>
          <w:sz w:val="22"/>
          <w:szCs w:val="22"/>
          <w:b w:val="1"/>
          <w:bCs w:val="1"/>
          <w:u w:val="single" w:color="auto"/>
          <w:color w:val="auto"/>
        </w:rPr>
        <w:t>Section 14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acknowledges and agrees that this Agreement and the Plan constitute the</w:t>
      </w:r>
      <w:r>
        <w:rPr>
          <w:rFonts w:ascii="Arial" w:cs="Arial" w:eastAsia="Arial" w:hAnsi="Arial"/>
          <w:sz w:val="22"/>
          <w:szCs w:val="22"/>
          <w:b w:val="1"/>
          <w:bCs w:val="1"/>
          <w:color w:val="auto"/>
        </w:rPr>
        <w:t xml:space="preserve"> </w:t>
      </w:r>
      <w:r>
        <w:rPr>
          <w:rFonts w:ascii="Arial" w:cs="Arial" w:eastAsia="Arial" w:hAnsi="Arial"/>
          <w:sz w:val="22"/>
          <w:szCs w:val="22"/>
          <w:color w:val="auto"/>
        </w:rPr>
        <w:t>entire agreement between the parties with respect to the subject matter hereof and thereof.</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u w:val="single" w:color="auto"/>
          <w:color w:val="auto"/>
        </w:rPr>
        <w:t>Section 15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shall be subject to the Clawback and Recoupment Policy adopted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on February 27, 2019, as such policy may be amended from time to time.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The Restricted Stock Units shall be subject to tax and/or other withholding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15(e) of the Plan.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17</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Fractional Shares</w:t>
      </w:r>
      <w:r>
        <w:rPr>
          <w:rFonts w:ascii="Arial" w:cs="Arial" w:eastAsia="Arial" w:hAnsi="Arial"/>
          <w:sz w:val="22"/>
          <w:szCs w:val="22"/>
          <w:color w:val="auto"/>
        </w:rPr>
        <w:t>. No fractional shares shall be delivered under this Agreement. In lieu of issuing a</w:t>
      </w:r>
      <w:r>
        <w:rPr>
          <w:rFonts w:ascii="Arial" w:cs="Arial" w:eastAsia="Arial" w:hAnsi="Arial"/>
          <w:sz w:val="22"/>
          <w:szCs w:val="22"/>
          <w:b w:val="1"/>
          <w:bCs w:val="1"/>
          <w:color w:val="auto"/>
        </w:rPr>
        <w:t xml:space="preserve"> </w:t>
      </w:r>
      <w:r>
        <w:rPr>
          <w:rFonts w:ascii="Arial" w:cs="Arial" w:eastAsia="Arial" w:hAnsi="Arial"/>
          <w:sz w:val="22"/>
          <w:szCs w:val="22"/>
          <w:color w:val="auto"/>
        </w:rPr>
        <w:t>fraction of a share in settlement of vested Restricted Stock Units, the Company shall be entitled to pay to Participant an amount in cash equal to the Fair Market Value of such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- 5 -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1240"/>
          </w:cols>
          <w:pgMar w:left="320" w:top="1422" w:right="339" w:bottom="1440" w:gutter="0" w:footer="0" w:header="0"/>
        </w:sectPr>
      </w:pPr>
    </w:p>
    <w:bookmarkStart w:id="211" w:name="page212"/>
    <w:bookmarkEnd w:id="211"/>
    <w:p>
      <w:pPr>
        <w:ind w:left="220"/>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- 6 -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0480"/>
          </w:cols>
          <w:pgMar w:left="320" w:top="1428" w:right="1099" w:bottom="1440" w:gutter="0" w:footer="0" w:header="0"/>
        </w:sectPr>
      </w:pPr>
    </w:p>
    <w:bookmarkStart w:id="212" w:name="page213"/>
    <w:bookmarkEnd w:id="212"/>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-17780</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Stephanie Lepori</w:t>
      </w:r>
    </w:p>
    <w:p>
      <w:pPr>
        <w:spacing w:after="0" w:line="220"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19"/>
          <w:szCs w:val="19"/>
          <w:color w:val="auto"/>
        </w:rPr>
        <w:t>Title:</w:t>
        <w:tab/>
        <w:t>Chief Administrative &amp;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Participant’s Signature 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- 7 -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0139"/>
          </w:cols>
          <w:pgMar w:left="320" w:top="1440" w:right="1440" w:bottom="1440" w:gutter="0" w:footer="0" w:header="0"/>
        </w:sectPr>
      </w:pPr>
    </w:p>
    <w:bookmarkStart w:id="213" w:name="page214"/>
    <w:bookmarkEnd w:id="213"/>
    <w:p>
      <w:pPr>
        <w:jc w:val="center"/>
        <w:ind w:right="-9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Performance Matrix</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Target Award</w:t>
      </w:r>
      <w:r>
        <w:rPr>
          <w:rFonts w:ascii="Arial" w:cs="Arial" w:eastAsia="Arial" w:hAnsi="Arial"/>
          <w:sz w:val="19"/>
          <w:szCs w:val="19"/>
          <w:color w:val="auto"/>
        </w:rPr>
        <w:t>: Participant’s overall target-level Award hereunder is equal to______ Restricted Stock Units (the “</w:t>
      </w:r>
      <w:r>
        <w:rPr>
          <w:rFonts w:ascii="Arial" w:cs="Arial" w:eastAsia="Arial" w:hAnsi="Arial"/>
          <w:sz w:val="19"/>
          <w:szCs w:val="19"/>
          <w:u w:val="single" w:color="auto"/>
          <w:color w:val="auto"/>
        </w:rPr>
        <w:t>Target Award</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Performance Period</w:t>
      </w:r>
      <w:r>
        <w:rPr>
          <w:rFonts w:ascii="Arial" w:cs="Arial" w:eastAsia="Arial" w:hAnsi="Arial"/>
          <w:sz w:val="22"/>
          <w:szCs w:val="22"/>
          <w:color w:val="auto"/>
        </w:rPr>
        <w:t>” shall be July 20, 2020 through July 19, 2023.</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Performance Goal</w:t>
      </w:r>
      <w:r>
        <w:rPr>
          <w:rFonts w:ascii="Arial" w:cs="Arial" w:eastAsia="Arial" w:hAnsi="Arial"/>
          <w:sz w:val="22"/>
          <w:szCs w:val="22"/>
          <w:color w:val="auto"/>
        </w:rPr>
        <w:t>” shall be the three-year total shareholder return (“</w:t>
      </w:r>
      <w:r>
        <w:rPr>
          <w:rFonts w:ascii="Arial" w:cs="Arial" w:eastAsia="Arial" w:hAnsi="Arial"/>
          <w:sz w:val="22"/>
          <w:szCs w:val="22"/>
          <w:u w:val="single" w:color="auto"/>
          <w:color w:val="auto"/>
        </w:rPr>
        <w:t>TSR</w:t>
      </w:r>
      <w:r>
        <w:rPr>
          <w:rFonts w:ascii="Arial" w:cs="Arial" w:eastAsia="Arial" w:hAnsi="Arial"/>
          <w:sz w:val="22"/>
          <w:szCs w:val="22"/>
          <w:color w:val="auto"/>
        </w:rPr>
        <w:t>”) of the Company relative to the other entities in the TSR Index (as defined below). Achievement of the Performance Goal shall be determined by the percentile rank of the Company’s TSR relative to the TSR of each other entity in the TSR Index.</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22"/>
          <w:szCs w:val="22"/>
          <w:u w:val="single" w:color="auto"/>
          <w:color w:val="auto"/>
        </w:rPr>
        <w:t>Determination of TSR</w:t>
      </w:r>
      <w:r>
        <w:rPr>
          <w:rFonts w:ascii="Arial" w:cs="Arial" w:eastAsia="Arial" w:hAnsi="Arial"/>
          <w:sz w:val="22"/>
          <w:szCs w:val="22"/>
          <w:color w:val="auto"/>
        </w:rPr>
        <w:t>: TSR for the Company and each other entity in the TSR Index shall be determined in accordance with the following formula: TSR shall be calculated by dividing (a) the Closing Average Share Value by (b) the Opening Average Share Value, expressed as a percentage.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determining TSR:</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Opening Average Share Value</w:t>
      </w:r>
      <w:r>
        <w:rPr>
          <w:rFonts w:ascii="Arial" w:cs="Arial" w:eastAsia="Arial" w:hAnsi="Arial"/>
          <w:sz w:val="22"/>
          <w:szCs w:val="22"/>
          <w:color w:val="auto"/>
        </w:rPr>
        <w:t>” means the average, over the trading days in the Opening Average Period, of the closing price of a company’s common stock multiplied by the Accumulated Shares for each day during the Opening Average Period. The Opening Average Share Value for the Company shall be $40.16.</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Opening Average Period</w:t>
      </w:r>
      <w:r>
        <w:rPr>
          <w:rFonts w:ascii="Arial" w:cs="Arial" w:eastAsia="Arial" w:hAnsi="Arial"/>
          <w:sz w:val="22"/>
          <w:szCs w:val="22"/>
          <w:color w:val="auto"/>
        </w:rPr>
        <w:t>” means the 20 trading days immediately prior to the first day of the Performance Period.</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Accumulated Shares</w:t>
      </w:r>
      <w:r>
        <w:rPr>
          <w:rFonts w:ascii="Arial" w:cs="Arial" w:eastAsia="Arial" w:hAnsi="Arial"/>
          <w:sz w:val="19"/>
          <w:szCs w:val="19"/>
          <w:color w:val="auto"/>
        </w:rPr>
        <w:t>” means, for a given trading day, the sum of (i) one share of common stock and (ii) a cumulative number of shares of a company’s common stock purchased with dividends declared on the applicable company’s common stock, assuming same day reinvestment of the dividends in the common stock of such company at the closing price on the ex-dividend date, for ex-dividend dates between the first day of the Performance Period and the applicable day.</w:t>
      </w:r>
    </w:p>
    <w:p>
      <w:pPr>
        <w:spacing w:after="0" w:line="34" w:lineRule="exact"/>
        <w:rPr>
          <w:sz w:val="20"/>
          <w:szCs w:val="20"/>
          <w:color w:val="auto"/>
        </w:rPr>
      </w:pPr>
    </w:p>
    <w:p>
      <w:pPr>
        <w:ind w:right="40"/>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Average Share Value</w:t>
      </w:r>
      <w:r>
        <w:rPr>
          <w:rFonts w:ascii="Arial" w:cs="Arial" w:eastAsia="Arial" w:hAnsi="Arial"/>
          <w:sz w:val="19"/>
          <w:szCs w:val="19"/>
          <w:color w:val="auto"/>
        </w:rPr>
        <w:t>” means the average, over the trading days in the Closing Average Period, of the closing price of a company’s stock multiplied by such company’s Accumulated Shares for each trading day during the Closing Average Period.</w:t>
      </w:r>
    </w:p>
    <w:p>
      <w:pPr>
        <w:ind w:right="8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Average Period</w:t>
      </w:r>
      <w:r>
        <w:rPr>
          <w:rFonts w:ascii="Arial" w:cs="Arial" w:eastAsia="Arial" w:hAnsi="Arial"/>
          <w:sz w:val="22"/>
          <w:szCs w:val="22"/>
          <w:color w:val="auto"/>
        </w:rPr>
        <w:t xml:space="preserve">” means the 20 trading days immediately prior to and including the last day of the Performance Period;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that (i) in the case of a Change in Control where no Replacement Award is provided, the Closing Average Period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the 20 trading days immediately preceding the Change in Control; and (ii) in the case of a Qualifying Termination during the CIC Period, the Closing Average Period shall be the 20 trading days immediately preceding the date of such Qualifying Termination.</w:t>
      </w:r>
    </w:p>
    <w:p>
      <w:pPr>
        <w:spacing w:after="0" w:line="97" w:lineRule="exact"/>
        <w:rPr>
          <w:sz w:val="20"/>
          <w:szCs w:val="20"/>
          <w:color w:val="auto"/>
        </w:rPr>
      </w:pPr>
    </w:p>
    <w:p>
      <w:pPr>
        <w:ind w:right="120"/>
        <w:spacing w:after="0" w:line="289" w:lineRule="auto"/>
        <w:rPr>
          <w:sz w:val="20"/>
          <w:szCs w:val="20"/>
          <w:color w:val="auto"/>
        </w:rPr>
      </w:pPr>
      <w:r>
        <w:rPr>
          <w:rFonts w:ascii="Arial" w:cs="Arial" w:eastAsia="Arial" w:hAnsi="Arial"/>
          <w:sz w:val="22"/>
          <w:szCs w:val="22"/>
          <w:color w:val="auto"/>
        </w:rPr>
        <w:t>In the event the Committee determines that the common stock of the Company is not widely traded for purposes of determining the Closing Average Share Value, the Committee shall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- 8 -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1160"/>
          </w:cols>
          <w:pgMar w:left="320" w:top="1435" w:right="419" w:bottom="1440" w:gutter="0" w:footer="0" w:header="0"/>
        </w:sectPr>
      </w:pPr>
    </w:p>
    <w:bookmarkStart w:id="214" w:name="page215"/>
    <w:bookmarkEnd w:id="214"/>
    <w:p>
      <w:pPr>
        <w:spacing w:after="0" w:line="2" w:lineRule="exact"/>
        <w:rPr>
          <w:sz w:val="20"/>
          <w:szCs w:val="20"/>
          <w:color w:val="auto"/>
        </w:rPr>
      </w:pPr>
    </w:p>
    <w:p>
      <w:pPr>
        <w:ind w:right="120"/>
        <w:spacing w:after="0" w:line="298" w:lineRule="auto"/>
        <w:rPr>
          <w:sz w:val="20"/>
          <w:szCs w:val="20"/>
          <w:color w:val="auto"/>
        </w:rPr>
      </w:pPr>
      <w:r>
        <w:rPr>
          <w:rFonts w:ascii="Arial" w:cs="Arial" w:eastAsia="Arial" w:hAnsi="Arial"/>
          <w:sz w:val="21"/>
          <w:szCs w:val="21"/>
          <w:color w:val="auto"/>
        </w:rPr>
        <w:t>good faith determine the fair market value of one Share as of the end of the Closing Average Period (taking into account any factors the Committee deems appropriate, including but not limited to any recent transactions in the shares of common stock of the Company), which shall be deemed to be the Company’s Closing Average Share Value.</w:t>
      </w:r>
    </w:p>
    <w:p>
      <w:pPr>
        <w:spacing w:after="0" w:line="126" w:lineRule="exact"/>
        <w:rPr>
          <w:sz w:val="20"/>
          <w:szCs w:val="20"/>
          <w:color w:val="auto"/>
        </w:rPr>
      </w:pPr>
    </w:p>
    <w:p>
      <w:pPr>
        <w:ind w:right="120"/>
        <w:spacing w:after="0" w:line="286" w:lineRule="auto"/>
        <w:rPr>
          <w:sz w:val="20"/>
          <w:szCs w:val="20"/>
          <w:color w:val="auto"/>
        </w:rPr>
      </w:pPr>
      <w:r>
        <w:rPr>
          <w:rFonts w:ascii="Arial" w:cs="Arial" w:eastAsia="Arial" w:hAnsi="Arial"/>
          <w:sz w:val="21"/>
          <w:szCs w:val="21"/>
          <w:color w:val="auto"/>
        </w:rPr>
        <w:t>The Company’s “</w:t>
      </w:r>
      <w:r>
        <w:rPr>
          <w:rFonts w:ascii="Arial" w:cs="Arial" w:eastAsia="Arial" w:hAnsi="Arial"/>
          <w:sz w:val="21"/>
          <w:szCs w:val="21"/>
          <w:u w:val="single" w:color="auto"/>
          <w:color w:val="auto"/>
        </w:rPr>
        <w:t>Rank</w:t>
      </w:r>
      <w:r>
        <w:rPr>
          <w:rFonts w:ascii="Arial" w:cs="Arial" w:eastAsia="Arial" w:hAnsi="Arial"/>
          <w:sz w:val="21"/>
          <w:szCs w:val="21"/>
          <w:color w:val="auto"/>
        </w:rPr>
        <w:t>” shall be determined by the Company’s position within the ranking of each entity in the TSR Index (including the Company) in descending order based on their respective TSRs (with the highest TSR having a Rank of one). For purposes of developing the ordering provided in the immediately-preceding sentence, (A) any entity that filed for bankruptcy protection under the United States Bankruptcy Code during the Performance Period shall be assigned the lowest order of any entity in the TSR Index, and (B) any entity that is acquired during the Performance Period, or otherwise no longer listed on a national securities exchange at the end of the Performance Period (other than the Company), shall be removed from the TSR Index and shall be excluded for purposes of ordering the entities in the TSR Index (and for purposes of calculating the Company’s Percentile).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After determining the Company’s Rank, the Company’s “</w:t>
      </w:r>
      <w:r>
        <w:rPr>
          <w:rFonts w:ascii="Arial" w:cs="Arial" w:eastAsia="Arial" w:hAnsi="Arial"/>
          <w:sz w:val="22"/>
          <w:szCs w:val="22"/>
          <w:u w:val="single" w:color="auto"/>
          <w:color w:val="auto"/>
        </w:rPr>
        <w:t>Percentile</w:t>
      </w:r>
      <w:r>
        <w:rPr>
          <w:rFonts w:ascii="Arial" w:cs="Arial" w:eastAsia="Arial" w:hAnsi="Arial"/>
          <w:sz w:val="22"/>
          <w:szCs w:val="22"/>
          <w:color w:val="auto"/>
        </w:rPr>
        <w:t>” will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62635" cy="3429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8">
                      <a:extLst>
                        <a:ext uri="{28A0092B-C50C-407E-A947-70E740481C1C}"/>
                      </a:extLst>
                    </a:blip>
                    <a:srcRect/>
                    <a:stretch>
                      <a:fillRect/>
                    </a:stretch>
                  </pic:blipFill>
                  <pic:spPr bwMode="auto">
                    <a:xfrm>
                      <a:off x="0" y="0"/>
                      <a:ext cx="7626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112"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“P” represents the Percentile which will be rounded, if necessary, to the nearest whole percentile by application of regular rounding.</w:t>
      </w:r>
    </w:p>
    <w:p>
      <w:pPr>
        <w:spacing w:after="0" w:line="67" w:lineRule="exact"/>
        <w:rPr>
          <w:sz w:val="20"/>
          <w:szCs w:val="20"/>
          <w:color w:val="auto"/>
        </w:rPr>
      </w:pPr>
    </w:p>
    <w:p>
      <w:pPr>
        <w:ind w:right="680"/>
        <w:spacing w:after="0" w:line="263" w:lineRule="auto"/>
        <w:rPr>
          <w:sz w:val="20"/>
          <w:szCs w:val="20"/>
          <w:color w:val="auto"/>
        </w:rPr>
      </w:pPr>
      <w:r>
        <w:rPr>
          <w:rFonts w:ascii="Arial" w:cs="Arial" w:eastAsia="Arial" w:hAnsi="Arial"/>
          <w:sz w:val="22"/>
          <w:szCs w:val="22"/>
          <w:color w:val="auto"/>
        </w:rPr>
        <w:t>“N” represents the total number of entities in the TSR Index (including the Company, but after removal of any entities in accordance with the calculation of the Rank).</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“R” represents Company’s Rank (as determined above).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Payout Percentage</w:t>
      </w:r>
      <w:r>
        <w:rPr>
          <w:rFonts w:ascii="Arial" w:cs="Arial" w:eastAsia="Arial" w:hAnsi="Arial"/>
          <w:sz w:val="22"/>
          <w:szCs w:val="22"/>
          <w:color w:val="auto"/>
        </w:rPr>
        <w:t>” shall be determined as follows, subject to the exception below:</w:t>
      </w:r>
    </w:p>
    <w:p>
      <w:pPr>
        <w:spacing w:after="0" w:line="206" w:lineRule="exact"/>
        <w:rPr>
          <w:sz w:val="20"/>
          <w:szCs w:val="20"/>
          <w:color w:val="auto"/>
        </w:rPr>
      </w:pPr>
    </w:p>
    <w:p>
      <w:pPr>
        <w:ind w:left="660" w:right="500" w:hanging="328"/>
        <w:spacing w:after="0" w:line="314" w:lineRule="auto"/>
        <w:tabs>
          <w:tab w:leader="none" w:pos="655" w:val="left"/>
        </w:tabs>
        <w:numPr>
          <w:ilvl w:val="1"/>
          <w:numId w:val="137"/>
        </w:numPr>
        <w:rPr>
          <w:rFonts w:ascii="Arial" w:cs="Arial" w:eastAsia="Arial" w:hAnsi="Arial"/>
          <w:sz w:val="21"/>
          <w:szCs w:val="21"/>
          <w:color w:val="auto"/>
        </w:rPr>
      </w:pPr>
      <w:r>
        <w:rPr>
          <w:rFonts w:ascii="Arial" w:cs="Arial" w:eastAsia="Arial" w:hAnsi="Arial"/>
          <w:sz w:val="21"/>
          <w:szCs w:val="21"/>
          <w:color w:val="auto"/>
        </w:rPr>
        <w:t>Threshold Performance: If the Company’s Percentile equals 35%, the Payout Percentage shall be 50% of the Target Award. The Payout Percentage shall equal zero if the Company Percentile is less than 35%.</w:t>
      </w:r>
    </w:p>
    <w:p>
      <w:pPr>
        <w:spacing w:after="0" w:line="124" w:lineRule="exact"/>
        <w:rPr>
          <w:rFonts w:ascii="Arial" w:cs="Arial" w:eastAsia="Arial" w:hAnsi="Arial"/>
          <w:sz w:val="21"/>
          <w:szCs w:val="21"/>
          <w:color w:val="auto"/>
        </w:rPr>
      </w:pPr>
    </w:p>
    <w:p>
      <w:pPr>
        <w:ind w:left="660" w:hanging="328"/>
        <w:spacing w:after="0"/>
        <w:tabs>
          <w:tab w:leader="none" w:pos="66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Target Performance: If the Company’s Percentile equals 50%, the Payout Percentage shall be 100% of the Target Award.</w:t>
      </w:r>
    </w:p>
    <w:p>
      <w:pPr>
        <w:spacing w:after="0" w:line="240" w:lineRule="exact"/>
        <w:rPr>
          <w:rFonts w:ascii="Arial" w:cs="Arial" w:eastAsia="Arial" w:hAnsi="Arial"/>
          <w:sz w:val="19"/>
          <w:szCs w:val="19"/>
          <w:color w:val="auto"/>
        </w:rPr>
      </w:pPr>
    </w:p>
    <w:p>
      <w:pPr>
        <w:ind w:left="660" w:hanging="328"/>
        <w:spacing w:after="0" w:line="289" w:lineRule="auto"/>
        <w:tabs>
          <w:tab w:leader="none" w:pos="655" w:val="left"/>
        </w:tabs>
        <w:numPr>
          <w:ilvl w:val="1"/>
          <w:numId w:val="137"/>
        </w:numPr>
        <w:rPr>
          <w:rFonts w:ascii="Arial" w:cs="Arial" w:eastAsia="Arial" w:hAnsi="Arial"/>
          <w:sz w:val="22"/>
          <w:szCs w:val="22"/>
          <w:color w:val="auto"/>
        </w:rPr>
      </w:pPr>
      <w:r>
        <w:rPr>
          <w:rFonts w:ascii="Arial" w:cs="Arial" w:eastAsia="Arial" w:hAnsi="Arial"/>
          <w:sz w:val="22"/>
          <w:szCs w:val="22"/>
          <w:color w:val="auto"/>
        </w:rPr>
        <w:t>Maximum Performance: If the Company’s Percentile equals or exceeds 75%, the Payout Percentage shall be 200% of the Target Award.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7" w:lineRule="exact"/>
        <w:rPr>
          <w:rFonts w:ascii="Arial" w:cs="Arial" w:eastAsia="Arial" w:hAnsi="Arial"/>
          <w:sz w:val="22"/>
          <w:szCs w:val="22"/>
          <w:color w:val="auto"/>
        </w:rPr>
      </w:pPr>
    </w:p>
    <w:p>
      <w:pPr>
        <w:ind w:left="360" w:hanging="136"/>
        <w:spacing w:after="0"/>
        <w:tabs>
          <w:tab w:leader="none" w:pos="3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9 -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1120"/>
          </w:cols>
          <w:pgMar w:left="320" w:top="1440" w:right="459" w:bottom="1440" w:gutter="0" w:footer="0" w:header="0"/>
        </w:sectPr>
      </w:pPr>
    </w:p>
    <w:bookmarkStart w:id="215" w:name="page216"/>
    <w:bookmarkEnd w:id="215"/>
    <w:p>
      <w:pPr>
        <w:spacing w:after="0" w:line="2" w:lineRule="exact"/>
        <w:rPr>
          <w:sz w:val="20"/>
          <w:szCs w:val="20"/>
          <w:color w:val="auto"/>
        </w:rPr>
      </w:pPr>
    </w:p>
    <w:p>
      <w:pPr>
        <w:ind w:left="660" w:right="80" w:hanging="328"/>
        <w:spacing w:after="0" w:line="290" w:lineRule="auto"/>
        <w:tabs>
          <w:tab w:leader="none" w:pos="65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Straight-line interpolation shall be used to determine the Payout Percentage for any Company Percentile between 35% and 75</w:t>
      </w:r>
      <w:r>
        <w:rPr>
          <w:rFonts w:ascii="Arial" w:cs="Arial" w:eastAsia="Arial" w:hAnsi="Arial"/>
          <w:sz w:val="28"/>
          <w:szCs w:val="28"/>
          <w:color w:val="auto"/>
          <w:vertAlign w:val="superscript"/>
        </w:rPr>
        <w:t>%</w:t>
      </w:r>
      <w:r>
        <w:rPr>
          <w:rFonts w:ascii="Arial" w:cs="Arial" w:eastAsia="Arial" w:hAnsi="Arial"/>
          <w:sz w:val="22"/>
          <w:szCs w:val="22"/>
          <w:color w:val="auto"/>
        </w:rPr>
        <w:t>, based upon the Payout Percentages set forth above.</w:t>
      </w:r>
    </w:p>
    <w:p>
      <w:pPr>
        <w:spacing w:after="0" w:line="48" w:lineRule="exact"/>
        <w:rPr>
          <w:sz w:val="20"/>
          <w:szCs w:val="20"/>
          <w:color w:val="auto"/>
        </w:rPr>
      </w:pPr>
    </w:p>
    <w:p>
      <w:pPr>
        <w:spacing w:after="0" w:line="279" w:lineRule="auto"/>
        <w:rPr>
          <w:sz w:val="20"/>
          <w:szCs w:val="20"/>
          <w:color w:val="auto"/>
        </w:rPr>
      </w:pPr>
      <w:r>
        <w:rPr>
          <w:rFonts w:ascii="Arial" w:cs="Arial" w:eastAsia="Arial" w:hAnsi="Arial"/>
          <w:sz w:val="22"/>
          <w:szCs w:val="22"/>
          <w:color w:val="auto"/>
        </w:rPr>
        <w:t>The following exception exists with respect to the Payout Percentage determination set forth above: If the Company’s absolute TSR (irrespective of its Rank or Percentile) is less than 0%, then the Payout Percentage shall not exceed 100% of the Target Award.</w:t>
      </w:r>
    </w:p>
    <w:p>
      <w:pPr>
        <w:spacing w:after="0" w:line="157" w:lineRule="exact"/>
        <w:rPr>
          <w:sz w:val="20"/>
          <w:szCs w:val="20"/>
          <w:color w:val="auto"/>
        </w:rPr>
      </w:pPr>
    </w:p>
    <w:p>
      <w:pPr>
        <w:ind w:right="60"/>
        <w:spacing w:after="0" w:line="314" w:lineRule="auto"/>
        <w:rPr>
          <w:sz w:val="20"/>
          <w:szCs w:val="20"/>
          <w:color w:val="auto"/>
        </w:rPr>
      </w:pPr>
      <w:r>
        <w:rPr>
          <w:rFonts w:ascii="Arial" w:cs="Arial" w:eastAsia="Arial" w:hAnsi="Arial"/>
          <w:sz w:val="21"/>
          <w:szCs w:val="21"/>
          <w:color w:val="auto"/>
        </w:rPr>
        <w:t>In addition to the Company, the “</w:t>
      </w:r>
      <w:r>
        <w:rPr>
          <w:rFonts w:ascii="Arial" w:cs="Arial" w:eastAsia="Arial" w:hAnsi="Arial"/>
          <w:sz w:val="21"/>
          <w:szCs w:val="21"/>
          <w:u w:val="single" w:color="auto"/>
          <w:color w:val="auto"/>
        </w:rPr>
        <w:t>TSR Index</w:t>
      </w:r>
      <w:r>
        <w:rPr>
          <w:rFonts w:ascii="Arial" w:cs="Arial" w:eastAsia="Arial" w:hAnsi="Arial"/>
          <w:sz w:val="21"/>
          <w:szCs w:val="21"/>
          <w:color w:val="auto"/>
        </w:rPr>
        <w:t>” shall be comprised of the companies in the S&amp;P 400 Midcaps as in effect on the first day of the Performance Period (subject to adjustment as set forth in the definition of Rank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#4835-6029-9346v14</w:t>
      </w:r>
    </w:p>
    <w:p>
      <w:pPr>
        <w:sectPr>
          <w:pgSz w:w="11900" w:h="16838" w:orient="portrait"/>
          <w:cols w:equalWidth="0" w:num="1">
            <w:col w:w="10960"/>
          </w:cols>
          <w:pgMar w:left="320" w:top="1440" w:right="619" w:bottom="1440" w:gutter="0" w:footer="0" w:header="0"/>
        </w:sectPr>
      </w:pPr>
    </w:p>
    <w:bookmarkStart w:id="216" w:name="page217"/>
    <w:bookmarkEnd w:id="216"/>
    <w:p>
      <w:pPr>
        <w:ind w:left="10040"/>
        <w:spacing w:after="0"/>
        <w:rPr>
          <w:sz w:val="20"/>
          <w:szCs w:val="20"/>
          <w:color w:val="auto"/>
        </w:rPr>
      </w:pPr>
      <w:r>
        <w:rPr>
          <w:rFonts w:ascii="Arial" w:cs="Arial" w:eastAsia="Arial" w:hAnsi="Arial"/>
          <w:sz w:val="22"/>
          <w:szCs w:val="22"/>
          <w:color w:val="auto"/>
        </w:rPr>
        <w:t>Exhibit 14</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Caesars Entertainment, Inc.</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Code of Ethics and Business Conduct</w:t>
      </w:r>
    </w:p>
    <w:p>
      <w:pPr>
        <w:spacing w:after="0" w:line="253" w:lineRule="exact"/>
        <w:rPr>
          <w:sz w:val="20"/>
          <w:szCs w:val="20"/>
          <w:color w:val="auto"/>
        </w:rPr>
      </w:pPr>
    </w:p>
    <w:p>
      <w:pPr>
        <w:ind w:left="120" w:right="40" w:firstLine="645"/>
        <w:spacing w:after="0" w:line="247" w:lineRule="auto"/>
        <w:rPr>
          <w:sz w:val="20"/>
          <w:szCs w:val="20"/>
          <w:color w:val="auto"/>
        </w:rPr>
      </w:pPr>
      <w:r>
        <w:rPr>
          <w:rFonts w:ascii="Arial" w:cs="Arial" w:eastAsia="Arial" w:hAnsi="Arial"/>
          <w:sz w:val="22"/>
          <w:szCs w:val="22"/>
          <w:color w:val="auto"/>
        </w:rPr>
        <w:t>This Code of Ethics and Business Conduct, which includes our Conflicts of Interest Policy attached as Exhibit A hereto (collectively, the “Code”), embodies the commitment of Caesars Entertainment, Inc. and its subsidiaries (the “Company”) to conduct business in accordance with all applicable laws, rules and regulations, and ethical standards. All employees, officers, and members of the Caesars Entertainment, Inc. Board of Directors (the “Board”) are expected to adhere to those principals and procedures set forth in the Code that apply to them. We also expect the consultants that we retain generally to abide by the Code.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Code includes standards that are designed to deter wrongdoing and to promote:</w:t>
      </w:r>
    </w:p>
    <w:p>
      <w:pPr>
        <w:spacing w:after="0" w:line="260" w:lineRule="exact"/>
        <w:rPr>
          <w:sz w:val="20"/>
          <w:szCs w:val="20"/>
          <w:color w:val="auto"/>
        </w:rPr>
      </w:pPr>
    </w:p>
    <w:p>
      <w:pPr>
        <w:ind w:left="2060" w:right="420" w:hanging="648"/>
        <w:spacing w:after="0" w:line="263" w:lineRule="auto"/>
        <w:tabs>
          <w:tab w:leader="none" w:pos="205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Honest and ethical conduct, including the ethical handling of actual or apparent conflicts of interest between personal and professional relationships;</w:t>
      </w:r>
    </w:p>
    <w:p>
      <w:pPr>
        <w:spacing w:after="0" w:line="201" w:lineRule="exact"/>
        <w:rPr>
          <w:rFonts w:ascii="Arial" w:cs="Arial" w:eastAsia="Arial" w:hAnsi="Arial"/>
          <w:sz w:val="22"/>
          <w:szCs w:val="22"/>
          <w:color w:val="auto"/>
        </w:rPr>
      </w:pPr>
    </w:p>
    <w:p>
      <w:pPr>
        <w:jc w:val="both"/>
        <w:ind w:left="2060" w:right="200" w:hanging="648"/>
        <w:spacing w:after="0" w:line="253" w:lineRule="auto"/>
        <w:tabs>
          <w:tab w:leader="none" w:pos="205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Full, fair, accurate, timely, and understandable disclosure in reports and documents that the Company files with, or submits to, the Securities and Exchange Commission (the “SEC”) and in other public communications made by the Company;</w:t>
      </w:r>
    </w:p>
    <w:p>
      <w:pPr>
        <w:spacing w:after="0" w:line="225" w:lineRule="exact"/>
        <w:rPr>
          <w:rFonts w:ascii="Arial" w:cs="Arial" w:eastAsia="Arial" w:hAnsi="Arial"/>
          <w:sz w:val="22"/>
          <w:szCs w:val="22"/>
          <w:color w:val="auto"/>
        </w:rPr>
      </w:pPr>
    </w:p>
    <w:p>
      <w:pPr>
        <w:ind w:left="2060" w:hanging="651"/>
        <w:spacing w:after="0"/>
        <w:tabs>
          <w:tab w:leader="none" w:pos="20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Compliance with applicable governmental laws, rules and regulations;</w:t>
      </w:r>
    </w:p>
    <w:p>
      <w:pPr>
        <w:spacing w:after="0" w:line="246" w:lineRule="exact"/>
        <w:rPr>
          <w:rFonts w:ascii="Arial" w:cs="Arial" w:eastAsia="Arial" w:hAnsi="Arial"/>
          <w:sz w:val="22"/>
          <w:szCs w:val="22"/>
          <w:color w:val="auto"/>
        </w:rPr>
      </w:pPr>
    </w:p>
    <w:p>
      <w:pPr>
        <w:ind w:left="2060" w:right="200" w:hanging="648"/>
        <w:spacing w:after="0" w:line="263" w:lineRule="auto"/>
        <w:tabs>
          <w:tab w:leader="none" w:pos="205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prompt internal reporting of violations of the Code to an appropriate person or persons identified in the Code; and</w:t>
      </w:r>
    </w:p>
    <w:p>
      <w:pPr>
        <w:spacing w:after="0" w:line="215" w:lineRule="exact"/>
        <w:rPr>
          <w:rFonts w:ascii="Arial" w:cs="Arial" w:eastAsia="Arial" w:hAnsi="Arial"/>
          <w:sz w:val="22"/>
          <w:szCs w:val="22"/>
          <w:color w:val="auto"/>
        </w:rPr>
      </w:pPr>
    </w:p>
    <w:p>
      <w:pPr>
        <w:ind w:left="2060" w:hanging="651"/>
        <w:spacing w:after="0"/>
        <w:tabs>
          <w:tab w:leader="none" w:pos="20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Accountability for adherence to the Code.</w:t>
      </w: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Section I</w:t>
      </w:r>
    </w:p>
    <w:p>
      <w:pPr>
        <w:spacing w:after="0" w:line="260" w:lineRule="exact"/>
        <w:rPr>
          <w:sz w:val="20"/>
          <w:szCs w:val="20"/>
          <w:color w:val="auto"/>
        </w:rPr>
      </w:pPr>
    </w:p>
    <w:p>
      <w:pPr>
        <w:ind w:left="760" w:hanging="647"/>
        <w:spacing w:after="0"/>
        <w:tabs>
          <w:tab w:leader="none" w:pos="76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Implementation and Oversight of The Code</w:t>
      </w:r>
    </w:p>
    <w:p>
      <w:pPr>
        <w:spacing w:after="0" w:line="266" w:lineRule="exact"/>
        <w:rPr>
          <w:sz w:val="20"/>
          <w:szCs w:val="20"/>
          <w:color w:val="auto"/>
        </w:rPr>
      </w:pPr>
    </w:p>
    <w:p>
      <w:pPr>
        <w:jc w:val="both"/>
        <w:ind w:left="120" w:firstLine="645"/>
        <w:spacing w:after="0" w:line="294" w:lineRule="auto"/>
        <w:rPr>
          <w:sz w:val="20"/>
          <w:szCs w:val="20"/>
          <w:color w:val="auto"/>
        </w:rPr>
      </w:pPr>
      <w:r>
        <w:rPr>
          <w:rFonts w:ascii="Arial" w:cs="Arial" w:eastAsia="Arial" w:hAnsi="Arial"/>
          <w:sz w:val="19"/>
          <w:szCs w:val="19"/>
          <w:color w:val="auto"/>
        </w:rPr>
        <w:t>The Board is ultimately responsible for the implementation of the Code. The Board has designated the Company’s Chief Legal Officer to be the compliance officer (such person, or such other person as the Board may subsequently designate as the compliance officer, the “Compliance Officer”) for the implementation and administration of the Code, provided, however, that notwithstanding any provision to the contrary in this Code, any matter submitted to the Audit Committee of the Board pursuant to the Company’s Whistleblower Hotline Policy and Procedures shall not be reviewed or otherwise administered by the Compliance Officer unless so directed by the Audit Committee.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Questions regarding the application or interpretation of the Code are inevitable.</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40"/>
          </w:cols>
          <w:pgMar w:left="320" w:top="780" w:right="539" w:bottom="1440" w:gutter="0" w:footer="0" w:header="0"/>
        </w:sectPr>
      </w:pPr>
    </w:p>
    <w:bookmarkStart w:id="217" w:name="page218"/>
    <w:bookmarkEnd w:id="217"/>
    <w:p>
      <w:pPr>
        <w:ind w:left="120"/>
        <w:spacing w:after="0"/>
        <w:rPr>
          <w:sz w:val="20"/>
          <w:szCs w:val="20"/>
          <w:color w:val="auto"/>
        </w:rPr>
      </w:pPr>
      <w:r>
        <w:rPr>
          <w:rFonts w:ascii="Arial" w:cs="Arial" w:eastAsia="Arial" w:hAnsi="Arial"/>
          <w:sz w:val="19"/>
          <w:szCs w:val="19"/>
          <w:color w:val="auto"/>
        </w:rPr>
        <w:t>Directors, officers, employees and consultants of the Company should direct all questions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220"/>
          </w:cols>
          <w:pgMar w:left="320" w:top="712" w:right="1359" w:bottom="1440" w:gutter="0" w:footer="0" w:header="0"/>
        </w:sectPr>
      </w:pPr>
    </w:p>
    <w:bookmarkStart w:id="218" w:name="page219"/>
    <w:bookmarkEnd w:id="218"/>
    <w:p>
      <w:pPr>
        <w:ind w:left="120" w:right="520" w:firstLine="645"/>
        <w:spacing w:after="0" w:line="263" w:lineRule="auto"/>
        <w:rPr>
          <w:sz w:val="20"/>
          <w:szCs w:val="20"/>
          <w:color w:val="auto"/>
        </w:rPr>
      </w:pPr>
      <w:r>
        <w:rPr>
          <w:rFonts w:ascii="Arial" w:cs="Arial" w:eastAsia="Arial" w:hAnsi="Arial"/>
          <w:sz w:val="22"/>
          <w:szCs w:val="22"/>
          <w:color w:val="auto"/>
        </w:rPr>
        <w:t>The Code, and all amendments of the Code, will be included in the Company’s periodic filings with the SEC and will be available on the Company’s website.</w:t>
      </w:r>
    </w:p>
    <w:p>
      <w:pPr>
        <w:spacing w:after="0" w:line="215" w:lineRule="exact"/>
        <w:rPr>
          <w:sz w:val="20"/>
          <w:szCs w:val="20"/>
          <w:color w:val="auto"/>
        </w:rPr>
      </w:pPr>
    </w:p>
    <w:p>
      <w:pPr>
        <w:jc w:val="both"/>
        <w:ind w:left="120" w:right="40" w:firstLine="645"/>
        <w:spacing w:after="0" w:line="271" w:lineRule="auto"/>
        <w:rPr>
          <w:sz w:val="20"/>
          <w:szCs w:val="20"/>
          <w:color w:val="auto"/>
        </w:rPr>
      </w:pPr>
      <w:r>
        <w:rPr>
          <w:rFonts w:ascii="Arial" w:cs="Arial" w:eastAsia="Arial" w:hAnsi="Arial"/>
          <w:sz w:val="21"/>
          <w:szCs w:val="21"/>
          <w:color w:val="auto"/>
        </w:rPr>
        <w:t>Statements in the Code to the effect that certain actions may be taken only with the “Company’s approval” mean that the Compliance Officer must give prior written approval before the proposed action may be undertaken. The Compliance Officer will act in a manner that is consistent with the requirements and spirit of the Code.</w:t>
      </w:r>
    </w:p>
    <w:p>
      <w:pPr>
        <w:spacing w:after="0" w:line="208" w:lineRule="exact"/>
        <w:rPr>
          <w:sz w:val="20"/>
          <w:szCs w:val="20"/>
          <w:color w:val="auto"/>
        </w:rPr>
      </w:pPr>
    </w:p>
    <w:p>
      <w:pPr>
        <w:jc w:val="both"/>
        <w:ind w:left="120" w:right="380" w:firstLine="645"/>
        <w:spacing w:after="0" w:line="253" w:lineRule="auto"/>
        <w:rPr>
          <w:sz w:val="20"/>
          <w:szCs w:val="20"/>
          <w:color w:val="auto"/>
        </w:rPr>
      </w:pPr>
      <w:r>
        <w:rPr>
          <w:rFonts w:ascii="Arial" w:cs="Arial" w:eastAsia="Arial" w:hAnsi="Arial"/>
          <w:sz w:val="22"/>
          <w:szCs w:val="22"/>
          <w:color w:val="auto"/>
        </w:rPr>
        <w:t>The Code should be read in conjunction with the Company’s other policy statements, including, without limitation, the Company’s Whistleblower Hotline Policy and Procedures, Conflicts of Interest Policy, Company’s Securities Trading Policy and Gaming Compliance Policy.</w:t>
      </w:r>
    </w:p>
    <w:p>
      <w:pPr>
        <w:spacing w:after="0" w:line="293" w:lineRule="exact"/>
        <w:rPr>
          <w:sz w:val="20"/>
          <w:szCs w:val="20"/>
          <w:color w:val="auto"/>
        </w:rPr>
      </w:pPr>
    </w:p>
    <w:p>
      <w:pPr>
        <w:ind w:left="120" w:firstLine="645"/>
        <w:spacing w:after="0" w:line="263" w:lineRule="auto"/>
        <w:rPr>
          <w:sz w:val="20"/>
          <w:szCs w:val="20"/>
          <w:color w:val="auto"/>
        </w:rPr>
      </w:pPr>
      <w:r>
        <w:rPr>
          <w:rFonts w:ascii="Arial" w:cs="Arial" w:eastAsia="Arial" w:hAnsi="Arial"/>
          <w:sz w:val="22"/>
          <w:szCs w:val="22"/>
          <w:color w:val="auto"/>
        </w:rPr>
        <w:t>Periodic training may be provided regarding the contents and importance of the Code and related policy statements and the manner in which violations must be reported and waivers must be requested.</w:t>
      </w:r>
    </w:p>
    <w:p>
      <w:pPr>
        <w:spacing w:after="0" w:line="209" w:lineRule="exact"/>
        <w:rPr>
          <w:sz w:val="20"/>
          <w:szCs w:val="20"/>
          <w:color w:val="auto"/>
        </w:rPr>
      </w:pPr>
    </w:p>
    <w:p>
      <w:pPr>
        <w:ind w:left="760" w:hanging="647"/>
        <w:spacing w:after="0"/>
        <w:tabs>
          <w:tab w:leader="none" w:pos="76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Honest and Ethical Conduct</w:t>
      </w:r>
    </w:p>
    <w:p>
      <w:pPr>
        <w:spacing w:after="0" w:line="212" w:lineRule="exact"/>
        <w:rPr>
          <w:sz w:val="20"/>
          <w:szCs w:val="20"/>
          <w:color w:val="auto"/>
        </w:rPr>
      </w:pPr>
    </w:p>
    <w:p>
      <w:pPr>
        <w:jc w:val="both"/>
        <w:ind w:left="120" w:right="20" w:firstLine="645"/>
        <w:spacing w:after="0" w:line="297" w:lineRule="auto"/>
        <w:rPr>
          <w:sz w:val="20"/>
          <w:szCs w:val="20"/>
          <w:color w:val="auto"/>
        </w:rPr>
      </w:pPr>
      <w:r>
        <w:rPr>
          <w:rFonts w:ascii="Arial" w:cs="Arial" w:eastAsia="Arial" w:hAnsi="Arial"/>
          <w:sz w:val="19"/>
          <w:szCs w:val="19"/>
          <w:color w:val="auto"/>
        </w:rPr>
        <w:t>One person’s dishonest or unethical conduct can harm the Company’s reputation and compromise the trust that the public and our shareholders have in the Company. For that reason, each director, officer, employee and consultant must be familiar with and comply with the Code. Compliance with the Code - and therefore all laws and regulations - forms the foundation of honest and ethical conduct. Accordingly, compliance with the Code is not simply expected; it is mandatory. In addition, the Company expects that directors, officers, employees and consultants of the Company will:</w:t>
      </w:r>
    </w:p>
    <w:p>
      <w:pPr>
        <w:spacing w:after="0" w:line="187" w:lineRule="exact"/>
        <w:rPr>
          <w:sz w:val="20"/>
          <w:szCs w:val="20"/>
          <w:color w:val="auto"/>
        </w:rPr>
      </w:pPr>
    </w:p>
    <w:p>
      <w:pPr>
        <w:ind w:left="760" w:hanging="323"/>
        <w:spacing w:after="0"/>
        <w:tabs>
          <w:tab w:leader="none" w:pos="760" w:val="left"/>
        </w:tabs>
        <w:numPr>
          <w:ilvl w:val="0"/>
          <w:numId w:val="142"/>
        </w:numPr>
        <w:rPr>
          <w:rFonts w:ascii="Courier New" w:cs="Courier New" w:eastAsia="Courier New" w:hAnsi="Courier New"/>
          <w:sz w:val="22"/>
          <w:szCs w:val="22"/>
          <w:color w:val="auto"/>
        </w:rPr>
      </w:pPr>
      <w:r>
        <w:rPr>
          <w:rFonts w:ascii="Arial" w:cs="Arial" w:eastAsia="Arial" w:hAnsi="Arial"/>
          <w:sz w:val="22"/>
          <w:szCs w:val="22"/>
          <w:color w:val="auto"/>
        </w:rPr>
        <w:t>Establish an example by their behavior as a model for others subject to the Code.</w:t>
      </w:r>
    </w:p>
    <w:p>
      <w:pPr>
        <w:spacing w:after="0" w:line="159" w:lineRule="exact"/>
        <w:rPr>
          <w:rFonts w:ascii="Courier New" w:cs="Courier New" w:eastAsia="Courier New" w:hAnsi="Courier New"/>
          <w:sz w:val="22"/>
          <w:szCs w:val="22"/>
          <w:color w:val="auto"/>
        </w:rPr>
      </w:pPr>
    </w:p>
    <w:p>
      <w:pPr>
        <w:ind w:left="760" w:right="80" w:hanging="320"/>
        <w:spacing w:after="0" w:line="230" w:lineRule="auto"/>
        <w:tabs>
          <w:tab w:leader="none" w:pos="749" w:val="left"/>
        </w:tabs>
        <w:numPr>
          <w:ilvl w:val="0"/>
          <w:numId w:val="142"/>
        </w:numPr>
        <w:rPr>
          <w:rFonts w:ascii="Courier New" w:cs="Courier New" w:eastAsia="Courier New" w:hAnsi="Courier New"/>
          <w:sz w:val="22"/>
          <w:szCs w:val="22"/>
          <w:color w:val="auto"/>
        </w:rPr>
      </w:pPr>
      <w:r>
        <w:rPr>
          <w:rFonts w:ascii="Arial" w:cs="Arial" w:eastAsia="Arial" w:hAnsi="Arial"/>
          <w:sz w:val="22"/>
          <w:szCs w:val="22"/>
          <w:color w:val="auto"/>
        </w:rPr>
        <w:t>Sustain a culture where honest and ethical conduct is recognized, valued and exemplified by all directors, officers, employees, consultants and other representatives of the Company.</w:t>
      </w:r>
    </w:p>
    <w:p>
      <w:pPr>
        <w:spacing w:after="0" w:line="185" w:lineRule="exact"/>
        <w:rPr>
          <w:rFonts w:ascii="Courier New" w:cs="Courier New" w:eastAsia="Courier New" w:hAnsi="Courier New"/>
          <w:sz w:val="22"/>
          <w:szCs w:val="22"/>
          <w:color w:val="auto"/>
        </w:rPr>
      </w:pPr>
    </w:p>
    <w:p>
      <w:pPr>
        <w:ind w:left="760" w:right="40" w:hanging="320"/>
        <w:spacing w:after="0" w:line="230" w:lineRule="auto"/>
        <w:tabs>
          <w:tab w:leader="none" w:pos="749" w:val="left"/>
        </w:tabs>
        <w:numPr>
          <w:ilvl w:val="0"/>
          <w:numId w:val="142"/>
        </w:numPr>
        <w:rPr>
          <w:rFonts w:ascii="Courier New" w:cs="Courier New" w:eastAsia="Courier New" w:hAnsi="Courier New"/>
          <w:sz w:val="22"/>
          <w:szCs w:val="22"/>
          <w:color w:val="auto"/>
        </w:rPr>
      </w:pPr>
      <w:r>
        <w:rPr>
          <w:rFonts w:ascii="Arial" w:cs="Arial" w:eastAsia="Arial" w:hAnsi="Arial"/>
          <w:sz w:val="22"/>
          <w:szCs w:val="22"/>
          <w:color w:val="auto"/>
        </w:rPr>
        <w:t>Personally, participate in, and where applicable, lead compliance efforts through meetings with others subject to the Code and monitor compliance matters and programs.</w:t>
      </w:r>
    </w:p>
    <w:p>
      <w:pPr>
        <w:spacing w:after="0" w:line="185" w:lineRule="exact"/>
        <w:rPr>
          <w:rFonts w:ascii="Courier New" w:cs="Courier New" w:eastAsia="Courier New" w:hAnsi="Courier New"/>
          <w:sz w:val="22"/>
          <w:szCs w:val="22"/>
          <w:color w:val="auto"/>
        </w:rPr>
      </w:pPr>
    </w:p>
    <w:p>
      <w:pPr>
        <w:ind w:left="760" w:hanging="320"/>
        <w:spacing w:after="0"/>
        <w:tabs>
          <w:tab w:leader="none" w:pos="760" w:val="left"/>
        </w:tabs>
        <w:numPr>
          <w:ilvl w:val="0"/>
          <w:numId w:val="142"/>
        </w:numPr>
        <w:rPr>
          <w:rFonts w:ascii="Courier New" w:cs="Courier New" w:eastAsia="Courier New" w:hAnsi="Courier New"/>
          <w:sz w:val="22"/>
          <w:szCs w:val="22"/>
          <w:color w:val="auto"/>
        </w:rPr>
      </w:pPr>
      <w:r>
        <w:rPr>
          <w:rFonts w:ascii="Arial" w:cs="Arial" w:eastAsia="Arial" w:hAnsi="Arial"/>
          <w:sz w:val="22"/>
          <w:szCs w:val="22"/>
          <w:color w:val="auto"/>
        </w:rPr>
        <w:t>Raise and encourage others to raise concerns and questions about ethical conduct and integrity.</w:t>
      </w:r>
    </w:p>
    <w:p>
      <w:pPr>
        <w:spacing w:after="0" w:line="227" w:lineRule="exact"/>
        <w:rPr>
          <w:sz w:val="20"/>
          <w:szCs w:val="20"/>
          <w:color w:val="auto"/>
        </w:rPr>
      </w:pPr>
    </w:p>
    <w:p>
      <w:pPr>
        <w:jc w:val="both"/>
        <w:ind w:left="120" w:firstLine="645"/>
        <w:spacing w:after="0" w:line="250" w:lineRule="auto"/>
        <w:rPr>
          <w:sz w:val="20"/>
          <w:szCs w:val="20"/>
          <w:color w:val="auto"/>
        </w:rPr>
      </w:pPr>
      <w:r>
        <w:rPr>
          <w:rFonts w:ascii="Arial" w:cs="Arial" w:eastAsia="Arial" w:hAnsi="Arial"/>
          <w:sz w:val="22"/>
          <w:szCs w:val="22"/>
          <w:color w:val="auto"/>
        </w:rPr>
        <w:t>The Company will take such disciplinary or preventive action as it deems appropriate to address any existing or potential violation of the Code brought to its attention. The Company’s Conflicts of Interest Policy, which is attached to the Code as Exhibit A, is an integral part of the Code and all Company directors, officers, employees and consultants should conduct themselves in accordance with its requirements and spirit.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40"/>
          </w:cols>
          <w:pgMar w:left="320" w:top="1414" w:right="539" w:bottom="1440" w:gutter="0" w:footer="0" w:header="0"/>
        </w:sectPr>
      </w:pPr>
    </w:p>
    <w:bookmarkStart w:id="219" w:name="page220"/>
    <w:bookmarkEnd w:id="219"/>
    <w:p>
      <w:pPr>
        <w:jc w:val="both"/>
        <w:ind w:left="120" w:firstLine="645"/>
        <w:spacing w:after="0" w:line="253" w:lineRule="auto"/>
        <w:rPr>
          <w:sz w:val="20"/>
          <w:szCs w:val="20"/>
          <w:color w:val="auto"/>
        </w:rPr>
      </w:pPr>
      <w:r>
        <w:rPr>
          <w:rFonts w:ascii="Arial" w:cs="Arial" w:eastAsia="Arial" w:hAnsi="Arial"/>
          <w:sz w:val="22"/>
          <w:szCs w:val="22"/>
          <w:color w:val="auto"/>
        </w:rPr>
        <w:t>A personal conflict of interest occurs when an individual’s private interest improperly interferes with the interests of the Company. Personal conflicts of interest are prohibited as a matter of Company policy, unless they have been approved by the Company. In particular, 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680"/>
          </w:cols>
          <w:pgMar w:left="320" w:top="1360" w:right="899" w:bottom="1440" w:gutter="0" w:footer="0" w:header="0"/>
        </w:sectPr>
      </w:pPr>
    </w:p>
    <w:bookmarkStart w:id="220" w:name="page221"/>
    <w:bookmarkEnd w:id="220"/>
    <w:p>
      <w:pPr>
        <w:jc w:val="both"/>
        <w:ind w:left="120"/>
        <w:spacing w:after="0" w:line="294" w:lineRule="auto"/>
        <w:rPr>
          <w:sz w:val="20"/>
          <w:szCs w:val="20"/>
          <w:color w:val="auto"/>
        </w:rPr>
      </w:pPr>
      <w:r>
        <w:rPr>
          <w:rFonts w:ascii="Arial" w:cs="Arial" w:eastAsia="Arial" w:hAnsi="Arial"/>
          <w:sz w:val="19"/>
          <w:szCs w:val="19"/>
          <w:color w:val="auto"/>
        </w:rPr>
        <w:t>director, officer, employee, or consultant must never use his or her position with the Company to obtain any improper personal benefit for himself or herself, for his or her family members, or for any other person, including loans or guarantees of obligations, from any person or entity, provided, however, that the Code is not intended to prohibit doing business with vendors, service providers, licensed lenders and the like who do business with the Company, so long as one does not exploit his or her position with the Company to obtain preferential treatment and so long as any such actions are not in violation of any applicable law or regulation (including, without limitation, SEC and Nasdaq rules).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Service to the Company should never be subordinated to personal gain an advantage.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Conflicts of interest, unless properly waived by the Company, must be avoided.</w:t>
      </w:r>
    </w:p>
    <w:p>
      <w:pPr>
        <w:spacing w:after="0" w:line="242" w:lineRule="exact"/>
        <w:rPr>
          <w:sz w:val="20"/>
          <w:szCs w:val="20"/>
          <w:color w:val="auto"/>
        </w:rPr>
      </w:pPr>
    </w:p>
    <w:p>
      <w:pPr>
        <w:jc w:val="both"/>
        <w:ind w:left="120" w:right="20" w:firstLine="645"/>
        <w:spacing w:after="0" w:line="250" w:lineRule="auto"/>
        <w:rPr>
          <w:sz w:val="20"/>
          <w:szCs w:val="20"/>
          <w:color w:val="auto"/>
        </w:rPr>
      </w:pPr>
      <w:r>
        <w:rPr>
          <w:rFonts w:ascii="Arial" w:cs="Arial" w:eastAsia="Arial" w:hAnsi="Arial"/>
          <w:sz w:val="22"/>
          <w:szCs w:val="22"/>
          <w:color w:val="auto"/>
        </w:rPr>
        <w:t>Any director, officer, employee or consultant who is aware of a transaction or relationship that could reasonably be expected to give rise to a conflict of interest should disclose and discuss the matter fully and promptly with the Compliance Officer, provided however, that alternatively, any complaint may be reported anonymously as provided by the Company’s Whistleblower Policy and Procedures referenced herein.</w:t>
      </w:r>
    </w:p>
    <w:p>
      <w:pPr>
        <w:spacing w:after="0" w:line="209" w:lineRule="exact"/>
        <w:rPr>
          <w:sz w:val="20"/>
          <w:szCs w:val="20"/>
          <w:color w:val="auto"/>
        </w:rPr>
      </w:pPr>
    </w:p>
    <w:p>
      <w:pPr>
        <w:ind w:left="760" w:hanging="647"/>
        <w:spacing w:after="0"/>
        <w:tabs>
          <w:tab w:leader="none" w:pos="76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Full, Fair, Accurate, Timely and Understandable Public Disclosure</w:t>
      </w:r>
    </w:p>
    <w:p>
      <w:pPr>
        <w:spacing w:after="0" w:line="253" w:lineRule="exact"/>
        <w:rPr>
          <w:sz w:val="20"/>
          <w:szCs w:val="20"/>
          <w:color w:val="auto"/>
        </w:rPr>
      </w:pPr>
    </w:p>
    <w:p>
      <w:pPr>
        <w:jc w:val="both"/>
        <w:ind w:left="120" w:right="40" w:firstLine="645"/>
        <w:spacing w:after="0" w:line="246" w:lineRule="auto"/>
        <w:rPr>
          <w:sz w:val="20"/>
          <w:szCs w:val="20"/>
          <w:color w:val="auto"/>
        </w:rPr>
      </w:pPr>
      <w:r>
        <w:rPr>
          <w:rFonts w:ascii="Arial" w:cs="Arial" w:eastAsia="Arial" w:hAnsi="Arial"/>
          <w:sz w:val="22"/>
          <w:szCs w:val="22"/>
          <w:color w:val="auto"/>
        </w:rPr>
        <w:t>It is the Company’s policy that the information in its public communications, including SEC filings, be full, fair, accurate, timely, and understandable. All directors, officers, employees and consultants who are involved in the Company’s disclosure process are responsible for acting in furtherance of this policy. In particular, these individuals are required to maintain familiarity with the disclosure requirements applicable to the Company and are prohibited from knowingly misrepresenting, omitting, or causing others to misrepresent or omit, material facts about the Company to others, whether within or outside the Company, including the Company’s independent auditors. Our disclosures should comply with the letter and the spirit of applicable law.</w:t>
      </w:r>
    </w:p>
    <w:p>
      <w:pPr>
        <w:spacing w:after="0" w:line="3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All directors, officers, employees and consultants must follow these guidelines:</w:t>
      </w:r>
    </w:p>
    <w:p>
      <w:pPr>
        <w:spacing w:after="0" w:line="247" w:lineRule="exact"/>
        <w:rPr>
          <w:sz w:val="20"/>
          <w:szCs w:val="20"/>
          <w:color w:val="auto"/>
        </w:rPr>
      </w:pPr>
    </w:p>
    <w:p>
      <w:pPr>
        <w:ind w:left="760" w:hanging="323"/>
        <w:spacing w:after="0"/>
        <w:tabs>
          <w:tab w:leader="none" w:pos="760" w:val="left"/>
        </w:tabs>
        <w:numPr>
          <w:ilvl w:val="0"/>
          <w:numId w:val="144"/>
        </w:numPr>
        <w:rPr>
          <w:rFonts w:ascii="Courier New" w:cs="Courier New" w:eastAsia="Courier New" w:hAnsi="Courier New"/>
          <w:sz w:val="22"/>
          <w:szCs w:val="22"/>
          <w:color w:val="auto"/>
        </w:rPr>
      </w:pPr>
      <w:r>
        <w:rPr>
          <w:rFonts w:ascii="Arial" w:cs="Arial" w:eastAsia="Arial" w:hAnsi="Arial"/>
          <w:sz w:val="22"/>
          <w:szCs w:val="22"/>
          <w:color w:val="auto"/>
        </w:rPr>
        <w:t>Act honestly, ethically and with integrity.</w:t>
      </w:r>
    </w:p>
    <w:p>
      <w:pPr>
        <w:spacing w:after="0" w:line="173" w:lineRule="exact"/>
        <w:rPr>
          <w:rFonts w:ascii="Courier New" w:cs="Courier New" w:eastAsia="Courier New" w:hAnsi="Courier New"/>
          <w:sz w:val="22"/>
          <w:szCs w:val="22"/>
          <w:color w:val="auto"/>
        </w:rPr>
      </w:pPr>
    </w:p>
    <w:p>
      <w:pPr>
        <w:ind w:left="760" w:hanging="323"/>
        <w:spacing w:after="0"/>
        <w:tabs>
          <w:tab w:leader="none" w:pos="760" w:val="left"/>
        </w:tabs>
        <w:numPr>
          <w:ilvl w:val="0"/>
          <w:numId w:val="144"/>
        </w:numPr>
        <w:rPr>
          <w:rFonts w:ascii="Courier New" w:cs="Courier New" w:eastAsia="Courier New" w:hAnsi="Courier New"/>
          <w:sz w:val="22"/>
          <w:szCs w:val="22"/>
          <w:color w:val="auto"/>
        </w:rPr>
      </w:pPr>
      <w:r>
        <w:rPr>
          <w:rFonts w:ascii="Arial" w:cs="Arial" w:eastAsia="Arial" w:hAnsi="Arial"/>
          <w:sz w:val="22"/>
          <w:szCs w:val="22"/>
          <w:color w:val="auto"/>
        </w:rPr>
        <w:t>Comply with the Code.</w:t>
      </w:r>
    </w:p>
    <w:p>
      <w:pPr>
        <w:spacing w:after="0" w:line="173" w:lineRule="exact"/>
        <w:rPr>
          <w:rFonts w:ascii="Courier New" w:cs="Courier New" w:eastAsia="Courier New" w:hAnsi="Courier New"/>
          <w:sz w:val="22"/>
          <w:szCs w:val="22"/>
          <w:color w:val="auto"/>
        </w:rPr>
      </w:pPr>
    </w:p>
    <w:p>
      <w:pPr>
        <w:ind w:left="760" w:right="800" w:hanging="320"/>
        <w:spacing w:after="0" w:line="230" w:lineRule="auto"/>
        <w:tabs>
          <w:tab w:leader="none" w:pos="749" w:val="left"/>
        </w:tabs>
        <w:numPr>
          <w:ilvl w:val="0"/>
          <w:numId w:val="144"/>
        </w:numPr>
        <w:rPr>
          <w:rFonts w:ascii="Courier New" w:cs="Courier New" w:eastAsia="Courier New" w:hAnsi="Courier New"/>
          <w:sz w:val="22"/>
          <w:szCs w:val="22"/>
          <w:color w:val="auto"/>
        </w:rPr>
      </w:pPr>
      <w:r>
        <w:rPr>
          <w:rFonts w:ascii="Arial" w:cs="Arial" w:eastAsia="Arial" w:hAnsi="Arial"/>
          <w:sz w:val="22"/>
          <w:szCs w:val="22"/>
          <w:color w:val="auto"/>
        </w:rPr>
        <w:t>Endeavor to ensure full, fair, timely, accurate and understandable disclosure in the Company’s filings with the SEC.</w:t>
      </w:r>
    </w:p>
    <w:p>
      <w:pPr>
        <w:spacing w:after="0" w:line="185" w:lineRule="exact"/>
        <w:rPr>
          <w:rFonts w:ascii="Courier New" w:cs="Courier New" w:eastAsia="Courier New" w:hAnsi="Courier New"/>
          <w:sz w:val="22"/>
          <w:szCs w:val="22"/>
          <w:color w:val="auto"/>
        </w:rPr>
      </w:pPr>
    </w:p>
    <w:p>
      <w:pPr>
        <w:jc w:val="both"/>
        <w:ind w:left="760" w:right="380" w:hanging="320"/>
        <w:spacing w:after="0" w:line="221" w:lineRule="auto"/>
        <w:tabs>
          <w:tab w:leader="none" w:pos="749" w:val="left"/>
        </w:tabs>
        <w:numPr>
          <w:ilvl w:val="0"/>
          <w:numId w:val="144"/>
        </w:numPr>
        <w:rPr>
          <w:rFonts w:ascii="Courier New" w:cs="Courier New" w:eastAsia="Courier New" w:hAnsi="Courier New"/>
          <w:sz w:val="22"/>
          <w:szCs w:val="22"/>
          <w:color w:val="auto"/>
        </w:rPr>
      </w:pPr>
      <w:r>
        <w:rPr>
          <w:rFonts w:ascii="Arial" w:cs="Arial" w:eastAsia="Arial" w:hAnsi="Arial"/>
          <w:sz w:val="22"/>
          <w:szCs w:val="22"/>
          <w:color w:val="auto"/>
        </w:rPr>
        <w:t>Through communication, make sure that others at the Company understand the Company’s obligations to the public and under the law with respect to its disclosures, including that results are never more important than compliance with the law.</w:t>
      </w:r>
    </w:p>
    <w:p>
      <w:pPr>
        <w:spacing w:after="0" w:line="187" w:lineRule="exact"/>
        <w:rPr>
          <w:rFonts w:ascii="Courier New" w:cs="Courier New" w:eastAsia="Courier New" w:hAnsi="Courier New"/>
          <w:sz w:val="22"/>
          <w:szCs w:val="22"/>
          <w:color w:val="auto"/>
        </w:rPr>
      </w:pPr>
    </w:p>
    <w:p>
      <w:pPr>
        <w:ind w:left="760" w:right="900" w:hanging="320"/>
        <w:spacing w:after="0" w:line="230" w:lineRule="auto"/>
        <w:tabs>
          <w:tab w:leader="none" w:pos="749" w:val="left"/>
        </w:tabs>
        <w:numPr>
          <w:ilvl w:val="0"/>
          <w:numId w:val="144"/>
        </w:numPr>
        <w:rPr>
          <w:rFonts w:ascii="Courier New" w:cs="Courier New" w:eastAsia="Courier New" w:hAnsi="Courier New"/>
          <w:sz w:val="22"/>
          <w:szCs w:val="22"/>
          <w:color w:val="auto"/>
        </w:rPr>
      </w:pPr>
      <w:r>
        <w:rPr>
          <w:rFonts w:ascii="Arial" w:cs="Arial" w:eastAsia="Arial" w:hAnsi="Arial"/>
          <w:sz w:val="22"/>
          <w:szCs w:val="22"/>
          <w:color w:val="auto"/>
        </w:rPr>
        <w:t>Encourage others at the Company to raise questions and concerns regarding the Company’s public disclosures and ensure that such questions and concerns are appropriately addressed.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40"/>
          </w:cols>
          <w:pgMar w:left="320" w:top="1414" w:right="539" w:bottom="1440" w:gutter="0" w:footer="0" w:header="0"/>
        </w:sectPr>
      </w:pPr>
    </w:p>
    <w:bookmarkStart w:id="221" w:name="page222"/>
    <w:bookmarkEnd w:id="221"/>
    <w:p>
      <w:pPr>
        <w:jc w:val="both"/>
        <w:ind w:left="760" w:right="60" w:hanging="323"/>
        <w:spacing w:after="0" w:line="216" w:lineRule="auto"/>
        <w:rPr>
          <w:sz w:val="20"/>
          <w:szCs w:val="20"/>
          <w:color w:val="auto"/>
        </w:rPr>
      </w:pPr>
      <w:r>
        <w:rPr>
          <w:rFonts w:ascii="Courier New" w:cs="Courier New" w:eastAsia="Courier New" w:hAnsi="Courier New"/>
          <w:sz w:val="22"/>
          <w:szCs w:val="22"/>
          <w:color w:val="auto"/>
        </w:rPr>
        <w:t xml:space="preserve">a. </w:t>
      </w:r>
      <w:r>
        <w:rPr>
          <w:rFonts w:ascii="Arial" w:cs="Arial" w:eastAsia="Arial" w:hAnsi="Arial"/>
          <w:sz w:val="22"/>
          <w:szCs w:val="22"/>
          <w:color w:val="auto"/>
        </w:rPr>
        <w:t>Provide the Company’s directors, officers, employees, consultants and advisors involved in the preparation of the</w:t>
      </w:r>
      <w:r>
        <w:rPr>
          <w:rFonts w:ascii="Courier New" w:cs="Courier New" w:eastAsia="Courier New" w:hAnsi="Courier New"/>
          <w:sz w:val="22"/>
          <w:szCs w:val="22"/>
          <w:color w:val="auto"/>
        </w:rPr>
        <w:t xml:space="preserve"> </w:t>
      </w:r>
      <w:r>
        <w:rPr>
          <w:rFonts w:ascii="Arial" w:cs="Arial" w:eastAsia="Arial" w:hAnsi="Arial"/>
          <w:sz w:val="22"/>
          <w:szCs w:val="22"/>
          <w:color w:val="auto"/>
        </w:rPr>
        <w:t>Company’s disclosures to the public with information that is accurate, complete, objective, relevant, timely and understandable.</w:t>
      </w:r>
    </w:p>
    <w:p>
      <w:pPr>
        <w:spacing w:after="0" w:line="186" w:lineRule="exact"/>
        <w:rPr>
          <w:sz w:val="20"/>
          <w:szCs w:val="20"/>
          <w:color w:val="auto"/>
        </w:rPr>
      </w:pPr>
    </w:p>
    <w:p>
      <w:pPr>
        <w:ind w:left="760" w:right="420" w:hanging="323"/>
        <w:spacing w:after="0" w:line="232" w:lineRule="auto"/>
        <w:rPr>
          <w:sz w:val="20"/>
          <w:szCs w:val="20"/>
          <w:color w:val="auto"/>
        </w:rPr>
      </w:pPr>
      <w:r>
        <w:rPr>
          <w:rFonts w:ascii="Courier New" w:cs="Courier New" w:eastAsia="Courier New" w:hAnsi="Courier New"/>
          <w:sz w:val="21"/>
          <w:szCs w:val="21"/>
          <w:color w:val="auto"/>
        </w:rPr>
        <w:t xml:space="preserve">b. </w:t>
      </w:r>
      <w:r>
        <w:rPr>
          <w:rFonts w:ascii="Arial" w:cs="Arial" w:eastAsia="Arial" w:hAnsi="Arial"/>
          <w:sz w:val="21"/>
          <w:szCs w:val="21"/>
          <w:color w:val="auto"/>
        </w:rPr>
        <w:t>Act in good faith, responsibly, and with due care, competence and diligence, without misrepresenting material</w:t>
      </w:r>
      <w:r>
        <w:rPr>
          <w:rFonts w:ascii="Courier New" w:cs="Courier New" w:eastAsia="Courier New" w:hAnsi="Courier New"/>
          <w:sz w:val="21"/>
          <w:szCs w:val="21"/>
          <w:color w:val="auto"/>
        </w:rPr>
        <w:t xml:space="preserve"> </w:t>
      </w:r>
      <w:r>
        <w:rPr>
          <w:rFonts w:ascii="Arial" w:cs="Arial" w:eastAsia="Arial" w:hAnsi="Arial"/>
          <w:sz w:val="21"/>
          <w:szCs w:val="21"/>
          <w:color w:val="auto"/>
        </w:rPr>
        <w:t>facts or allowing such person’s independent judgment to be subordinated by others.</w:t>
      </w:r>
    </w:p>
    <w:p>
      <w:pPr>
        <w:spacing w:after="0" w:line="226" w:lineRule="exact"/>
        <w:rPr>
          <w:sz w:val="20"/>
          <w:szCs w:val="20"/>
          <w:color w:val="auto"/>
        </w:rPr>
      </w:pPr>
    </w:p>
    <w:p>
      <w:pPr>
        <w:ind w:left="760" w:hanging="323"/>
        <w:spacing w:after="0"/>
        <w:tabs>
          <w:tab w:leader="none" w:pos="760" w:val="left"/>
        </w:tabs>
        <w:numPr>
          <w:ilvl w:val="1"/>
          <w:numId w:val="145"/>
        </w:numPr>
        <w:rPr>
          <w:rFonts w:ascii="Courier New" w:cs="Courier New" w:eastAsia="Courier New" w:hAnsi="Courier New"/>
          <w:sz w:val="22"/>
          <w:szCs w:val="22"/>
          <w:color w:val="auto"/>
        </w:rPr>
      </w:pPr>
      <w:r>
        <w:rPr>
          <w:rFonts w:ascii="Arial" w:cs="Arial" w:eastAsia="Arial" w:hAnsi="Arial"/>
          <w:sz w:val="22"/>
          <w:szCs w:val="22"/>
          <w:color w:val="auto"/>
        </w:rPr>
        <w:t>Proactively promote honest and ethical behavior among peers in the work environment.</w:t>
      </w:r>
    </w:p>
    <w:p>
      <w:pPr>
        <w:spacing w:after="0" w:line="173" w:lineRule="exact"/>
        <w:rPr>
          <w:rFonts w:ascii="Courier New" w:cs="Courier New" w:eastAsia="Courier New" w:hAnsi="Courier New"/>
          <w:sz w:val="22"/>
          <w:szCs w:val="22"/>
          <w:color w:val="auto"/>
        </w:rPr>
      </w:pPr>
    </w:p>
    <w:p>
      <w:pPr>
        <w:ind w:left="760" w:hanging="323"/>
        <w:spacing w:after="0"/>
        <w:tabs>
          <w:tab w:leader="none" w:pos="760" w:val="left"/>
        </w:tabs>
        <w:numPr>
          <w:ilvl w:val="1"/>
          <w:numId w:val="145"/>
        </w:numPr>
        <w:rPr>
          <w:rFonts w:ascii="Courier New" w:cs="Courier New" w:eastAsia="Courier New" w:hAnsi="Courier New"/>
          <w:sz w:val="22"/>
          <w:szCs w:val="22"/>
          <w:color w:val="auto"/>
        </w:rPr>
      </w:pPr>
      <w:r>
        <w:rPr>
          <w:rFonts w:ascii="Arial" w:cs="Arial" w:eastAsia="Arial" w:hAnsi="Arial"/>
          <w:sz w:val="22"/>
          <w:szCs w:val="22"/>
          <w:color w:val="auto"/>
        </w:rPr>
        <w:t>Achieve proper and responsible use of and control over Company assets and resources.</w:t>
      </w:r>
    </w:p>
    <w:p>
      <w:pPr>
        <w:spacing w:after="0" w:line="173" w:lineRule="exact"/>
        <w:rPr>
          <w:rFonts w:ascii="Courier New" w:cs="Courier New" w:eastAsia="Courier New" w:hAnsi="Courier New"/>
          <w:sz w:val="22"/>
          <w:szCs w:val="22"/>
          <w:color w:val="auto"/>
        </w:rPr>
      </w:pPr>
    </w:p>
    <w:p>
      <w:pPr>
        <w:ind w:left="760" w:hanging="320"/>
        <w:spacing w:after="0"/>
        <w:tabs>
          <w:tab w:leader="none" w:pos="760" w:val="left"/>
        </w:tabs>
        <w:numPr>
          <w:ilvl w:val="1"/>
          <w:numId w:val="145"/>
        </w:numPr>
        <w:rPr>
          <w:rFonts w:ascii="Courier New" w:cs="Courier New" w:eastAsia="Courier New" w:hAnsi="Courier New"/>
          <w:sz w:val="22"/>
          <w:szCs w:val="22"/>
          <w:color w:val="auto"/>
        </w:rPr>
      </w:pPr>
      <w:r>
        <w:rPr>
          <w:rFonts w:ascii="Arial" w:cs="Arial" w:eastAsia="Arial" w:hAnsi="Arial"/>
          <w:sz w:val="22"/>
          <w:szCs w:val="22"/>
          <w:color w:val="auto"/>
        </w:rPr>
        <w:t>Record or participate in the recording of entries in the Company’s books and records that are accurate.</w:t>
      </w:r>
    </w:p>
    <w:p>
      <w:pPr>
        <w:spacing w:after="0" w:line="186" w:lineRule="exact"/>
        <w:rPr>
          <w:rFonts w:ascii="Courier New" w:cs="Courier New" w:eastAsia="Courier New" w:hAnsi="Courier New"/>
          <w:sz w:val="22"/>
          <w:szCs w:val="22"/>
          <w:color w:val="auto"/>
        </w:rPr>
      </w:pPr>
    </w:p>
    <w:p>
      <w:pPr>
        <w:ind w:left="760" w:right="320" w:hanging="320"/>
        <w:spacing w:after="0" w:line="217" w:lineRule="auto"/>
        <w:tabs>
          <w:tab w:leader="none" w:pos="749" w:val="left"/>
        </w:tabs>
        <w:numPr>
          <w:ilvl w:val="1"/>
          <w:numId w:val="145"/>
        </w:numPr>
        <w:rPr>
          <w:rFonts w:ascii="Courier New" w:cs="Courier New" w:eastAsia="Courier New" w:hAnsi="Courier New"/>
          <w:sz w:val="22"/>
          <w:szCs w:val="22"/>
          <w:color w:val="auto"/>
        </w:rPr>
      </w:pPr>
      <w:r>
        <w:rPr>
          <w:rFonts w:ascii="Arial" w:cs="Arial" w:eastAsia="Arial" w:hAnsi="Arial"/>
          <w:sz w:val="22"/>
          <w:szCs w:val="22"/>
          <w:color w:val="auto"/>
        </w:rPr>
        <w:t>Comply with the Company’s disclosure controls and procedures, internal controls and procedures for financial reporting and other policy statements.</w:t>
      </w:r>
    </w:p>
    <w:p>
      <w:pPr>
        <w:spacing w:after="0" w:line="193" w:lineRule="exact"/>
        <w:rPr>
          <w:rFonts w:ascii="Courier New" w:cs="Courier New" w:eastAsia="Courier New" w:hAnsi="Courier New"/>
          <w:sz w:val="22"/>
          <w:szCs w:val="22"/>
          <w:color w:val="auto"/>
        </w:rPr>
      </w:pPr>
    </w:p>
    <w:p>
      <w:pPr>
        <w:ind w:left="760" w:hanging="647"/>
        <w:spacing w:after="0"/>
        <w:tabs>
          <w:tab w:leader="none" w:pos="76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Rules, and Regulations</w:t>
      </w:r>
    </w:p>
    <w:p>
      <w:pPr>
        <w:spacing w:after="0" w:line="266" w:lineRule="exact"/>
        <w:rPr>
          <w:sz w:val="20"/>
          <w:szCs w:val="20"/>
          <w:color w:val="auto"/>
        </w:rPr>
      </w:pPr>
    </w:p>
    <w:p>
      <w:pPr>
        <w:jc w:val="both"/>
        <w:ind w:left="120" w:firstLine="645"/>
        <w:spacing w:after="0" w:line="250" w:lineRule="auto"/>
        <w:rPr>
          <w:sz w:val="20"/>
          <w:szCs w:val="20"/>
          <w:color w:val="auto"/>
        </w:rPr>
      </w:pPr>
      <w:r>
        <w:rPr>
          <w:rFonts w:ascii="Arial" w:cs="Arial" w:eastAsia="Arial" w:hAnsi="Arial"/>
          <w:sz w:val="22"/>
          <w:szCs w:val="22"/>
          <w:color w:val="auto"/>
        </w:rPr>
        <w:t>It is the Company’s policy to comply with all applicable laws, rules, and regulations. Some laws carry criminal penalties. It is the personal responsibility of each director, officer, employee and consultant to adhere to the standards and restrictions imposed by those laws, rules, and regulations. The Company expects each director, officer, employee and consultant to refrain from any illegal, dishonest, or unethical conduct.</w:t>
      </w:r>
    </w:p>
    <w:p>
      <w:pPr>
        <w:spacing w:after="0" w:line="215" w:lineRule="exact"/>
        <w:rPr>
          <w:sz w:val="20"/>
          <w:szCs w:val="20"/>
          <w:color w:val="auto"/>
        </w:rPr>
      </w:pPr>
    </w:p>
    <w:p>
      <w:pPr>
        <w:jc w:val="both"/>
        <w:ind w:left="120" w:right="300" w:firstLine="645"/>
        <w:spacing w:after="0" w:line="294" w:lineRule="auto"/>
        <w:rPr>
          <w:sz w:val="20"/>
          <w:szCs w:val="20"/>
          <w:color w:val="auto"/>
        </w:rPr>
      </w:pPr>
      <w:r>
        <w:rPr>
          <w:rFonts w:ascii="Arial" w:cs="Arial" w:eastAsia="Arial" w:hAnsi="Arial"/>
          <w:sz w:val="19"/>
          <w:szCs w:val="19"/>
          <w:color w:val="auto"/>
        </w:rPr>
        <w:t>Generally, it is both illegal and against Company policy for any director, officer, employee and consultant who is aware of material nonpublic information relating to the Company, any of the Company’s customers or any other private or governmental issuer of securities to buy or sell any securities of those issuers, or recommend that another buy, sell or hold the securities of those issuers. It is the Company’s policy for all directors, officers, employees and consultants to comply with the Company’s Securities Trading Policy. Any director, officer, employee or consultant with questions regarding these types of transactions should contact the Compliance Officer.</w:t>
      </w:r>
    </w:p>
    <w:p>
      <w:pPr>
        <w:spacing w:after="0" w:line="170" w:lineRule="exact"/>
        <w:rPr>
          <w:sz w:val="20"/>
          <w:szCs w:val="20"/>
          <w:color w:val="auto"/>
        </w:rPr>
      </w:pPr>
    </w:p>
    <w:p>
      <w:pPr>
        <w:ind w:left="760" w:hanging="647"/>
        <w:spacing w:after="0"/>
        <w:tabs>
          <w:tab w:leader="none" w:pos="76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Duty to Report and Raise Questions and Concerns; Internal Reporting Procedure</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Each director, officer, employee, and consultant must report promptly to the Compliance Officer, as well as the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Director of Compliance of any involved Property, the existence (or good faith suspected existence) of any of the following:</w:t>
      </w:r>
    </w:p>
    <w:p>
      <w:pPr>
        <w:spacing w:after="0" w:line="250" w:lineRule="exact"/>
        <w:rPr>
          <w:sz w:val="20"/>
          <w:szCs w:val="20"/>
          <w:color w:val="auto"/>
        </w:rPr>
      </w:pPr>
    </w:p>
    <w:p>
      <w:pPr>
        <w:ind w:left="1420" w:right="20" w:hanging="332"/>
        <w:spacing w:after="0" w:line="250" w:lineRule="auto"/>
        <w:tabs>
          <w:tab w:leader="none" w:pos="141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Any outside association, interest, relationship or activity, as it arises, that actually, potentially or apparently involves a conflict of interest violation (or suspected violation) of the Code;</w:t>
      </w:r>
    </w:p>
    <w:p>
      <w:pPr>
        <w:spacing w:after="0" w:line="201" w:lineRule="exact"/>
        <w:rPr>
          <w:rFonts w:ascii="Arial" w:cs="Arial" w:eastAsia="Arial" w:hAnsi="Arial"/>
          <w:sz w:val="22"/>
          <w:szCs w:val="22"/>
          <w:color w:val="auto"/>
        </w:rPr>
      </w:pPr>
    </w:p>
    <w:p>
      <w:pPr>
        <w:ind w:left="1420" w:right="600" w:hanging="332"/>
        <w:spacing w:after="0" w:line="250" w:lineRule="auto"/>
        <w:tabs>
          <w:tab w:leader="none" w:pos="141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any action or inaction that does not comply with gaming laws or regulations in any jurisdiction in which the Company does business;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20"/>
          </w:cols>
          <w:pgMar w:left="320" w:top="1414" w:right="559" w:bottom="1440" w:gutter="0" w:footer="0" w:header="0"/>
        </w:sectPr>
      </w:pPr>
    </w:p>
    <w:bookmarkStart w:id="222" w:name="page223"/>
    <w:bookmarkEnd w:id="222"/>
    <w:p>
      <w:pPr>
        <w:ind w:left="1420" w:right="480" w:hanging="332"/>
        <w:spacing w:after="0" w:line="274" w:lineRule="auto"/>
        <w:tabs>
          <w:tab w:leader="none" w:pos="141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any action or inaction that does not comply with any condition or limitation placed on any license or approval granted by any Gaming Authority to the Company or any of its gaming operations;</w:t>
      </w:r>
    </w:p>
    <w:p>
      <w:pPr>
        <w:spacing w:after="0" w:line="177" w:lineRule="exact"/>
        <w:rPr>
          <w:rFonts w:ascii="Arial" w:cs="Arial" w:eastAsia="Arial" w:hAnsi="Arial"/>
          <w:sz w:val="21"/>
          <w:szCs w:val="21"/>
          <w:color w:val="auto"/>
        </w:rPr>
      </w:pPr>
    </w:p>
    <w:p>
      <w:pPr>
        <w:jc w:val="both"/>
        <w:ind w:left="1420" w:right="340" w:hanging="332"/>
        <w:spacing w:after="0"/>
        <w:tabs>
          <w:tab w:leader="none" w:pos="141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other event or circumstance which the employee, officer, director or consultant believes, in good faith, could impact the Company’s suitability for licensure, or may bring discredit to the Company or the gaming industry; and</w:t>
      </w:r>
    </w:p>
    <w:p>
      <w:pPr>
        <w:spacing w:after="0" w:line="226" w:lineRule="exact"/>
        <w:rPr>
          <w:rFonts w:ascii="Arial" w:cs="Arial" w:eastAsia="Arial" w:hAnsi="Arial"/>
          <w:sz w:val="22"/>
          <w:szCs w:val="22"/>
          <w:color w:val="auto"/>
        </w:rPr>
      </w:pPr>
    </w:p>
    <w:p>
      <w:pPr>
        <w:ind w:left="1400" w:hanging="315"/>
        <w:spacing w:after="0"/>
        <w:tabs>
          <w:tab w:leader="none" w:pos="14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violation of the Code.</w:t>
      </w:r>
    </w:p>
    <w:p>
      <w:pPr>
        <w:spacing w:after="0" w:line="220" w:lineRule="exact"/>
        <w:rPr>
          <w:sz w:val="20"/>
          <w:szCs w:val="20"/>
          <w:color w:val="auto"/>
        </w:rPr>
      </w:pPr>
    </w:p>
    <w:p>
      <w:pPr>
        <w:ind w:left="120" w:right="380"/>
        <w:spacing w:after="0" w:line="263" w:lineRule="auto"/>
        <w:rPr>
          <w:sz w:val="20"/>
          <w:szCs w:val="20"/>
          <w:color w:val="auto"/>
        </w:rPr>
      </w:pPr>
      <w:r>
        <w:rPr>
          <w:rFonts w:ascii="Arial" w:cs="Arial" w:eastAsia="Arial" w:hAnsi="Arial"/>
          <w:sz w:val="22"/>
          <w:szCs w:val="22"/>
          <w:color w:val="auto"/>
        </w:rPr>
        <w:t>Failure to report such relationships, activities, interests, non-compliance with gaming laws or regulations or violations of the Code will be a ground for disciplinary action.</w:t>
      </w:r>
    </w:p>
    <w:p>
      <w:pPr>
        <w:spacing w:after="0" w:line="215" w:lineRule="exact"/>
        <w:rPr>
          <w:sz w:val="20"/>
          <w:szCs w:val="20"/>
          <w:color w:val="auto"/>
        </w:rPr>
      </w:pPr>
    </w:p>
    <w:p>
      <w:pPr>
        <w:jc w:val="both"/>
        <w:ind w:left="120" w:right="40" w:firstLine="645"/>
        <w:spacing w:after="0" w:line="294" w:lineRule="auto"/>
        <w:rPr>
          <w:sz w:val="20"/>
          <w:szCs w:val="20"/>
          <w:color w:val="auto"/>
        </w:rPr>
      </w:pPr>
      <w:r>
        <w:rPr>
          <w:rFonts w:ascii="Arial" w:cs="Arial" w:eastAsia="Arial" w:hAnsi="Arial"/>
          <w:sz w:val="19"/>
          <w:szCs w:val="19"/>
          <w:color w:val="auto"/>
        </w:rPr>
        <w:t>In addition to the foregoing obligation to report to the Compliance Officer, employees who serve as Directors of Compliance shall also report such relationships, activities, interests, non-compliance with gaming laws or regulations or violations of the Code to the General Manager of the involved Property (unless the General Manager is the subject of, or otherwise involved in, such actual or potential violation). If, after consultation with the Compliance Officer and the General Manager, the Director of Compliance still maintains a good faith belief that the actual or potential violation has not been adequately addressed, he or she shall report such matter directly to the Company’s Compliance Committee.</w:t>
      </w:r>
    </w:p>
    <w:p>
      <w:pPr>
        <w:spacing w:after="0" w:line="176" w:lineRule="exact"/>
        <w:rPr>
          <w:sz w:val="20"/>
          <w:szCs w:val="20"/>
          <w:color w:val="auto"/>
        </w:rPr>
      </w:pPr>
    </w:p>
    <w:p>
      <w:pPr>
        <w:jc w:val="both"/>
        <w:ind w:left="120" w:right="20" w:firstLine="645"/>
        <w:spacing w:after="0" w:line="247" w:lineRule="auto"/>
        <w:rPr>
          <w:sz w:val="20"/>
          <w:szCs w:val="20"/>
          <w:color w:val="auto"/>
        </w:rPr>
      </w:pPr>
      <w:r>
        <w:rPr>
          <w:rFonts w:ascii="Arial" w:cs="Arial" w:eastAsia="Arial" w:hAnsi="Arial"/>
          <w:sz w:val="22"/>
          <w:szCs w:val="22"/>
          <w:color w:val="auto"/>
        </w:rPr>
        <w:t>Subject to the provisions of the Code, the Compliance Officer will review disclosures of any actual, potential or apparent violation of the Code with at least one member of the Company’s Compliance Committee and determine the appropriate manner by which the Company’s approval or disapproval would be provided. Each director, officer, employee, and consultant must cooperate fully in the review process by providing all information that the Compliance Officer deems necessary to conduct an effective review. Company actions with respect to the conflict of interest or potential conflict of interest will take into account the spirit of the Code.</w:t>
      </w:r>
    </w:p>
    <w:p>
      <w:pPr>
        <w:spacing w:after="0" w:line="220" w:lineRule="exact"/>
        <w:rPr>
          <w:sz w:val="20"/>
          <w:szCs w:val="20"/>
          <w:color w:val="auto"/>
        </w:rPr>
      </w:pPr>
    </w:p>
    <w:p>
      <w:pPr>
        <w:jc w:val="both"/>
        <w:ind w:left="120" w:right="40" w:firstLine="645"/>
        <w:spacing w:after="0" w:line="261" w:lineRule="auto"/>
        <w:rPr>
          <w:sz w:val="20"/>
          <w:szCs w:val="20"/>
          <w:color w:val="auto"/>
        </w:rPr>
      </w:pPr>
      <w:r>
        <w:rPr>
          <w:rFonts w:ascii="Arial" w:cs="Arial" w:eastAsia="Arial" w:hAnsi="Arial"/>
          <w:sz w:val="21"/>
          <w:szCs w:val="21"/>
          <w:color w:val="auto"/>
        </w:rPr>
        <w:t>Upon becoming employed by or associated with the Company each director, officer, employee, and consultant must sign a statement reflecting awareness and understanding of the Code, including the Conflicts of Interest Policy (“Ethics Statement”). At the same time, each director, officer, employee and consultant must report either the absence or presence of actual, potential or apparent conflicts of interest. The Company may from time to time request that any such person affirm his or her awareness of the Code and Conflicts of Interest Policy by delivering an updated Ethics Statement. A form of Ethics Statement is attached as Exhibit B hereto.</w:t>
      </w:r>
    </w:p>
    <w:p>
      <w:pPr>
        <w:spacing w:after="0" w:line="301" w:lineRule="exact"/>
        <w:rPr>
          <w:sz w:val="20"/>
          <w:szCs w:val="20"/>
          <w:color w:val="auto"/>
        </w:rPr>
      </w:pPr>
    </w:p>
    <w:p>
      <w:pPr>
        <w:ind w:left="120" w:firstLine="645"/>
        <w:spacing w:after="0" w:line="343" w:lineRule="auto"/>
        <w:rPr>
          <w:sz w:val="20"/>
          <w:szCs w:val="20"/>
          <w:color w:val="auto"/>
        </w:rPr>
      </w:pPr>
      <w:r>
        <w:rPr>
          <w:rFonts w:ascii="Arial" w:cs="Arial" w:eastAsia="Arial" w:hAnsi="Arial"/>
          <w:sz w:val="19"/>
          <w:szCs w:val="19"/>
          <w:color w:val="auto"/>
        </w:rPr>
        <w:t>All interests, relationships or participation in transactions disclosed by any director, officer, employee or consultant in accordance with this policy shall be held in confidence unless the best interests of the Company dictate otherwise.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recognizes the potentially serious impact of a false accusation.</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940"/>
          </w:cols>
          <w:pgMar w:left="320" w:top="1414" w:right="639" w:bottom="1440" w:gutter="0" w:footer="0" w:header="0"/>
        </w:sectPr>
      </w:pPr>
    </w:p>
    <w:bookmarkStart w:id="223" w:name="page224"/>
    <w:bookmarkEnd w:id="223"/>
    <w:p>
      <w:pPr>
        <w:ind w:left="120"/>
        <w:spacing w:after="0" w:line="263" w:lineRule="auto"/>
        <w:rPr>
          <w:sz w:val="20"/>
          <w:szCs w:val="20"/>
          <w:color w:val="auto"/>
        </w:rPr>
      </w:pPr>
      <w:r>
        <w:rPr>
          <w:rFonts w:ascii="Arial" w:cs="Arial" w:eastAsia="Arial" w:hAnsi="Arial"/>
          <w:sz w:val="22"/>
          <w:szCs w:val="22"/>
          <w:color w:val="auto"/>
        </w:rPr>
        <w:t>Employees, officers, directors and consultants are expected as part of the ethical standards required by this Code to act responsibly in reporting violations. Making a complaint without a</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360"/>
          </w:cols>
          <w:pgMar w:left="320" w:top="1360" w:right="1219" w:bottom="1440" w:gutter="0" w:footer="0" w:header="0"/>
        </w:sectPr>
      </w:pPr>
    </w:p>
    <w:bookmarkStart w:id="224" w:name="page225"/>
    <w:bookmarkEnd w:id="224"/>
    <w:p>
      <w:pPr>
        <w:jc w:val="both"/>
        <w:ind w:left="120" w:right="40"/>
        <w:spacing w:after="0" w:line="263" w:lineRule="auto"/>
        <w:rPr>
          <w:sz w:val="20"/>
          <w:szCs w:val="20"/>
          <w:color w:val="auto"/>
        </w:rPr>
      </w:pPr>
      <w:r>
        <w:rPr>
          <w:rFonts w:ascii="Arial" w:cs="Arial" w:eastAsia="Arial" w:hAnsi="Arial"/>
          <w:sz w:val="22"/>
          <w:szCs w:val="22"/>
          <w:color w:val="auto"/>
        </w:rPr>
        <w:t>good-faith basis is itself a violation of the Code. Any employee, officer, director or consultant who makes a complaint in bad faith will be subject to disciplinary action, up to and including separation of employment.</w:t>
      </w:r>
    </w:p>
    <w:p>
      <w:pPr>
        <w:spacing w:after="0" w:line="215" w:lineRule="exact"/>
        <w:rPr>
          <w:sz w:val="20"/>
          <w:szCs w:val="20"/>
          <w:color w:val="auto"/>
        </w:rPr>
      </w:pPr>
    </w:p>
    <w:p>
      <w:pPr>
        <w:ind w:left="120" w:right="160" w:firstLine="645"/>
        <w:spacing w:after="0" w:line="263" w:lineRule="auto"/>
        <w:rPr>
          <w:sz w:val="20"/>
          <w:szCs w:val="20"/>
          <w:color w:val="auto"/>
        </w:rPr>
      </w:pPr>
      <w:r>
        <w:rPr>
          <w:rFonts w:ascii="Arial" w:cs="Arial" w:eastAsia="Arial" w:hAnsi="Arial"/>
          <w:sz w:val="22"/>
          <w:szCs w:val="22"/>
          <w:color w:val="auto"/>
        </w:rPr>
        <w:t>Employees, officers, directors and consultants who report violations or suspected violations in good faith, as well as those who participate in investigations, will not be subject to retaliation of any kind.</w:t>
      </w:r>
    </w:p>
    <w:p>
      <w:pPr>
        <w:spacing w:after="0" w:line="215" w:lineRule="exact"/>
        <w:rPr>
          <w:sz w:val="20"/>
          <w:szCs w:val="20"/>
          <w:color w:val="auto"/>
        </w:rPr>
      </w:pPr>
    </w:p>
    <w:p>
      <w:pPr>
        <w:jc w:val="both"/>
        <w:ind w:left="120" w:right="40" w:firstLine="645"/>
        <w:spacing w:after="0" w:line="312" w:lineRule="auto"/>
        <w:rPr>
          <w:sz w:val="20"/>
          <w:szCs w:val="20"/>
          <w:color w:val="auto"/>
        </w:rPr>
      </w:pPr>
      <w:r>
        <w:rPr>
          <w:rFonts w:ascii="Arial" w:cs="Arial" w:eastAsia="Arial" w:hAnsi="Arial"/>
          <w:sz w:val="19"/>
          <w:szCs w:val="19"/>
          <w:color w:val="auto"/>
        </w:rPr>
        <w:t>Retaliation, which will be broadly construed, is generally defined as the use of authority or influence for the purpose of interfering with, or discouraging a report of, a violation of the Code or an investigation of an alleged Code violation. The Company will not permit retaliation where a report of an actual or potential violation was made in good faith.</w:t>
      </w:r>
    </w:p>
    <w:p>
      <w:pPr>
        <w:spacing w:after="0" w:line="160" w:lineRule="exact"/>
        <w:rPr>
          <w:sz w:val="20"/>
          <w:szCs w:val="20"/>
          <w:color w:val="auto"/>
        </w:rPr>
      </w:pPr>
    </w:p>
    <w:p>
      <w:pPr>
        <w:jc w:val="both"/>
        <w:ind w:left="120" w:right="80" w:firstLine="645"/>
        <w:spacing w:after="0" w:line="253" w:lineRule="auto"/>
        <w:rPr>
          <w:sz w:val="20"/>
          <w:szCs w:val="20"/>
          <w:color w:val="auto"/>
        </w:rPr>
      </w:pPr>
      <w:r>
        <w:rPr>
          <w:rFonts w:ascii="Arial" w:cs="Arial" w:eastAsia="Arial" w:hAnsi="Arial"/>
          <w:sz w:val="22"/>
          <w:szCs w:val="22"/>
          <w:color w:val="auto"/>
        </w:rPr>
        <w:t>If you believe someone has retaliated against you because of your good faith report of an actual or suspected violation, you should immediately advise Human Resources as well as the Compliance Officer, and the Director of Compliance of the involved Property.</w:t>
      </w:r>
    </w:p>
    <w:p>
      <w:pPr>
        <w:spacing w:after="0" w:line="220" w:lineRule="exact"/>
        <w:rPr>
          <w:sz w:val="20"/>
          <w:szCs w:val="20"/>
          <w:color w:val="auto"/>
        </w:rPr>
      </w:pPr>
    </w:p>
    <w:p>
      <w:pPr>
        <w:ind w:left="760" w:hanging="647"/>
        <w:spacing w:after="0"/>
        <w:tabs>
          <w:tab w:leader="none" w:pos="7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Accountability</w:t>
      </w:r>
    </w:p>
    <w:p>
      <w:pPr>
        <w:spacing w:after="0" w:line="253" w:lineRule="exact"/>
        <w:rPr>
          <w:sz w:val="20"/>
          <w:szCs w:val="20"/>
          <w:color w:val="auto"/>
        </w:rPr>
      </w:pPr>
    </w:p>
    <w:p>
      <w:pPr>
        <w:jc w:val="both"/>
        <w:ind w:left="120" w:right="20" w:firstLine="645"/>
        <w:spacing w:after="0" w:line="253" w:lineRule="auto"/>
        <w:rPr>
          <w:sz w:val="20"/>
          <w:szCs w:val="20"/>
          <w:color w:val="auto"/>
        </w:rPr>
      </w:pPr>
      <w:r>
        <w:rPr>
          <w:rFonts w:ascii="Arial" w:cs="Arial" w:eastAsia="Arial" w:hAnsi="Arial"/>
          <w:sz w:val="22"/>
          <w:szCs w:val="22"/>
          <w:color w:val="auto"/>
        </w:rPr>
        <w:t>All who are subject to the Code are responsible for complying with it and for reporting any known or suspected violations of it. The Company recognizes that such a mandate may not be meaningful without an accompanying provision for accountability and discipline of violations of the Code.</w:t>
      </w:r>
    </w:p>
    <w:p>
      <w:pPr>
        <w:spacing w:after="0" w:line="226" w:lineRule="exact"/>
        <w:rPr>
          <w:sz w:val="20"/>
          <w:szCs w:val="20"/>
          <w:color w:val="auto"/>
        </w:rPr>
      </w:pPr>
    </w:p>
    <w:p>
      <w:pPr>
        <w:jc w:val="both"/>
        <w:ind w:left="120" w:firstLine="645"/>
        <w:spacing w:after="0" w:line="247" w:lineRule="auto"/>
        <w:rPr>
          <w:sz w:val="20"/>
          <w:szCs w:val="20"/>
          <w:color w:val="auto"/>
        </w:rPr>
      </w:pPr>
      <w:r>
        <w:rPr>
          <w:rFonts w:ascii="Arial" w:cs="Arial" w:eastAsia="Arial" w:hAnsi="Arial"/>
          <w:sz w:val="22"/>
          <w:szCs w:val="22"/>
          <w:color w:val="auto"/>
        </w:rPr>
        <w:t>Subject to the terms of the Code, reported violations of the Code will be investigated, addressed promptly and treated confidentially to the extent possible. The Company will strive to impose discipline for each Code violation that fits the nature and particular facts of the violation. The Company uses a system of progressive discipline and generally will issue warnings or letters of reprimand for less significant, first-time violations. Violations of a more serious nature may result in termination of employment or suspension without pay, demotion, loss or reduction of bonus or option awards, or any combination of such disciplinary measures.</w:t>
      </w:r>
    </w:p>
    <w:p>
      <w:pPr>
        <w:spacing w:after="0" w:line="220" w:lineRule="exact"/>
        <w:rPr>
          <w:sz w:val="20"/>
          <w:szCs w:val="20"/>
          <w:color w:val="auto"/>
        </w:rPr>
      </w:pPr>
    </w:p>
    <w:p>
      <w:pPr>
        <w:jc w:val="both"/>
        <w:ind w:left="120" w:right="40" w:firstLine="645"/>
        <w:spacing w:after="0" w:line="248" w:lineRule="auto"/>
        <w:rPr>
          <w:sz w:val="20"/>
          <w:szCs w:val="20"/>
          <w:color w:val="auto"/>
        </w:rPr>
      </w:pPr>
      <w:r>
        <w:rPr>
          <w:rFonts w:ascii="Arial" w:cs="Arial" w:eastAsia="Arial" w:hAnsi="Arial"/>
          <w:sz w:val="22"/>
          <w:szCs w:val="22"/>
          <w:color w:val="auto"/>
        </w:rPr>
        <w:t>Violations of the Code that go unaddressed are treated by the SEC as implicit waivers of the Code. Accordingly, any violation that is discovered and not addressed will have to be disclosed in accordance with the rules and regulations of the SEC or applicable listing standards. In such cases, the SEC’s rules will require disclosure of the nature of any violation, the date of the violation and the name of the person who committed the violation. Such disclosure would be harmful to the Company and the individuals involved in the violation.</w:t>
      </w:r>
    </w:p>
    <w:p>
      <w:pPr>
        <w:spacing w:after="0" w:line="219" w:lineRule="exact"/>
        <w:rPr>
          <w:sz w:val="20"/>
          <w:szCs w:val="20"/>
          <w:color w:val="auto"/>
        </w:rPr>
      </w:pPr>
    </w:p>
    <w:p>
      <w:pPr>
        <w:jc w:val="both"/>
        <w:ind w:left="120" w:right="80" w:firstLine="645"/>
        <w:spacing w:after="0" w:line="250" w:lineRule="auto"/>
        <w:rPr>
          <w:sz w:val="20"/>
          <w:szCs w:val="20"/>
          <w:color w:val="auto"/>
        </w:rPr>
      </w:pPr>
      <w:r>
        <w:rPr>
          <w:rFonts w:ascii="Arial" w:cs="Arial" w:eastAsia="Arial" w:hAnsi="Arial"/>
          <w:sz w:val="22"/>
          <w:szCs w:val="22"/>
          <w:color w:val="auto"/>
        </w:rPr>
        <w:t>Subject to the provisions of the Code and the Company’s Whistleblower Policy and Procedures, all investigations of reported violations of the Code will be supervised by the Compliance Officer. A violation shall be deemed to have occurred and appropriate consequences shall be determined only by the Board of Directors, any of its committees, or such other person designated by the Board to act on its behalf.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40"/>
          </w:cols>
          <w:pgMar w:left="320" w:top="1414" w:right="539" w:bottom="1440" w:gutter="0" w:footer="0" w:header="0"/>
        </w:sectPr>
      </w:pPr>
    </w:p>
    <w:bookmarkStart w:id="225" w:name="page226"/>
    <w:bookmarkEnd w:id="225"/>
    <w:p>
      <w:pPr>
        <w:ind w:left="760" w:hanging="647"/>
        <w:spacing w:after="0"/>
        <w:tabs>
          <w:tab w:leader="none" w:pos="76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Protected Disclosures</w:t>
      </w:r>
    </w:p>
    <w:p>
      <w:pPr>
        <w:spacing w:after="0" w:line="266"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Nothing in this Code or any agreement between you and the Company:</w:t>
      </w:r>
    </w:p>
    <w:p>
      <w:pPr>
        <w:spacing w:after="0" w:line="246" w:lineRule="exact"/>
        <w:rPr>
          <w:rFonts w:ascii="Arial" w:cs="Arial" w:eastAsia="Arial" w:hAnsi="Arial"/>
          <w:sz w:val="22"/>
          <w:szCs w:val="22"/>
          <w:b w:val="1"/>
          <w:bCs w:val="1"/>
          <w:color w:val="auto"/>
        </w:rPr>
      </w:pPr>
    </w:p>
    <w:p>
      <w:pPr>
        <w:jc w:val="both"/>
        <w:ind w:left="1420" w:hanging="332"/>
        <w:spacing w:after="0" w:line="297" w:lineRule="auto"/>
        <w:tabs>
          <w:tab w:leader="none" w:pos="141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will preclude, prohibit or restrict you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w:t>
      </w:r>
    </w:p>
    <w:p>
      <w:pPr>
        <w:spacing w:after="0" w:line="173" w:lineRule="exact"/>
        <w:rPr>
          <w:rFonts w:ascii="Arial" w:cs="Arial" w:eastAsia="Arial" w:hAnsi="Arial"/>
          <w:sz w:val="19"/>
          <w:szCs w:val="19"/>
          <w:color w:val="auto"/>
        </w:rPr>
      </w:pPr>
    </w:p>
    <w:p>
      <w:pPr>
        <w:jc w:val="both"/>
        <w:ind w:left="1420" w:hanging="332"/>
        <w:spacing w:after="0" w:line="290" w:lineRule="auto"/>
        <w:tabs>
          <w:tab w:leader="none" w:pos="141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prohibits, or is intended in any manner to prohibit, you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Nothing in this Code or any agreement between you and the Company is intended to limit your right to receive an award (including, without limitation, a monetary reward) for information provided to the SEC. You do not need the prior authorization of anyone at the Company to make any such reports or disclosures, and you are not required to notify the Company that you have made such reports or disclosures.</w:t>
      </w:r>
    </w:p>
    <w:p>
      <w:pPr>
        <w:spacing w:after="0" w:line="155" w:lineRule="exact"/>
        <w:rPr>
          <w:rFonts w:ascii="Arial" w:cs="Arial" w:eastAsia="Arial" w:hAnsi="Arial"/>
          <w:sz w:val="19"/>
          <w:szCs w:val="19"/>
          <w:color w:val="auto"/>
        </w:rPr>
      </w:pPr>
    </w:p>
    <w:p>
      <w:pPr>
        <w:ind w:left="1400" w:hanging="315"/>
        <w:spacing w:after="0"/>
        <w:tabs>
          <w:tab w:leader="none" w:pos="140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is intended to interfere with or restrain the immunity provided under 18 U.S.C.</w:t>
      </w:r>
    </w:p>
    <w:p>
      <w:pPr>
        <w:spacing w:after="0" w:line="21" w:lineRule="exact"/>
        <w:rPr>
          <w:rFonts w:ascii="Arial" w:cs="Arial" w:eastAsia="Arial" w:hAnsi="Arial"/>
          <w:sz w:val="22"/>
          <w:szCs w:val="22"/>
          <w:color w:val="auto"/>
        </w:rPr>
      </w:pPr>
    </w:p>
    <w:p>
      <w:pPr>
        <w:jc w:val="both"/>
        <w:ind w:left="1420" w:right="40"/>
        <w:spacing w:after="0" w:line="290" w:lineRule="auto"/>
        <w:rPr>
          <w:rFonts w:ascii="Arial" w:cs="Arial" w:eastAsia="Arial" w:hAnsi="Arial"/>
          <w:sz w:val="22"/>
          <w:szCs w:val="22"/>
          <w:color w:val="auto"/>
        </w:rPr>
      </w:pPr>
      <w:r>
        <w:rPr>
          <w:rFonts w:ascii="Arial" w:cs="Arial" w:eastAsia="Arial" w:hAnsi="Arial"/>
          <w:sz w:val="19"/>
          <w:szCs w:val="19"/>
          <w:color w:val="auto"/>
        </w:rPr>
        <w:t>§1833(b). You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94" w:lineRule="exact"/>
        <w:rPr>
          <w:sz w:val="20"/>
          <w:szCs w:val="20"/>
          <w:color w:val="auto"/>
        </w:rPr>
      </w:pPr>
    </w:p>
    <w:p>
      <w:pPr>
        <w:ind w:left="120" w:right="60" w:firstLine="645"/>
        <w:spacing w:after="0" w:line="343" w:lineRule="auto"/>
        <w:rPr>
          <w:sz w:val="20"/>
          <w:szCs w:val="20"/>
          <w:color w:val="auto"/>
        </w:rPr>
      </w:pPr>
      <w:r>
        <w:rPr>
          <w:rFonts w:ascii="Arial" w:cs="Arial" w:eastAsia="Arial" w:hAnsi="Arial"/>
          <w:sz w:val="19"/>
          <w:szCs w:val="19"/>
          <w:color w:val="auto"/>
        </w:rPr>
        <w:t>The foregoing provisions regarding protected disclosures are intended to comply with all applicable laws. If any laws are adopted, amended or repealed after the date hereof, this Code shall be deemed to be amended to reflect the same.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Section II</w:t>
      </w:r>
    </w:p>
    <w:p>
      <w:pPr>
        <w:spacing w:after="0" w:line="341" w:lineRule="exact"/>
        <w:rPr>
          <w:sz w:val="20"/>
          <w:szCs w:val="20"/>
          <w:color w:val="auto"/>
        </w:rPr>
      </w:pPr>
    </w:p>
    <w:p>
      <w:pPr>
        <w:ind w:left="760" w:hanging="647"/>
        <w:spacing w:after="0"/>
        <w:tabs>
          <w:tab w:leader="none" w:pos="76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Opportunities</w:t>
      </w:r>
    </w:p>
    <w:p>
      <w:pPr>
        <w:spacing w:after="0" w:line="253" w:lineRule="exact"/>
        <w:rPr>
          <w:sz w:val="20"/>
          <w:szCs w:val="20"/>
          <w:color w:val="auto"/>
        </w:rPr>
      </w:pPr>
    </w:p>
    <w:p>
      <w:pPr>
        <w:jc w:val="both"/>
        <w:ind w:left="120" w:right="40" w:firstLine="645"/>
        <w:spacing w:after="0" w:line="253" w:lineRule="auto"/>
        <w:rPr>
          <w:sz w:val="20"/>
          <w:szCs w:val="20"/>
          <w:color w:val="auto"/>
        </w:rPr>
      </w:pPr>
      <w:r>
        <w:rPr>
          <w:rFonts w:ascii="Arial" w:cs="Arial" w:eastAsia="Arial" w:hAnsi="Arial"/>
          <w:sz w:val="22"/>
          <w:szCs w:val="22"/>
          <w:color w:val="auto"/>
        </w:rPr>
        <w:t>Directors, officers and employees owe a duty to the Company to advance the Company’s legitimate business interests when the opportunity to do so arises. Directors, officers and employees are prohibited from taking for themselves (or directing to a third party) a business</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20"/>
          </w:cols>
          <w:pgMar w:left="320" w:top="1408" w:right="559" w:bottom="1440" w:gutter="0" w:footer="0" w:header="0"/>
        </w:sectPr>
      </w:pPr>
    </w:p>
    <w:bookmarkStart w:id="226" w:name="page227"/>
    <w:bookmarkEnd w:id="226"/>
    <w:p>
      <w:pPr>
        <w:ind w:left="120"/>
        <w:spacing w:after="0" w:line="263" w:lineRule="auto"/>
        <w:rPr>
          <w:sz w:val="20"/>
          <w:szCs w:val="20"/>
          <w:color w:val="auto"/>
        </w:rPr>
      </w:pPr>
      <w:r>
        <w:rPr>
          <w:rFonts w:ascii="Arial" w:cs="Arial" w:eastAsia="Arial" w:hAnsi="Arial"/>
          <w:sz w:val="22"/>
          <w:szCs w:val="22"/>
          <w:color w:val="auto"/>
        </w:rPr>
        <w:t>opportunity that is discovered through the use of corporate property, information, or position unless previously approved by the Board. More generally, directors, officers, employees and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980"/>
          </w:cols>
          <w:pgMar w:left="320" w:top="1360" w:right="599" w:bottom="1440" w:gutter="0" w:footer="0" w:header="0"/>
        </w:sectPr>
      </w:pPr>
    </w:p>
    <w:bookmarkStart w:id="227" w:name="page228"/>
    <w:bookmarkEnd w:id="227"/>
    <w:p>
      <w:pPr>
        <w:ind w:left="120" w:right="360"/>
        <w:spacing w:after="0" w:line="263" w:lineRule="auto"/>
        <w:rPr>
          <w:sz w:val="20"/>
          <w:szCs w:val="20"/>
          <w:color w:val="auto"/>
        </w:rPr>
      </w:pPr>
      <w:r>
        <w:rPr>
          <w:rFonts w:ascii="Arial" w:cs="Arial" w:eastAsia="Arial" w:hAnsi="Arial"/>
          <w:sz w:val="22"/>
          <w:szCs w:val="22"/>
          <w:color w:val="auto"/>
        </w:rPr>
        <w:t>consultants are prohibited from using corporate property, information, or position for personal gain or competing with the Company.</w:t>
      </w:r>
    </w:p>
    <w:p>
      <w:pPr>
        <w:spacing w:after="0" w:line="215" w:lineRule="exact"/>
        <w:rPr>
          <w:sz w:val="20"/>
          <w:szCs w:val="20"/>
          <w:color w:val="auto"/>
        </w:rPr>
      </w:pPr>
    </w:p>
    <w:p>
      <w:pPr>
        <w:jc w:val="both"/>
        <w:ind w:left="120" w:right="100" w:firstLine="645"/>
        <w:spacing w:after="0" w:line="312" w:lineRule="auto"/>
        <w:rPr>
          <w:sz w:val="20"/>
          <w:szCs w:val="20"/>
          <w:color w:val="auto"/>
        </w:rPr>
      </w:pPr>
      <w:r>
        <w:rPr>
          <w:rFonts w:ascii="Arial" w:cs="Arial" w:eastAsia="Arial" w:hAnsi="Arial"/>
          <w:sz w:val="19"/>
          <w:szCs w:val="19"/>
          <w:color w:val="auto"/>
        </w:rPr>
        <w:t>Sometimes the line between personal and Company benefits may be difficult to discern. The only prudent course of conduct for our directors, officers, employees and consultants is to make sure that any use of Company property or services that is not solely for the benefit of the Company is approved beforehand through the Compliance Officer.</w:t>
      </w:r>
    </w:p>
    <w:p>
      <w:pPr>
        <w:spacing w:after="0" w:line="154" w:lineRule="exact"/>
        <w:rPr>
          <w:sz w:val="20"/>
          <w:szCs w:val="20"/>
          <w:color w:val="auto"/>
        </w:rPr>
      </w:pPr>
    </w:p>
    <w:p>
      <w:pPr>
        <w:ind w:left="760" w:hanging="647"/>
        <w:spacing w:after="0"/>
        <w:tabs>
          <w:tab w:leader="none" w:pos="76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66" w:lineRule="exact"/>
        <w:rPr>
          <w:sz w:val="20"/>
          <w:szCs w:val="20"/>
          <w:color w:val="auto"/>
        </w:rPr>
      </w:pPr>
    </w:p>
    <w:p>
      <w:pPr>
        <w:jc w:val="both"/>
        <w:ind w:left="120" w:firstLine="645"/>
        <w:spacing w:after="0" w:line="289" w:lineRule="auto"/>
        <w:rPr>
          <w:sz w:val="20"/>
          <w:szCs w:val="20"/>
          <w:color w:val="auto"/>
        </w:rPr>
      </w:pPr>
      <w:r>
        <w:rPr>
          <w:rFonts w:ascii="Arial" w:cs="Arial" w:eastAsia="Arial" w:hAnsi="Arial"/>
          <w:sz w:val="19"/>
          <w:szCs w:val="19"/>
          <w:color w:val="auto"/>
        </w:rPr>
        <w:t>In carrying out the Company’s business, directors, officers, employees and consultants often learn confidential or proprietary information about the Company, its customers, or other third parties. Directors, officers, employees and consultants must maintain the confidentiality of all information so entrusted to them, except when disclosure is authorized or legally mandated. Confidential or proprietary information includes, among other things, any non-public information concerning the Company, including its business relationships, financial performance, results or prospects, personnel information, guest information, compensation data, computer processes, customer lists, marketing strategies, pending projects or proposals, and any non-public information provided by a third party with the expectation that the information be kept confidential and used solely for the business purpose for which it was conveyed. Directors, officers, employees and consultants should refer to the Company’s Legal Department for more detailed guidance on this topic.</w:t>
      </w:r>
    </w:p>
    <w:p>
      <w:pPr>
        <w:spacing w:after="0" w:line="178" w:lineRule="exact"/>
        <w:rPr>
          <w:sz w:val="20"/>
          <w:szCs w:val="20"/>
          <w:color w:val="auto"/>
        </w:rPr>
      </w:pPr>
    </w:p>
    <w:p>
      <w:pPr>
        <w:ind w:left="760" w:hanging="647"/>
        <w:spacing w:after="0"/>
        <w:tabs>
          <w:tab w:leader="none" w:pos="7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Fair Dealing</w:t>
      </w:r>
    </w:p>
    <w:p>
      <w:pPr>
        <w:spacing w:after="0" w:line="212" w:lineRule="exact"/>
        <w:rPr>
          <w:sz w:val="20"/>
          <w:szCs w:val="20"/>
          <w:color w:val="auto"/>
        </w:rPr>
      </w:pPr>
    </w:p>
    <w:p>
      <w:pPr>
        <w:jc w:val="both"/>
        <w:ind w:left="120" w:right="40" w:firstLine="645"/>
        <w:spacing w:after="0" w:line="246" w:lineRule="auto"/>
        <w:rPr>
          <w:sz w:val="20"/>
          <w:szCs w:val="20"/>
          <w:color w:val="auto"/>
        </w:rPr>
      </w:pPr>
      <w:r>
        <w:rPr>
          <w:rFonts w:ascii="Arial" w:cs="Arial" w:eastAsia="Arial" w:hAnsi="Arial"/>
          <w:sz w:val="22"/>
          <w:szCs w:val="22"/>
          <w:color w:val="auto"/>
        </w:rPr>
        <w:t>The successful business operation and reputation of the Company are built upon the principals of fair dealing and ethical conduct. Our reputation for integrity and excellence requires careful observance of the spirit and letter of all applicable laws and regulations as well as a scrupulous regard for standards of conduct and personal integrity consistent with this Code. We do not seek competitive advantages through illegal or unethical business practices. Each director, officer, employee and consultant should endeavor to deal fairly with the Company’s customers, service providers, suppliers, competitors, and other employees. No director, officer, employee or consultant should take unfair advantage of anyone through manipulation, concealment, abuse of privileged information, misrepresentation of material facts, or any unfair dealing practice.</w:t>
      </w:r>
    </w:p>
    <w:p>
      <w:pPr>
        <w:spacing w:after="0" w:line="228" w:lineRule="exact"/>
        <w:rPr>
          <w:sz w:val="20"/>
          <w:szCs w:val="20"/>
          <w:color w:val="auto"/>
        </w:rPr>
      </w:pPr>
    </w:p>
    <w:p>
      <w:pPr>
        <w:ind w:left="760" w:hanging="647"/>
        <w:spacing w:after="0"/>
        <w:tabs>
          <w:tab w:leader="none" w:pos="76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Equal Employment Opportunity and Harassment</w:t>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Our focus in personnel decisions is on merit and contribution to the Company’s success.</w:t>
      </w:r>
    </w:p>
    <w:p>
      <w:pPr>
        <w:spacing w:after="0" w:line="21" w:lineRule="exact"/>
        <w:rPr>
          <w:sz w:val="20"/>
          <w:szCs w:val="20"/>
          <w:color w:val="auto"/>
        </w:rPr>
      </w:pPr>
    </w:p>
    <w:p>
      <w:pPr>
        <w:ind w:left="120" w:right="20"/>
        <w:spacing w:after="0" w:line="292" w:lineRule="auto"/>
        <w:rPr>
          <w:sz w:val="20"/>
          <w:szCs w:val="20"/>
          <w:color w:val="auto"/>
        </w:rPr>
      </w:pPr>
      <w:r>
        <w:rPr>
          <w:rFonts w:ascii="Arial" w:cs="Arial" w:eastAsia="Arial" w:hAnsi="Arial"/>
          <w:sz w:val="19"/>
          <w:szCs w:val="19"/>
          <w:color w:val="auto"/>
        </w:rPr>
        <w:t>Concern for the personal dignity and individual worth of every person is an indispensable element in the standard of conduct that we have set for ourselves. The Company affords equal employment opportunity to all qualified persons without regard to any impermissible criterion or circumstances. This means equal opportunity in regard to each individual’s terms and conditions of employment and in regard to any other matter that affects in any way the working environment of the employee. We do not tolerate or condone any type of discrimination prohibited by law, including harassment.</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980"/>
          </w:cols>
          <w:pgMar w:left="320" w:top="1414" w:right="599" w:bottom="1440" w:gutter="0" w:footer="0" w:header="0"/>
        </w:sectPr>
      </w:pPr>
    </w:p>
    <w:bookmarkStart w:id="228" w:name="page229"/>
    <w:bookmarkEnd w:id="228"/>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3"/>
          <w:szCs w:val="13"/>
          <w:color w:val="auto"/>
        </w:rPr>
        <w:t>#4814-7232-5410</w:t>
      </w:r>
    </w:p>
    <w:p>
      <w:pPr>
        <w:sectPr>
          <w:pgSz w:w="11900" w:h="16838" w:orient="portrait"/>
          <w:cols w:equalWidth="0" w:num="1">
            <w:col w:w="10139"/>
          </w:cols>
          <w:pgMar w:left="320" w:top="1440" w:right="1440" w:bottom="1440" w:gutter="0" w:footer="0" w:header="0"/>
        </w:sectPr>
      </w:pPr>
    </w:p>
    <w:bookmarkStart w:id="229" w:name="page230"/>
    <w:bookmarkEnd w:id="229"/>
    <w:p>
      <w:pPr>
        <w:ind w:left="760" w:hanging="647"/>
        <w:spacing w:after="0"/>
        <w:tabs>
          <w:tab w:leader="none" w:pos="7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Protection and Proper Use of Company Assets</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All employees, officers, directors, and consultants should protect the Company’s assets and ensure their efficient use.</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All Company assets should be used for legitimate business purposes only.</w:t>
      </w:r>
    </w:p>
    <w:p>
      <w:pPr>
        <w:spacing w:after="0" w:line="223" w:lineRule="exact"/>
        <w:rPr>
          <w:sz w:val="20"/>
          <w:szCs w:val="20"/>
          <w:color w:val="auto"/>
        </w:rPr>
      </w:pPr>
    </w:p>
    <w:p>
      <w:pPr>
        <w:ind w:left="760" w:hanging="647"/>
        <w:spacing w:after="0"/>
        <w:tabs>
          <w:tab w:leader="none" w:pos="76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Outside Activities/Employment</w:t>
      </w:r>
    </w:p>
    <w:p>
      <w:pPr>
        <w:spacing w:after="0" w:line="266" w:lineRule="exact"/>
        <w:rPr>
          <w:sz w:val="20"/>
          <w:szCs w:val="20"/>
          <w:color w:val="auto"/>
        </w:rPr>
      </w:pPr>
    </w:p>
    <w:p>
      <w:pPr>
        <w:jc w:val="both"/>
        <w:ind w:left="120" w:right="60" w:firstLine="645"/>
        <w:spacing w:after="0" w:line="250" w:lineRule="auto"/>
        <w:rPr>
          <w:sz w:val="20"/>
          <w:szCs w:val="20"/>
          <w:color w:val="auto"/>
        </w:rPr>
      </w:pPr>
      <w:r>
        <w:rPr>
          <w:rFonts w:ascii="Arial" w:cs="Arial" w:eastAsia="Arial" w:hAnsi="Arial"/>
          <w:sz w:val="22"/>
          <w:szCs w:val="22"/>
          <w:color w:val="auto"/>
        </w:rPr>
        <w:t>Non-salaried employees may hold a job with another employer so long as he or she notifies the Company and satisfactorily performs his or her job responsibilities with the Company. All employees will be judged by the same performance standards and will be subject to the Company’s scheduling demands, regardless of any existing outside work requirements.</w:t>
      </w:r>
    </w:p>
    <w:p>
      <w:pPr>
        <w:spacing w:after="0" w:line="215" w:lineRule="exact"/>
        <w:rPr>
          <w:sz w:val="20"/>
          <w:szCs w:val="20"/>
          <w:color w:val="auto"/>
        </w:rPr>
      </w:pPr>
    </w:p>
    <w:p>
      <w:pPr>
        <w:jc w:val="both"/>
        <w:ind w:left="120" w:right="40" w:firstLine="645"/>
        <w:spacing w:after="0" w:line="253" w:lineRule="auto"/>
        <w:rPr>
          <w:sz w:val="20"/>
          <w:szCs w:val="20"/>
          <w:color w:val="auto"/>
        </w:rPr>
      </w:pPr>
      <w:r>
        <w:rPr>
          <w:rFonts w:ascii="Arial" w:cs="Arial" w:eastAsia="Arial" w:hAnsi="Arial"/>
          <w:sz w:val="22"/>
          <w:szCs w:val="22"/>
          <w:color w:val="auto"/>
        </w:rPr>
        <w:t>If the Company determines that an employee’s outside work interferes with performance or the ability to meet the requirements of the Company as they are modified from time to time, the employee may be asked to terminate the outside employment if he or she wishes to remain employed by the Company.</w:t>
      </w:r>
    </w:p>
    <w:p>
      <w:pPr>
        <w:spacing w:after="0" w:line="226" w:lineRule="exact"/>
        <w:rPr>
          <w:sz w:val="20"/>
          <w:szCs w:val="20"/>
          <w:color w:val="auto"/>
        </w:rPr>
      </w:pPr>
    </w:p>
    <w:p>
      <w:pPr>
        <w:jc w:val="both"/>
        <w:ind w:left="120" w:right="60" w:firstLine="645"/>
        <w:spacing w:after="0" w:line="297" w:lineRule="auto"/>
        <w:rPr>
          <w:sz w:val="20"/>
          <w:szCs w:val="20"/>
          <w:color w:val="auto"/>
        </w:rPr>
      </w:pPr>
      <w:r>
        <w:rPr>
          <w:rFonts w:ascii="Arial" w:cs="Arial" w:eastAsia="Arial" w:hAnsi="Arial"/>
          <w:sz w:val="19"/>
          <w:szCs w:val="19"/>
          <w:color w:val="auto"/>
        </w:rPr>
        <w:t>Any outside association, including employment and activities with other entities, should not encroach on the time and attention any director, officer or employee is expected to devote to his or her Company duties and responsibilities, adversely affect the quality or quantity of his or her work product or entail his or her use of any Company assets, including its real and personal property, or imply (without the Company’s approval) the Company’s sponsorship or support. In addition, under no circumstances is any director, officer or employee permitted to compete with the Company.</w:t>
      </w: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Section III</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Waivers and Amendments of The Code</w:t>
      </w:r>
    </w:p>
    <w:p>
      <w:pPr>
        <w:spacing w:after="0" w:line="266" w:lineRule="exact"/>
        <w:rPr>
          <w:sz w:val="20"/>
          <w:szCs w:val="20"/>
          <w:color w:val="auto"/>
        </w:rPr>
      </w:pPr>
    </w:p>
    <w:p>
      <w:pPr>
        <w:jc w:val="both"/>
        <w:ind w:left="120" w:firstLine="645"/>
        <w:spacing w:after="0" w:line="246" w:lineRule="auto"/>
        <w:rPr>
          <w:sz w:val="20"/>
          <w:szCs w:val="20"/>
          <w:color w:val="auto"/>
        </w:rPr>
      </w:pPr>
      <w:r>
        <w:rPr>
          <w:rFonts w:ascii="Arial" w:cs="Arial" w:eastAsia="Arial" w:hAnsi="Arial"/>
          <w:sz w:val="22"/>
          <w:szCs w:val="22"/>
          <w:color w:val="auto"/>
        </w:rPr>
        <w:t>From time to time, the Board may amend the Code or waive certain provisions of the Code. Any such amendment shall be disclosed in the manner and within the time required by applicable laws, regulations, rules and listing standards. Any requests for a waiver of any provision of the Code must be submitted in writing to the Compliance Officer for review. If a waiver of any provision of the Code is granted, the Company must publicly disclose the nature of the granted waiver, including any implicit waiver, the name of the person requesting the waiver, the date of the waiver and any other disclosures as and to the extent required by any rule of the SEC or applicable listing standard. Waivers of any provision of the Code may be made only by the Board.</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Section IV</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Anonymous Reporting of Violations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60"/>
          </w:cols>
          <w:pgMar w:left="320" w:top="1408" w:right="519" w:bottom="1440" w:gutter="0" w:footer="0" w:header="0"/>
        </w:sectPr>
      </w:pPr>
    </w:p>
    <w:bookmarkStart w:id="230" w:name="page231"/>
    <w:bookmarkEnd w:id="230"/>
    <w:p>
      <w:pPr>
        <w:spacing w:after="0" w:line="123" w:lineRule="exact"/>
        <w:rPr>
          <w:sz w:val="20"/>
          <w:szCs w:val="20"/>
          <w:color w:val="auto"/>
        </w:rPr>
      </w:pPr>
    </w:p>
    <w:p>
      <w:pPr>
        <w:jc w:val="both"/>
        <w:ind w:left="120" w:firstLine="645"/>
        <w:spacing w:after="0" w:line="250" w:lineRule="auto"/>
        <w:rPr>
          <w:sz w:val="20"/>
          <w:szCs w:val="20"/>
          <w:color w:val="auto"/>
        </w:rPr>
      </w:pPr>
      <w:r>
        <w:rPr>
          <w:rFonts w:ascii="Arial" w:cs="Arial" w:eastAsia="Arial" w:hAnsi="Arial"/>
          <w:sz w:val="22"/>
          <w:szCs w:val="22"/>
          <w:color w:val="auto"/>
        </w:rPr>
        <w:t>Any violation of the Code and any violation by the Company or its directors, officers, employees or consultants of the securities laws, rules or regulations or other laws, rules or regulations applicable to the Company may be reported anonymously using any one of the methods described in the Company’s Whistleblower Hotline Policy and Procedures, including,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840"/>
          </w:cols>
          <w:pgMar w:left="320" w:top="1440" w:right="739" w:bottom="1440" w:gutter="0" w:footer="0" w:header="0"/>
        </w:sectPr>
      </w:pPr>
    </w:p>
    <w:bookmarkStart w:id="231" w:name="page232"/>
    <w:bookmarkEnd w:id="231"/>
    <w:p>
      <w:pPr>
        <w:jc w:val="both"/>
        <w:ind w:left="120"/>
        <w:spacing w:after="0" w:line="312" w:lineRule="auto"/>
        <w:rPr>
          <w:sz w:val="20"/>
          <w:szCs w:val="20"/>
          <w:color w:val="auto"/>
        </w:rPr>
      </w:pPr>
      <w:r>
        <w:rPr>
          <w:rFonts w:ascii="Arial" w:cs="Arial" w:eastAsia="Arial" w:hAnsi="Arial"/>
          <w:sz w:val="19"/>
          <w:szCs w:val="19"/>
          <w:color w:val="auto"/>
        </w:rPr>
        <w:t>without limitation, the making of a phone call to a whistleblower hotline at 800-418-6482, extension 687. All such calls shall be subject to the Company’s Whistleblower Hotline Policy and Procedures. A copy of the Company’s Whistleblower Hotline Policy and Procedures is available on the Company’s website, in employee break rooms and on employee bulletin boards.</w:t>
      </w:r>
    </w:p>
    <w:p>
      <w:pPr>
        <w:spacing w:after="0" w:line="168"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Section V</w:t>
      </w: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53" w:lineRule="exact"/>
        <w:rPr>
          <w:sz w:val="20"/>
          <w:szCs w:val="20"/>
          <w:color w:val="auto"/>
        </w:rPr>
      </w:pPr>
    </w:p>
    <w:p>
      <w:pPr>
        <w:jc w:val="both"/>
        <w:ind w:left="120" w:firstLine="645"/>
        <w:spacing w:after="0" w:line="312" w:lineRule="auto"/>
        <w:rPr>
          <w:sz w:val="20"/>
          <w:szCs w:val="20"/>
          <w:color w:val="auto"/>
        </w:rPr>
      </w:pPr>
      <w:r>
        <w:rPr>
          <w:rFonts w:ascii="Arial" w:cs="Arial" w:eastAsia="Arial" w:hAnsi="Arial"/>
          <w:sz w:val="19"/>
          <w:szCs w:val="19"/>
          <w:color w:val="auto"/>
        </w:rPr>
        <w:t>Any proposed transaction between the Company and a related party, or in which a related party would have a direct or indirect material interest, must be promptly disclosed to the Compliance Committee of the Company. The Compliance Committee is required to disclose such proposed transactions promptly to the Company’s Audit Committee.</w:t>
      </w:r>
    </w:p>
    <w:p>
      <w:pPr>
        <w:spacing w:after="0" w:line="174" w:lineRule="exact"/>
        <w:rPr>
          <w:sz w:val="20"/>
          <w:szCs w:val="20"/>
          <w:color w:val="auto"/>
        </w:rPr>
      </w:pPr>
    </w:p>
    <w:p>
      <w:pPr>
        <w:jc w:val="both"/>
        <w:ind w:left="120" w:right="40" w:firstLine="645"/>
        <w:spacing w:after="0" w:line="265" w:lineRule="auto"/>
        <w:rPr>
          <w:sz w:val="20"/>
          <w:szCs w:val="20"/>
          <w:color w:val="auto"/>
        </w:rPr>
      </w:pPr>
      <w:r>
        <w:rPr>
          <w:rFonts w:ascii="Arial" w:cs="Arial" w:eastAsia="Arial" w:hAnsi="Arial"/>
          <w:sz w:val="21"/>
          <w:szCs w:val="21"/>
          <w:color w:val="auto"/>
        </w:rPr>
        <w:t>Transactions with related parties must be approved by the Audit Committee of the Board of Directors. Any director having an interest in the transaction is not permitted to vote on such transaction. The Audit Committee will determine whether or not to approve such transaction on a case by case basis and in accordance with the provisions of the Audit Committee Charter and the Code. A “related party” is any of the following:</w:t>
      </w:r>
    </w:p>
    <w:p>
      <w:pPr>
        <w:spacing w:after="0" w:line="202" w:lineRule="exact"/>
        <w:rPr>
          <w:sz w:val="20"/>
          <w:szCs w:val="20"/>
          <w:color w:val="auto"/>
        </w:rPr>
      </w:pPr>
    </w:p>
    <w:p>
      <w:pPr>
        <w:ind w:left="1400" w:hanging="639"/>
        <w:spacing w:after="0"/>
        <w:tabs>
          <w:tab w:leader="none" w:pos="14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 executive officer of the Company;</w:t>
      </w:r>
    </w:p>
    <w:p>
      <w:pPr>
        <w:spacing w:after="0" w:line="206" w:lineRule="exact"/>
        <w:rPr>
          <w:rFonts w:ascii="Arial" w:cs="Arial" w:eastAsia="Arial" w:hAnsi="Arial"/>
          <w:sz w:val="22"/>
          <w:szCs w:val="22"/>
          <w:color w:val="auto"/>
        </w:rPr>
      </w:pPr>
    </w:p>
    <w:p>
      <w:pPr>
        <w:ind w:left="1400" w:hanging="639"/>
        <w:spacing w:after="0"/>
        <w:tabs>
          <w:tab w:leader="none" w:pos="14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 director (or director nominee) of the Company;</w:t>
      </w:r>
    </w:p>
    <w:p>
      <w:pPr>
        <w:spacing w:after="0" w:line="219" w:lineRule="exact"/>
        <w:rPr>
          <w:rFonts w:ascii="Arial" w:cs="Arial" w:eastAsia="Arial" w:hAnsi="Arial"/>
          <w:sz w:val="22"/>
          <w:szCs w:val="22"/>
          <w:color w:val="auto"/>
        </w:rPr>
      </w:pPr>
    </w:p>
    <w:p>
      <w:pPr>
        <w:ind w:left="1400" w:hanging="636"/>
        <w:spacing w:after="0"/>
        <w:tabs>
          <w:tab w:leader="none" w:pos="14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 immediate family member of any executive officer or director (or director nominee);</w:t>
      </w:r>
    </w:p>
    <w:p>
      <w:pPr>
        <w:spacing w:after="0" w:line="246" w:lineRule="exact"/>
        <w:rPr>
          <w:rFonts w:ascii="Arial" w:cs="Arial" w:eastAsia="Arial" w:hAnsi="Arial"/>
          <w:sz w:val="22"/>
          <w:szCs w:val="22"/>
          <w:color w:val="auto"/>
        </w:rPr>
      </w:pPr>
    </w:p>
    <w:p>
      <w:pPr>
        <w:ind w:left="1400" w:hanging="636"/>
        <w:spacing w:after="0"/>
        <w:tabs>
          <w:tab w:leader="none" w:pos="14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 beneficial owner of five percent or more of any class of the Company’s voting securities;</w:t>
      </w:r>
    </w:p>
    <w:p>
      <w:pPr>
        <w:spacing w:after="0" w:line="246" w:lineRule="exact"/>
        <w:rPr>
          <w:rFonts w:ascii="Arial" w:cs="Arial" w:eastAsia="Arial" w:hAnsi="Arial"/>
          <w:sz w:val="22"/>
          <w:szCs w:val="22"/>
          <w:color w:val="auto"/>
        </w:rPr>
      </w:pPr>
    </w:p>
    <w:p>
      <w:pPr>
        <w:ind w:left="1420" w:right="280" w:hanging="656"/>
        <w:spacing w:after="0" w:line="263" w:lineRule="auto"/>
        <w:tabs>
          <w:tab w:leader="none" w:pos="141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 entity in which one of the above described persons has a substantial ownership interest or control of such entity; or</w:t>
      </w:r>
    </w:p>
    <w:p>
      <w:pPr>
        <w:spacing w:after="0" w:line="201" w:lineRule="exact"/>
        <w:rPr>
          <w:rFonts w:ascii="Arial" w:cs="Arial" w:eastAsia="Arial" w:hAnsi="Arial"/>
          <w:sz w:val="22"/>
          <w:szCs w:val="22"/>
          <w:color w:val="auto"/>
        </w:rPr>
      </w:pPr>
    </w:p>
    <w:p>
      <w:pPr>
        <w:ind w:left="1420" w:right="1480" w:hanging="656"/>
        <w:spacing w:after="0" w:line="250" w:lineRule="auto"/>
        <w:tabs>
          <w:tab w:leader="none" w:pos="141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any other person or entity that would be deemed to be a related person under Item 404 of SEC Regulation S-K or applicable Nasdaq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Adopted by Board of Directors on October 31,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20"/>
          </w:cols>
          <w:pgMar w:left="320" w:top="1414" w:right="559" w:bottom="1440" w:gutter="0" w:footer="0" w:header="0"/>
        </w:sectPr>
      </w:pPr>
    </w:p>
    <w:bookmarkStart w:id="232" w:name="page233"/>
    <w:bookmarkEnd w:id="232"/>
    <w:p>
      <w:pPr>
        <w:ind w:left="7400"/>
        <w:spacing w:after="0"/>
        <w:rPr>
          <w:sz w:val="20"/>
          <w:szCs w:val="20"/>
          <w:color w:val="auto"/>
        </w:rPr>
      </w:pPr>
      <w:r>
        <w:rPr>
          <w:rFonts w:ascii="Arial" w:cs="Arial" w:eastAsia="Arial" w:hAnsi="Arial"/>
          <w:sz w:val="22"/>
          <w:szCs w:val="22"/>
          <w:b w:val="1"/>
          <w:bCs w:val="1"/>
          <w:color w:val="auto"/>
        </w:rPr>
        <w:t>EXHIBIT A</w:t>
      </w:r>
    </w:p>
    <w:p>
      <w:pPr>
        <w:spacing w:after="0" w:line="355"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CAESARS ENTERTAINMENT, INC. CONFLICTS OF</w:t>
      </w:r>
    </w:p>
    <w:p>
      <w:pPr>
        <w:spacing w:after="0" w:line="206"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INTEREST POLICY</w:t>
      </w:r>
    </w:p>
    <w:p>
      <w:pPr>
        <w:spacing w:after="0" w:line="112" w:lineRule="exact"/>
        <w:rPr>
          <w:sz w:val="20"/>
          <w:szCs w:val="20"/>
          <w:color w:val="auto"/>
        </w:rPr>
      </w:pPr>
    </w:p>
    <w:p>
      <w:pPr>
        <w:ind w:left="760" w:hanging="647"/>
        <w:spacing w:after="0"/>
        <w:tabs>
          <w:tab w:leader="none" w:pos="7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GENERAL STATEMENT OF POLICY</w:t>
      </w:r>
    </w:p>
    <w:p>
      <w:pPr>
        <w:spacing w:after="0" w:line="334" w:lineRule="exact"/>
        <w:rPr>
          <w:sz w:val="20"/>
          <w:szCs w:val="20"/>
          <w:color w:val="auto"/>
        </w:rPr>
      </w:pPr>
    </w:p>
    <w:p>
      <w:pPr>
        <w:jc w:val="both"/>
        <w:ind w:left="120" w:firstLine="645"/>
        <w:spacing w:after="0" w:line="259" w:lineRule="auto"/>
        <w:rPr>
          <w:sz w:val="20"/>
          <w:szCs w:val="20"/>
          <w:color w:val="auto"/>
        </w:rPr>
      </w:pPr>
      <w:r>
        <w:rPr>
          <w:rFonts w:ascii="Arial" w:cs="Arial" w:eastAsia="Arial" w:hAnsi="Arial"/>
          <w:sz w:val="21"/>
          <w:szCs w:val="21"/>
          <w:color w:val="auto"/>
        </w:rPr>
        <w:t>It is the policy of Caesars Entertainment, Inc. and its subsidiaries (the “Company”) that directors, officers and employees (“covered persons”) at all levels be free from any interest, influence or relationship that might conflict, or appear to conflict, with the best interests of the Company, and that they perform their work with undivided loyalty as measured by the highest standards of law and ethics. The existence of an actual or potential conflict of interest depends on specific facts. The principles discussed here are intended to alert covered persons to the possibilities and furnish general guidance. In any uncertain situation, the covered persons should immediately discuss the matter fully and frankly with his/her supervisor. Where there is any doubt as to the existence of a conflict of interest, the situation should be disclosed fully, in writing, to the Company Compliance Officer.</w:t>
      </w:r>
    </w:p>
    <w:p>
      <w:pPr>
        <w:spacing w:after="0" w:line="218" w:lineRule="exact"/>
        <w:rPr>
          <w:sz w:val="20"/>
          <w:szCs w:val="20"/>
          <w:color w:val="auto"/>
        </w:rPr>
      </w:pPr>
    </w:p>
    <w:p>
      <w:pPr>
        <w:ind w:left="760" w:hanging="647"/>
        <w:spacing w:after="0"/>
        <w:tabs>
          <w:tab w:leader="none" w:pos="76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SCOPE OF COVERAGE</w:t>
      </w:r>
    </w:p>
    <w:p>
      <w:pPr>
        <w:spacing w:after="0" w:line="253" w:lineRule="exact"/>
        <w:rPr>
          <w:sz w:val="20"/>
          <w:szCs w:val="20"/>
          <w:color w:val="auto"/>
        </w:rPr>
      </w:pPr>
    </w:p>
    <w:p>
      <w:pPr>
        <w:jc w:val="both"/>
        <w:ind w:left="120" w:right="60" w:firstLine="645"/>
        <w:spacing w:after="0" w:line="265" w:lineRule="auto"/>
        <w:rPr>
          <w:sz w:val="20"/>
          <w:szCs w:val="20"/>
          <w:color w:val="auto"/>
        </w:rPr>
      </w:pPr>
      <w:r>
        <w:rPr>
          <w:rFonts w:ascii="Arial" w:cs="Arial" w:eastAsia="Arial" w:hAnsi="Arial"/>
          <w:sz w:val="21"/>
          <w:szCs w:val="21"/>
          <w:color w:val="auto"/>
        </w:rPr>
        <w:t>This policy applies to both direct and indirect interests of a covered person and members of his or her immediate family. It extends to transactions by any person who may act on behalf of such covered person or family members in connection with such interests. In general, a covered person will be regarded as having a beneficial interest in any property owned or any transactions entered into by such covered person’s spouse or minor children.</w:t>
      </w:r>
    </w:p>
    <w:p>
      <w:pPr>
        <w:spacing w:after="0" w:line="216" w:lineRule="exact"/>
        <w:rPr>
          <w:sz w:val="20"/>
          <w:szCs w:val="20"/>
          <w:color w:val="auto"/>
        </w:rPr>
      </w:pPr>
    </w:p>
    <w:p>
      <w:pPr>
        <w:ind w:left="120" w:right="580" w:firstLine="645"/>
        <w:spacing w:after="0" w:line="263" w:lineRule="auto"/>
        <w:rPr>
          <w:sz w:val="20"/>
          <w:szCs w:val="20"/>
          <w:color w:val="auto"/>
        </w:rPr>
      </w:pPr>
      <w:r>
        <w:rPr>
          <w:rFonts w:ascii="Arial" w:cs="Arial" w:eastAsia="Arial" w:hAnsi="Arial"/>
          <w:sz w:val="22"/>
          <w:szCs w:val="22"/>
          <w:color w:val="auto"/>
        </w:rPr>
        <w:t>Further, this policy is applicable to all parts of the Company including all domestic and foreign subsidiaries and affiliated companies.</w:t>
      </w:r>
    </w:p>
    <w:p>
      <w:pPr>
        <w:spacing w:after="0" w:line="196" w:lineRule="exact"/>
        <w:rPr>
          <w:sz w:val="20"/>
          <w:szCs w:val="20"/>
          <w:color w:val="auto"/>
        </w:rPr>
      </w:pPr>
    </w:p>
    <w:p>
      <w:pPr>
        <w:ind w:left="1400" w:hanging="752"/>
        <w:spacing w:after="0"/>
        <w:tabs>
          <w:tab w:leader="none" w:pos="140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Common Conflict of Interest Situations</w:t>
      </w:r>
    </w:p>
    <w:p>
      <w:pPr>
        <w:spacing w:after="0" w:line="253" w:lineRule="exact"/>
        <w:rPr>
          <w:sz w:val="20"/>
          <w:szCs w:val="20"/>
          <w:color w:val="auto"/>
        </w:rPr>
      </w:pPr>
    </w:p>
    <w:p>
      <w:pPr>
        <w:jc w:val="both"/>
        <w:ind w:left="120" w:right="60" w:firstLine="645"/>
        <w:spacing w:after="0" w:line="312" w:lineRule="auto"/>
        <w:rPr>
          <w:sz w:val="20"/>
          <w:szCs w:val="20"/>
          <w:color w:val="auto"/>
        </w:rPr>
      </w:pPr>
      <w:r>
        <w:rPr>
          <w:rFonts w:ascii="Arial" w:cs="Arial" w:eastAsia="Arial" w:hAnsi="Arial"/>
          <w:sz w:val="19"/>
          <w:szCs w:val="19"/>
          <w:color w:val="auto"/>
        </w:rPr>
        <w:t>The following sections describe a number of common categories of conflicts of interest. They illustrate the application of Company policy to certain particular situations where conflicts are most likely to arise. They are not all-inclusive, however, and do not cover all possible situations where conflicts might occur in violation of Company policy:</w:t>
      </w:r>
    </w:p>
    <w:p>
      <w:pPr>
        <w:spacing w:after="0" w:line="168" w:lineRule="exact"/>
        <w:rPr>
          <w:sz w:val="20"/>
          <w:szCs w:val="20"/>
          <w:color w:val="auto"/>
        </w:rPr>
      </w:pPr>
    </w:p>
    <w:p>
      <w:pPr>
        <w:ind w:left="1400" w:hanging="813"/>
        <w:spacing w:after="0"/>
        <w:tabs>
          <w:tab w:leader="none" w:pos="140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Relationships with Vendors, Purchasers and Competitors of the Company</w:t>
      </w:r>
    </w:p>
    <w:p>
      <w:pPr>
        <w:spacing w:after="0" w:line="253" w:lineRule="exact"/>
        <w:rPr>
          <w:sz w:val="20"/>
          <w:szCs w:val="20"/>
          <w:color w:val="auto"/>
        </w:rPr>
      </w:pPr>
    </w:p>
    <w:p>
      <w:pPr>
        <w:jc w:val="both"/>
        <w:ind w:left="120" w:right="60" w:firstLine="645"/>
        <w:spacing w:after="0" w:line="261" w:lineRule="auto"/>
        <w:rPr>
          <w:sz w:val="20"/>
          <w:szCs w:val="20"/>
          <w:color w:val="auto"/>
        </w:rPr>
      </w:pPr>
      <w:r>
        <w:rPr>
          <w:rFonts w:ascii="Arial" w:cs="Arial" w:eastAsia="Arial" w:hAnsi="Arial"/>
          <w:sz w:val="21"/>
          <w:szCs w:val="21"/>
          <w:color w:val="auto"/>
        </w:rPr>
        <w:t>Any covered person who holds any position or employment with, or who receives any compensation, credits or loans from, or who owns or acquires, directly or indirectly, a beneficial interest in, or rights to the profits of income of, any concern he or she has reason to believe may supply products or services to, or purchase from, or compete with, the Company, is required to disclose the full details concerning such interest or relationship. In such circumstances, a conflict may arise if such covered person is in a position to influence decisions with respect to any Company transaction involving such other party and if the interest or relationship is such</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00"/>
          </w:cols>
          <w:pgMar w:left="320" w:top="1408" w:right="579" w:bottom="1440" w:gutter="0" w:footer="0" w:header="0"/>
        </w:sectPr>
      </w:pPr>
    </w:p>
    <w:bookmarkStart w:id="233" w:name="page234"/>
    <w:bookmarkEnd w:id="233"/>
    <w:p>
      <w:pPr>
        <w:ind w:left="120"/>
        <w:spacing w:after="0" w:line="263" w:lineRule="auto"/>
        <w:rPr>
          <w:sz w:val="20"/>
          <w:szCs w:val="20"/>
          <w:color w:val="auto"/>
        </w:rPr>
      </w:pPr>
      <w:r>
        <w:rPr>
          <w:rFonts w:ascii="Arial" w:cs="Arial" w:eastAsia="Arial" w:hAnsi="Arial"/>
          <w:sz w:val="22"/>
          <w:szCs w:val="22"/>
          <w:color w:val="auto"/>
        </w:rPr>
        <w:t>that it might bring into question such covered person’s continued ability to make independent, impartial judgments in the Company’s best interest. In this connection, the mere ownership of</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0940"/>
          </w:cols>
          <w:pgMar w:left="320" w:top="1360" w:right="639" w:bottom="1440" w:gutter="0" w:footer="0" w:header="0"/>
        </w:sectPr>
      </w:pPr>
    </w:p>
    <w:bookmarkStart w:id="234" w:name="page235"/>
    <w:bookmarkEnd w:id="234"/>
    <w:p>
      <w:pPr>
        <w:ind w:left="120" w:right="180"/>
        <w:spacing w:after="0" w:line="343" w:lineRule="auto"/>
        <w:rPr>
          <w:sz w:val="20"/>
          <w:szCs w:val="20"/>
          <w:color w:val="auto"/>
        </w:rPr>
      </w:pPr>
      <w:r>
        <w:rPr>
          <w:rFonts w:ascii="Arial" w:cs="Arial" w:eastAsia="Arial" w:hAnsi="Arial"/>
          <w:sz w:val="19"/>
          <w:szCs w:val="19"/>
          <w:color w:val="auto"/>
        </w:rPr>
        <w:t>securities of a vendor, purchaser or competitor which are listed on a stock exchange or publicly traded in a recognized over-the-counter market and amounting to less than one percent of the class outstanding, need not be reported.</w:t>
      </w:r>
    </w:p>
    <w:p>
      <w:pPr>
        <w:spacing w:after="0" w:line="139" w:lineRule="exact"/>
        <w:rPr>
          <w:sz w:val="20"/>
          <w:szCs w:val="20"/>
          <w:color w:val="auto"/>
        </w:rPr>
      </w:pPr>
    </w:p>
    <w:p>
      <w:pPr>
        <w:ind w:left="1400" w:hanging="752"/>
        <w:spacing w:after="0"/>
        <w:tabs>
          <w:tab w:leader="none" w:pos="140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Gifts or Favors</w:t>
      </w:r>
    </w:p>
    <w:p>
      <w:pPr>
        <w:spacing w:after="0" w:line="253" w:lineRule="exact"/>
        <w:rPr>
          <w:sz w:val="20"/>
          <w:szCs w:val="20"/>
          <w:color w:val="auto"/>
        </w:rPr>
      </w:pPr>
    </w:p>
    <w:p>
      <w:pPr>
        <w:jc w:val="both"/>
        <w:ind w:left="120" w:right="20" w:firstLine="645"/>
        <w:spacing w:after="0" w:line="297" w:lineRule="auto"/>
        <w:rPr>
          <w:sz w:val="20"/>
          <w:szCs w:val="20"/>
          <w:color w:val="auto"/>
        </w:rPr>
      </w:pPr>
      <w:r>
        <w:rPr>
          <w:rFonts w:ascii="Arial" w:cs="Arial" w:eastAsia="Arial" w:hAnsi="Arial"/>
          <w:sz w:val="19"/>
          <w:szCs w:val="19"/>
          <w:color w:val="auto"/>
        </w:rPr>
        <w:t>Acceptance of money, gifts or favors from an individual or concern which a covered person has reason to believe may transact business, or may seek to transact business, with the Company, will constitute violation of this policy, unless such gift or favor is of a nominal nature and extent ($100 or less) and is considered normal and customary under the circumstances. All offers of gifts or favors beyond this policy should be immediately reported to the employee’s supervisor, in the case of a covered person who is an employee, and to the Company’s Compliance Officer.</w:t>
      </w:r>
    </w:p>
    <w:p>
      <w:pPr>
        <w:spacing w:after="0" w:line="168" w:lineRule="exact"/>
        <w:rPr>
          <w:sz w:val="20"/>
          <w:szCs w:val="20"/>
          <w:color w:val="auto"/>
        </w:rPr>
      </w:pPr>
    </w:p>
    <w:p>
      <w:pPr>
        <w:ind w:left="1400" w:hanging="813"/>
        <w:spacing w:after="0"/>
        <w:tabs>
          <w:tab w:leader="none" w:pos="140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Sensitive Payments</w:t>
      </w:r>
    </w:p>
    <w:p>
      <w:pPr>
        <w:spacing w:after="0" w:line="253" w:lineRule="exact"/>
        <w:rPr>
          <w:sz w:val="20"/>
          <w:szCs w:val="20"/>
          <w:color w:val="auto"/>
        </w:rPr>
      </w:pPr>
    </w:p>
    <w:p>
      <w:pPr>
        <w:ind w:left="120" w:right="720" w:firstLine="645"/>
        <w:spacing w:after="0" w:line="250" w:lineRule="auto"/>
        <w:rPr>
          <w:sz w:val="20"/>
          <w:szCs w:val="20"/>
          <w:color w:val="auto"/>
        </w:rPr>
      </w:pPr>
      <w:r>
        <w:rPr>
          <w:rFonts w:ascii="Arial" w:cs="Arial" w:eastAsia="Arial" w:hAnsi="Arial"/>
          <w:sz w:val="22"/>
          <w:szCs w:val="22"/>
          <w:color w:val="auto"/>
        </w:rPr>
        <w:t>The use of the Company funds or assets by employees for any unlawful purpose is strictly prohibited. Covered persons shall not:</w:t>
      </w:r>
    </w:p>
    <w:p>
      <w:pPr>
        <w:spacing w:after="0" w:line="215" w:lineRule="exact"/>
        <w:rPr>
          <w:sz w:val="20"/>
          <w:szCs w:val="20"/>
          <w:color w:val="auto"/>
        </w:rPr>
      </w:pPr>
    </w:p>
    <w:p>
      <w:pPr>
        <w:ind w:left="2060" w:hanging="648"/>
        <w:spacing w:after="0"/>
        <w:tabs>
          <w:tab w:leader="none" w:pos="20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Establish for any purpose undisclosed or unrecorded funds or assets of the Company.</w:t>
      </w:r>
    </w:p>
    <w:p>
      <w:pPr>
        <w:spacing w:after="0" w:line="260" w:lineRule="exact"/>
        <w:rPr>
          <w:rFonts w:ascii="Arial" w:cs="Arial" w:eastAsia="Arial" w:hAnsi="Arial"/>
          <w:sz w:val="22"/>
          <w:szCs w:val="22"/>
          <w:color w:val="auto"/>
        </w:rPr>
      </w:pPr>
    </w:p>
    <w:p>
      <w:pPr>
        <w:ind w:left="2060" w:hanging="648"/>
        <w:spacing w:after="0"/>
        <w:tabs>
          <w:tab w:leader="none" w:pos="20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Make false or artificial entries in the books and records of the Company for any reason.</w:t>
      </w:r>
    </w:p>
    <w:p>
      <w:pPr>
        <w:spacing w:after="0" w:line="260" w:lineRule="exact"/>
        <w:rPr>
          <w:rFonts w:ascii="Arial" w:cs="Arial" w:eastAsia="Arial" w:hAnsi="Arial"/>
          <w:sz w:val="22"/>
          <w:szCs w:val="22"/>
          <w:color w:val="auto"/>
        </w:rPr>
      </w:pPr>
    </w:p>
    <w:p>
      <w:pPr>
        <w:ind w:left="2060" w:hanging="651"/>
        <w:spacing w:after="0"/>
        <w:tabs>
          <w:tab w:leader="none" w:pos="20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Engage in any arrangement that results in such prohibited acts.</w:t>
      </w:r>
    </w:p>
    <w:p>
      <w:pPr>
        <w:spacing w:after="0" w:line="247" w:lineRule="exact"/>
        <w:rPr>
          <w:sz w:val="20"/>
          <w:szCs w:val="20"/>
          <w:color w:val="auto"/>
        </w:rPr>
      </w:pPr>
    </w:p>
    <w:p>
      <w:pPr>
        <w:ind w:left="120" w:right="60" w:firstLine="645"/>
        <w:spacing w:after="0" w:line="263" w:lineRule="auto"/>
        <w:rPr>
          <w:sz w:val="20"/>
          <w:szCs w:val="20"/>
          <w:color w:val="auto"/>
        </w:rPr>
      </w:pPr>
      <w:r>
        <w:rPr>
          <w:rFonts w:ascii="Arial" w:cs="Arial" w:eastAsia="Arial" w:hAnsi="Arial"/>
          <w:sz w:val="22"/>
          <w:szCs w:val="22"/>
          <w:color w:val="auto"/>
        </w:rPr>
        <w:t>Any covered person having information or knowledge of any unrecorded fund or asset or any prohibited act shall promptly report such matter to the Compliance Officer.</w:t>
      </w:r>
    </w:p>
    <w:p>
      <w:pPr>
        <w:spacing w:after="0" w:line="196" w:lineRule="exact"/>
        <w:rPr>
          <w:sz w:val="20"/>
          <w:szCs w:val="20"/>
          <w:color w:val="auto"/>
        </w:rPr>
      </w:pPr>
    </w:p>
    <w:p>
      <w:pPr>
        <w:ind w:left="1400" w:hanging="872"/>
        <w:spacing w:after="0"/>
        <w:tabs>
          <w:tab w:leader="none" w:pos="140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Foreign Transactions and Payments</w:t>
      </w:r>
    </w:p>
    <w:p>
      <w:pPr>
        <w:spacing w:after="0" w:line="253" w:lineRule="exact"/>
        <w:rPr>
          <w:sz w:val="20"/>
          <w:szCs w:val="20"/>
          <w:color w:val="auto"/>
        </w:rPr>
      </w:pPr>
    </w:p>
    <w:p>
      <w:pPr>
        <w:jc w:val="both"/>
        <w:ind w:left="120" w:firstLine="645"/>
        <w:spacing w:after="0" w:line="253" w:lineRule="auto"/>
        <w:rPr>
          <w:sz w:val="20"/>
          <w:szCs w:val="20"/>
          <w:color w:val="auto"/>
        </w:rPr>
      </w:pPr>
      <w:r>
        <w:rPr>
          <w:rFonts w:ascii="Arial" w:cs="Arial" w:eastAsia="Arial" w:hAnsi="Arial"/>
          <w:sz w:val="22"/>
          <w:szCs w:val="22"/>
          <w:color w:val="auto"/>
        </w:rPr>
        <w:t>Having due regard for the responsibilities relating to international operations, it is the Company’s policy that all covered persons and agents comply with the ethical standards and applicable legal requirements of the Foreign Corrupt Practices Act and of each foreign country in which business is conducted.</w:t>
      </w:r>
    </w:p>
    <w:p>
      <w:pPr>
        <w:spacing w:after="0" w:line="226" w:lineRule="exact"/>
        <w:rPr>
          <w:sz w:val="20"/>
          <w:szCs w:val="20"/>
          <w:color w:val="auto"/>
        </w:rPr>
      </w:pPr>
    </w:p>
    <w:p>
      <w:pPr>
        <w:jc w:val="both"/>
        <w:ind w:left="120" w:firstLine="645"/>
        <w:spacing w:after="0" w:line="248" w:lineRule="auto"/>
        <w:rPr>
          <w:sz w:val="20"/>
          <w:szCs w:val="20"/>
          <w:color w:val="auto"/>
        </w:rPr>
      </w:pPr>
      <w:r>
        <w:rPr>
          <w:rFonts w:ascii="Arial" w:cs="Arial" w:eastAsia="Arial" w:hAnsi="Arial"/>
          <w:sz w:val="22"/>
          <w:szCs w:val="22"/>
          <w:color w:val="auto"/>
        </w:rPr>
        <w:t>The Foreign Corrupt Practices Act makes it a criminal offense for a United States company or agent acting on its behalf to pay anything of value to any foreign government official to influence any official action in securing, retaining, or directing business. This prohibition applies to bribes, kickbacks or like payments made directly to such foreign officials or indirectly through seemingly legitimate payments such as commissions or consulting fees paid to overseas agents or representatives.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40"/>
          </w:cols>
          <w:pgMar w:left="320" w:top="1414" w:right="539" w:bottom="1440" w:gutter="0" w:footer="0" w:header="0"/>
        </w:sectPr>
      </w:pPr>
    </w:p>
    <w:bookmarkStart w:id="235" w:name="page236"/>
    <w:bookmarkEnd w:id="235"/>
    <w:p>
      <w:pPr>
        <w:ind w:left="1400" w:hanging="752"/>
        <w:spacing w:after="0"/>
        <w:tabs>
          <w:tab w:leader="none" w:pos="140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Political Campaign Contributions</w:t>
      </w:r>
    </w:p>
    <w:p>
      <w:pPr>
        <w:spacing w:after="0" w:line="266" w:lineRule="exact"/>
        <w:rPr>
          <w:sz w:val="20"/>
          <w:szCs w:val="20"/>
          <w:color w:val="auto"/>
        </w:rPr>
      </w:pPr>
    </w:p>
    <w:p>
      <w:pPr>
        <w:jc w:val="both"/>
        <w:ind w:left="120" w:right="140" w:firstLine="645"/>
        <w:spacing w:after="0" w:line="253" w:lineRule="auto"/>
        <w:rPr>
          <w:sz w:val="20"/>
          <w:szCs w:val="20"/>
          <w:color w:val="auto"/>
        </w:rPr>
      </w:pPr>
      <w:r>
        <w:rPr>
          <w:rFonts w:ascii="Arial" w:cs="Arial" w:eastAsia="Arial" w:hAnsi="Arial"/>
          <w:sz w:val="22"/>
          <w:szCs w:val="22"/>
          <w:color w:val="auto"/>
        </w:rPr>
        <w:t>Political campaign contributions include direct expenditures or contributions, in cash or property, to candidates for nomination or election to public office or to political parties, as well as indirect assistance or support such as the furnishing of goods, services or equipment, or other political fund-raising events.</w:t>
      </w:r>
    </w:p>
    <w:p>
      <w:pPr>
        <w:spacing w:after="0" w:line="212" w:lineRule="exact"/>
        <w:rPr>
          <w:sz w:val="20"/>
          <w:szCs w:val="20"/>
          <w:color w:val="auto"/>
        </w:rPr>
      </w:pPr>
    </w:p>
    <w:p>
      <w:pPr>
        <w:jc w:val="both"/>
        <w:ind w:left="120" w:firstLine="645"/>
        <w:spacing w:after="0" w:line="294" w:lineRule="auto"/>
        <w:rPr>
          <w:sz w:val="20"/>
          <w:szCs w:val="20"/>
          <w:color w:val="auto"/>
        </w:rPr>
      </w:pPr>
      <w:r>
        <w:rPr>
          <w:rFonts w:ascii="Arial" w:cs="Arial" w:eastAsia="Arial" w:hAnsi="Arial"/>
          <w:sz w:val="19"/>
          <w:szCs w:val="19"/>
          <w:color w:val="auto"/>
        </w:rPr>
        <w:t>No political campaign contributions shall be made by the Company in cash or by any other means whereby the amount or origin of the contribution cannot be readily established by reference to the documents and records of the Company. All contributions shall be made to the candidates authorized campaign committee, or to a political party, or to other recipients who may legally receive such contributions and all reporting requirements of the state or local jurisdictions shall be complied with. Each contribution shall be clearly recorded on the Company’s books as a political campaign contribution or its equivalent and shall not be deducted for federal, state or local income tax purposes unless authorized under applicable law.</w:t>
      </w:r>
    </w:p>
    <w:p>
      <w:pPr>
        <w:spacing w:after="0" w:line="190" w:lineRule="exact"/>
        <w:rPr>
          <w:sz w:val="20"/>
          <w:szCs w:val="20"/>
          <w:color w:val="auto"/>
        </w:rPr>
      </w:pPr>
    </w:p>
    <w:p>
      <w:pPr>
        <w:jc w:val="both"/>
        <w:ind w:left="120" w:right="40" w:firstLine="645"/>
        <w:spacing w:after="0" w:line="248" w:lineRule="auto"/>
        <w:rPr>
          <w:sz w:val="20"/>
          <w:szCs w:val="20"/>
          <w:color w:val="auto"/>
        </w:rPr>
      </w:pPr>
      <w:r>
        <w:rPr>
          <w:rFonts w:ascii="Arial" w:cs="Arial" w:eastAsia="Arial" w:hAnsi="Arial"/>
          <w:sz w:val="22"/>
          <w:szCs w:val="22"/>
          <w:color w:val="auto"/>
        </w:rPr>
        <w:t>The Foreign Corrupt Practices Act also prohibits contributions to foreign political parties or candidates for foreign political office for the purpose of influencing their actions to secure, retain or direct business. The prohibition applies regardless of whether the contribution is lawful under the laws of the country in which it is made. Accordingly, company policy strictly prohibits any payments with corporate funds, to, or any use of corporate assets for the benefit of, any foreign political party or candidate for political office.</w:t>
      </w:r>
    </w:p>
    <w:p>
      <w:pPr>
        <w:spacing w:after="0" w:line="213" w:lineRule="exact"/>
        <w:rPr>
          <w:sz w:val="20"/>
          <w:szCs w:val="20"/>
          <w:color w:val="auto"/>
        </w:rPr>
      </w:pPr>
    </w:p>
    <w:p>
      <w:pPr>
        <w:ind w:left="760" w:right="4320" w:hanging="647"/>
        <w:spacing w:after="0" w:line="499" w:lineRule="auto"/>
        <w:tabs>
          <w:tab w:leader="none" w:pos="747" w:val="left"/>
        </w:tabs>
        <w:numPr>
          <w:ilvl w:val="0"/>
          <w:numId w:val="16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SUMMARY OF GENERAL OBLIGATIONS OF EMPLOYEES </w:t>
      </w:r>
      <w:r>
        <w:rPr>
          <w:rFonts w:ascii="Arial" w:cs="Arial" w:eastAsia="Arial" w:hAnsi="Arial"/>
          <w:sz w:val="21"/>
          <w:szCs w:val="21"/>
          <w:color w:val="auto"/>
        </w:rPr>
        <w:t>Under this policy, covered persons are responsible for:</w:t>
      </w:r>
    </w:p>
    <w:p>
      <w:pPr>
        <w:jc w:val="both"/>
        <w:ind w:left="1420" w:right="160" w:hanging="656"/>
        <w:spacing w:after="0" w:line="238" w:lineRule="auto"/>
        <w:tabs>
          <w:tab w:leader="none" w:pos="1415" w:val="left"/>
        </w:tabs>
        <w:numPr>
          <w:ilvl w:val="1"/>
          <w:numId w:val="168"/>
        </w:numPr>
        <w:rPr>
          <w:rFonts w:ascii="Courier New" w:cs="Courier New" w:eastAsia="Courier New" w:hAnsi="Courier New"/>
          <w:sz w:val="21"/>
          <w:szCs w:val="21"/>
          <w:color w:val="auto"/>
        </w:rPr>
      </w:pPr>
      <w:r>
        <w:rPr>
          <w:rFonts w:ascii="Arial" w:cs="Arial" w:eastAsia="Arial" w:hAnsi="Arial"/>
          <w:sz w:val="21"/>
          <w:szCs w:val="21"/>
          <w:color w:val="auto"/>
        </w:rPr>
        <w:t>Full and immediate disclosure of any interest which they or members of their immediate families have at the time of association with the Company, or acquire during such covered person’s association with the Company, which create or appear to create a possible conflict with the Company’s interests. In furtherance of this, all new employees will be routinely provided a copy of the Conflicts of Interest Policy and will be required to execute a signed acknowledgement of its receipt; and</w:t>
      </w:r>
    </w:p>
    <w:p>
      <w:pPr>
        <w:spacing w:after="0" w:line="174" w:lineRule="exact"/>
        <w:rPr>
          <w:rFonts w:ascii="Courier New" w:cs="Courier New" w:eastAsia="Courier New" w:hAnsi="Courier New"/>
          <w:sz w:val="21"/>
          <w:szCs w:val="21"/>
          <w:color w:val="auto"/>
        </w:rPr>
      </w:pPr>
    </w:p>
    <w:p>
      <w:pPr>
        <w:ind w:left="1420" w:right="260" w:hanging="656"/>
        <w:spacing w:after="0" w:line="217" w:lineRule="auto"/>
        <w:tabs>
          <w:tab w:leader="none" w:pos="1415" w:val="left"/>
        </w:tabs>
        <w:numPr>
          <w:ilvl w:val="1"/>
          <w:numId w:val="168"/>
        </w:numPr>
        <w:rPr>
          <w:rFonts w:ascii="Courier New" w:cs="Courier New" w:eastAsia="Courier New" w:hAnsi="Courier New"/>
          <w:sz w:val="22"/>
          <w:szCs w:val="22"/>
          <w:color w:val="auto"/>
        </w:rPr>
      </w:pPr>
      <w:r>
        <w:rPr>
          <w:rFonts w:ascii="Arial" w:cs="Arial" w:eastAsia="Arial" w:hAnsi="Arial"/>
          <w:sz w:val="22"/>
          <w:szCs w:val="22"/>
          <w:color w:val="auto"/>
        </w:rPr>
        <w:t>Taking any actions regarded by the company as being necessary to eliminate or satisfactorily regulate a conflict of interest situation.</w:t>
      </w:r>
    </w:p>
    <w:p>
      <w:pPr>
        <w:spacing w:after="0" w:line="194" w:lineRule="exact"/>
        <w:rPr>
          <w:sz w:val="20"/>
          <w:szCs w:val="20"/>
          <w:color w:val="auto"/>
        </w:rPr>
      </w:pPr>
    </w:p>
    <w:p>
      <w:pPr>
        <w:ind w:left="760" w:hanging="647"/>
        <w:spacing w:after="0"/>
        <w:tabs>
          <w:tab w:leader="none" w:pos="76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FAILURE TO COMPLY</w:t>
      </w:r>
    </w:p>
    <w:p>
      <w:pPr>
        <w:spacing w:after="0" w:line="266" w:lineRule="exact"/>
        <w:rPr>
          <w:sz w:val="20"/>
          <w:szCs w:val="20"/>
          <w:color w:val="auto"/>
        </w:rPr>
      </w:pPr>
    </w:p>
    <w:p>
      <w:pPr>
        <w:ind w:left="120" w:right="120" w:firstLine="645"/>
        <w:spacing w:after="0" w:line="263" w:lineRule="auto"/>
        <w:rPr>
          <w:sz w:val="20"/>
          <w:szCs w:val="20"/>
          <w:color w:val="auto"/>
        </w:rPr>
      </w:pPr>
      <w:r>
        <w:rPr>
          <w:rFonts w:ascii="Arial" w:cs="Arial" w:eastAsia="Arial" w:hAnsi="Arial"/>
          <w:sz w:val="22"/>
          <w:szCs w:val="22"/>
          <w:color w:val="auto"/>
        </w:rPr>
        <w:t>Failure to comply with this policy and procedures can result in disciplinary actions up to and including termination of employment, and/or initiation of appropriate legal action.</w:t>
      </w:r>
    </w:p>
    <w:p>
      <w:pPr>
        <w:spacing w:after="0" w:line="196" w:lineRule="exact"/>
        <w:rPr>
          <w:sz w:val="20"/>
          <w:szCs w:val="20"/>
          <w:color w:val="auto"/>
        </w:rPr>
      </w:pPr>
    </w:p>
    <w:p>
      <w:pPr>
        <w:ind w:left="760" w:hanging="647"/>
        <w:spacing w:after="0"/>
        <w:tabs>
          <w:tab w:leader="none" w:pos="76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FURNISHING DISCLOSURE INFORMATION</w:t>
      </w:r>
    </w:p>
    <w:p>
      <w:pPr>
        <w:spacing w:after="0" w:line="253" w:lineRule="exact"/>
        <w:rPr>
          <w:sz w:val="20"/>
          <w:szCs w:val="20"/>
          <w:color w:val="auto"/>
        </w:rPr>
      </w:pPr>
    </w:p>
    <w:p>
      <w:pPr>
        <w:ind w:left="120" w:right="160" w:firstLine="645"/>
        <w:spacing w:after="0" w:line="263" w:lineRule="auto"/>
        <w:rPr>
          <w:sz w:val="20"/>
          <w:szCs w:val="20"/>
          <w:color w:val="auto"/>
        </w:rPr>
      </w:pPr>
      <w:r>
        <w:rPr>
          <w:rFonts w:ascii="Arial" w:cs="Arial" w:eastAsia="Arial" w:hAnsi="Arial"/>
          <w:sz w:val="22"/>
          <w:szCs w:val="22"/>
          <w:color w:val="auto"/>
        </w:rPr>
        <w:t>With respect to any disclosure information furnished in accordance with the Company’s Conflicts of Interest Policy, the Company will endeavor to properly protect such information.</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40"/>
          </w:cols>
          <w:pgMar w:left="320" w:top="1408" w:right="539" w:bottom="1440" w:gutter="0" w:footer="0" w:header="0"/>
        </w:sectPr>
      </w:pPr>
    </w:p>
    <w:bookmarkStart w:id="236" w:name="page237"/>
    <w:bookmarkEnd w:id="236"/>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3"/>
          <w:szCs w:val="13"/>
          <w:color w:val="auto"/>
        </w:rPr>
        <w:t>#4814-7232-5410</w:t>
      </w:r>
    </w:p>
    <w:p>
      <w:pPr>
        <w:sectPr>
          <w:pgSz w:w="11900" w:h="16838" w:orient="portrait"/>
          <w:cols w:equalWidth="0" w:num="1">
            <w:col w:w="10139"/>
          </w:cols>
          <w:pgMar w:left="320" w:top="1440" w:right="1440" w:bottom="1440" w:gutter="0" w:footer="0" w:header="0"/>
        </w:sectPr>
      </w:pPr>
    </w:p>
    <w:bookmarkStart w:id="237" w:name="page238"/>
    <w:bookmarkEnd w:id="237"/>
    <w:p>
      <w:pPr>
        <w:jc w:val="center"/>
        <w:ind w:right="-2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CAESARS ENTERTAINMENT, INC.</w:t>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CODE OF ETHICS AND BUSINESS CONDUCT CONFIRMATION STATEMENT</w:t>
      </w:r>
    </w:p>
    <w:p>
      <w:pPr>
        <w:spacing w:after="0" w:line="334" w:lineRule="exact"/>
        <w:rPr>
          <w:sz w:val="20"/>
          <w:szCs w:val="20"/>
          <w:color w:val="auto"/>
        </w:rPr>
      </w:pPr>
    </w:p>
    <w:p>
      <w:pPr>
        <w:ind w:left="104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-17780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7"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22"/>
          <w:szCs w:val="22"/>
          <w:color w:val="auto"/>
        </w:rPr>
        <w:t>I,</w:t>
        <w:tab/>
        <w:t>hereby confirm the following statements to Caesars Entertainment, Inc.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-17780</wp:posOffset>
            </wp:positionV>
            <wp:extent cx="1714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40" w:lineRule="exact"/>
        <w:rPr>
          <w:sz w:val="20"/>
          <w:szCs w:val="20"/>
          <w:color w:val="auto"/>
        </w:rPr>
      </w:pPr>
    </w:p>
    <w:p>
      <w:pPr>
        <w:ind w:left="1400" w:hanging="636"/>
        <w:spacing w:after="0"/>
        <w:tabs>
          <w:tab w:leader="none" w:pos="14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 am a director, officer, employee or consultant of the Company and/or one of its subsidiaries.</w:t>
      </w:r>
    </w:p>
    <w:p>
      <w:pPr>
        <w:spacing w:after="0" w:line="246" w:lineRule="exact"/>
        <w:rPr>
          <w:rFonts w:ascii="Arial" w:cs="Arial" w:eastAsia="Arial" w:hAnsi="Arial"/>
          <w:sz w:val="22"/>
          <w:szCs w:val="22"/>
          <w:color w:val="auto"/>
        </w:rPr>
      </w:pPr>
    </w:p>
    <w:p>
      <w:pPr>
        <w:ind w:left="1420" w:right="1280" w:hanging="656"/>
        <w:spacing w:after="0" w:line="263" w:lineRule="auto"/>
        <w:tabs>
          <w:tab w:leader="none" w:pos="141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 have read and I understand the Company’s Code of Ethics and Business Conduct (the “Code”), including its Conflicts of Interest Policy.</w:t>
      </w:r>
    </w:p>
    <w:p>
      <w:pPr>
        <w:spacing w:after="0" w:line="201" w:lineRule="exact"/>
        <w:rPr>
          <w:rFonts w:ascii="Arial" w:cs="Arial" w:eastAsia="Arial" w:hAnsi="Arial"/>
          <w:sz w:val="22"/>
          <w:szCs w:val="22"/>
          <w:color w:val="auto"/>
        </w:rPr>
      </w:pPr>
    </w:p>
    <w:p>
      <w:pPr>
        <w:ind w:left="1420" w:right="380" w:hanging="656"/>
        <w:spacing w:after="0" w:line="287" w:lineRule="auto"/>
        <w:tabs>
          <w:tab w:leader="none" w:pos="141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There is no actual, potential or apparent conflict of interest between myself or any of my immediate family members and the Company (or any of its subsidiaries) that would violate the Code,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-17780</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1420" w:right="440" w:hanging="656"/>
        <w:spacing w:after="0" w:line="263" w:lineRule="auto"/>
        <w:tabs>
          <w:tab w:leader="none" w:pos="141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 understand that the Code and all amendments to the Code are available for my review on the Company’s website and upon request from the Company’s Corporate Secretary.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(Name)</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(Title)</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4"/>
          <w:szCs w:val="14"/>
          <w:color w:val="auto"/>
        </w:rPr>
        <w:t>#4814-7232-5410</w:t>
      </w:r>
    </w:p>
    <w:p>
      <w:pPr>
        <w:sectPr>
          <w:pgSz w:w="11900" w:h="16838" w:orient="portrait"/>
          <w:cols w:equalWidth="0" w:num="1">
            <w:col w:w="11020"/>
          </w:cols>
          <w:pgMar w:left="320" w:top="1408" w:right="55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760"/>
        </w:trPr>
        <w:tc>
          <w:tcPr>
            <w:tcW w:w="8000" w:type="dxa"/>
            <w:vAlign w:val="bottom"/>
          </w:tcPr>
          <w:p>
            <w:pPr>
              <w:jc w:val="center"/>
              <w:ind w:left="2329"/>
              <w:spacing w:after="0"/>
              <w:rPr>
                <w:sz w:val="20"/>
                <w:szCs w:val="20"/>
                <w:color w:val="auto"/>
              </w:rPr>
            </w:pPr>
            <w:r>
              <w:rPr>
                <w:rFonts w:ascii="Arial" w:cs="Arial" w:eastAsia="Arial" w:hAnsi="Arial"/>
                <w:sz w:val="20"/>
                <w:szCs w:val="20"/>
                <w:b w:val="1"/>
                <w:bCs w:val="1"/>
                <w:color w:val="auto"/>
                <w:w w:val="98"/>
              </w:rPr>
              <w:t>CAESARS ENTERTAINMENT, INC.</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0" w:type="dxa"/>
            <w:vAlign w:val="bottom"/>
          </w:tcPr>
          <w:p>
            <w:pPr>
              <w:jc w:val="center"/>
              <w:ind w:left="2329"/>
              <w:spacing w:after="0"/>
              <w:rPr>
                <w:sz w:val="20"/>
                <w:szCs w:val="20"/>
                <w:color w:val="auto"/>
              </w:rPr>
            </w:pPr>
            <w:r>
              <w:rPr>
                <w:rFonts w:ascii="Arial" w:cs="Arial" w:eastAsia="Arial" w:hAnsi="Arial"/>
                <w:sz w:val="20"/>
                <w:szCs w:val="20"/>
                <w:b w:val="1"/>
                <w:bCs w:val="1"/>
                <w:color w:val="auto"/>
                <w:w w:val="98"/>
              </w:rPr>
              <w:t>LIST OF SUBSIDIARIES</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00" w:type="dxa"/>
            <w:vAlign w:val="bottom"/>
          </w:tcPr>
          <w:p>
            <w:pPr>
              <w:jc w:val="center"/>
              <w:ind w:left="2329"/>
              <w:spacing w:after="0"/>
              <w:rPr>
                <w:sz w:val="20"/>
                <w:szCs w:val="20"/>
                <w:color w:val="auto"/>
              </w:rPr>
            </w:pPr>
            <w:r>
              <w:rPr>
                <w:rFonts w:ascii="Arial" w:cs="Arial" w:eastAsia="Arial" w:hAnsi="Arial"/>
                <w:sz w:val="20"/>
                <w:szCs w:val="20"/>
                <w:b w:val="1"/>
                <w:bCs w:val="1"/>
                <w:color w:val="auto"/>
                <w:w w:val="89"/>
              </w:rPr>
              <w:t>As of February 26, 2021</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1300 WSED,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1301 WSED,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1400 WSED,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3535 LV Corp.</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3535 LV Newco,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AC Conference Holdco.,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AC Conference Newco.,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Aster Insurance Ltd.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2"/>
        </w:trPr>
        <w:tc>
          <w:tcPr>
            <w:tcW w:w="8000" w:type="dxa"/>
            <w:vAlign w:val="bottom"/>
          </w:tcPr>
          <w:p>
            <w:pPr>
              <w:spacing w:after="0"/>
              <w:rPr>
                <w:sz w:val="20"/>
                <w:szCs w:val="20"/>
                <w:color w:val="auto"/>
              </w:rPr>
            </w:pPr>
            <w:r>
              <w:rPr>
                <w:rFonts w:ascii="Arial" w:cs="Arial" w:eastAsia="Arial" w:hAnsi="Arial"/>
                <w:sz w:val="18"/>
                <w:szCs w:val="18"/>
                <w:color w:val="auto"/>
              </w:rPr>
              <w:t>Aztar Indiana Gaming Company,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Aztar Riverboat Holding Company,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Bally's Las Vegas Manager,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Bally's Park Place,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Benco,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BL Development,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42"/>
        </w:trPr>
        <w:tc>
          <w:tcPr>
            <w:tcW w:w="8000" w:type="dxa"/>
            <w:vAlign w:val="bottom"/>
          </w:tcPr>
          <w:p>
            <w:pPr>
              <w:spacing w:after="0"/>
              <w:rPr>
                <w:sz w:val="20"/>
                <w:szCs w:val="20"/>
                <w:color w:val="auto"/>
              </w:rPr>
            </w:pPr>
            <w:r>
              <w:rPr>
                <w:rFonts w:ascii="Arial" w:cs="Arial" w:eastAsia="Arial" w:hAnsi="Arial"/>
                <w:sz w:val="18"/>
                <w:szCs w:val="18"/>
                <w:color w:val="auto"/>
              </w:rPr>
              <w:t>Black Hawk Holdings,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Boardwalk Regency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Burlington Street Services Limited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BV Manager,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Asia Limited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Bahamas Investment Corporation</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Bahamas Management Corporation</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Baltimore Acquisition Company,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Baltimore Investment Company,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Baltimore Management Company,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8000" w:type="dxa"/>
            <w:vAlign w:val="bottom"/>
          </w:tcPr>
          <w:p>
            <w:pPr>
              <w:spacing w:after="0"/>
              <w:rPr>
                <w:sz w:val="20"/>
                <w:szCs w:val="20"/>
                <w:color w:val="auto"/>
              </w:rPr>
            </w:pPr>
            <w:r>
              <w:rPr>
                <w:rFonts w:ascii="Arial" w:cs="Arial" w:eastAsia="Arial" w:hAnsi="Arial"/>
                <w:sz w:val="18"/>
                <w:szCs w:val="18"/>
                <w:color w:val="auto"/>
              </w:rPr>
              <w:t>Caesars Cayman Finance Limited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Caesars Cayman Finance 2 Limited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Caesars Convention Center Owner,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Caesars Dubai,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00" w:type="dxa"/>
            <w:vAlign w:val="bottom"/>
          </w:tcPr>
          <w:p>
            <w:pPr>
              <w:spacing w:after="0" w:line="255" w:lineRule="exact"/>
              <w:rPr>
                <w:sz w:val="20"/>
                <w:szCs w:val="20"/>
                <w:color w:val="auto"/>
              </w:rPr>
            </w:pPr>
            <w:r>
              <w:rPr>
                <w:rFonts w:ascii="Arial" w:cs="Arial" w:eastAsia="Arial" w:hAnsi="Arial"/>
                <w:sz w:val="18"/>
                <w:szCs w:val="18"/>
                <w:color w:val="auto"/>
              </w:rPr>
              <w:t xml:space="preserve">Caesars Enterprise Services, LLC </w:t>
            </w:r>
            <w:r>
              <w:rPr>
                <w:rFonts w:ascii="Arial" w:cs="Arial" w:eastAsia="Arial" w:hAnsi="Arial"/>
                <w:sz w:val="23"/>
                <w:szCs w:val="23"/>
                <w:i w:val="1"/>
                <w:iCs w:val="1"/>
                <w:color w:val="auto"/>
                <w:vertAlign w:val="superscript"/>
              </w:rPr>
              <w:t>(1)</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Caesars Entertainment Japan,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Entertainment UK Ltd.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Entertainment Windsor Limited</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56"/>
        </w:trPr>
        <w:tc>
          <w:tcPr>
            <w:tcW w:w="8000" w:type="dxa"/>
            <w:vAlign w:val="bottom"/>
          </w:tcPr>
          <w:p>
            <w:pPr>
              <w:spacing w:after="0"/>
              <w:rPr>
                <w:sz w:val="20"/>
                <w:szCs w:val="20"/>
                <w:color w:val="auto"/>
              </w:rPr>
            </w:pPr>
            <w:r>
              <w:rPr>
                <w:rFonts w:ascii="Arial" w:cs="Arial" w:eastAsia="Arial" w:hAnsi="Arial"/>
                <w:sz w:val="18"/>
                <w:szCs w:val="18"/>
                <w:color w:val="auto"/>
              </w:rPr>
              <w:t>Caesars Growth Bally's LV,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Growth Baltimore Fee,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Growth Cromwell,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Growth Harrah's New Orleans,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Caesars Growth Partners,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8000" w:type="dxa"/>
            <w:vAlign w:val="bottom"/>
          </w:tcPr>
          <w:p>
            <w:pPr>
              <w:spacing w:after="0"/>
              <w:rPr>
                <w:sz w:val="20"/>
                <w:szCs w:val="20"/>
                <w:color w:val="auto"/>
              </w:rPr>
            </w:pPr>
            <w:r>
              <w:rPr>
                <w:rFonts w:ascii="Arial" w:cs="Arial" w:eastAsia="Arial" w:hAnsi="Arial"/>
                <w:sz w:val="18"/>
                <w:szCs w:val="18"/>
                <w:color w:val="auto"/>
              </w:rPr>
              <w:t>Caesars Growth PH Fee,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Growth PH,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Growth Quad,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Caesars Holdings, Inc.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Hospitality,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Caesars Interactive Entertainment New Jersey,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4"/>
        </w:trPr>
        <w:tc>
          <w:tcPr>
            <w:tcW w:w="8000" w:type="dxa"/>
            <w:vAlign w:val="bottom"/>
          </w:tcPr>
          <w:p>
            <w:pPr>
              <w:spacing w:after="0"/>
              <w:rPr>
                <w:sz w:val="20"/>
                <w:szCs w:val="20"/>
                <w:color w:val="auto"/>
              </w:rPr>
            </w:pPr>
            <w:r>
              <w:rPr>
                <w:rFonts w:ascii="Arial" w:cs="Arial" w:eastAsia="Arial" w:hAnsi="Arial"/>
                <w:sz w:val="18"/>
                <w:szCs w:val="18"/>
                <w:color w:val="auto"/>
              </w:rPr>
              <w:t>Caesars Interactive Entertainment, LLC</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851"/>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26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6560" w:type="dxa"/>
            <w:vAlign w:val="bottom"/>
            <w:vMerge w:val="continue"/>
          </w:tcPr>
          <w:p>
            <w:pPr>
              <w:spacing w:after="0"/>
              <w:rPr>
                <w:sz w:val="19"/>
                <w:szCs w:val="19"/>
                <w:color w:val="auto"/>
              </w:rPr>
            </w:pPr>
          </w:p>
        </w:tc>
        <w:tc>
          <w:tcPr>
            <w:tcW w:w="4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Caesars Interactive Holdco,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Caesars International Hospitality,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Korea Holding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Korea Services,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License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Linq,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Massachusetts Investment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Mayfair Limited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Nevada Newco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New Jersey,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Octavius,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Ontario Holding,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Palace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Palace Realty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Parlay Holding,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Resort Collection,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Riverboat Casino,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Trex,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Arial" w:cs="Arial" w:eastAsia="Arial" w:hAnsi="Arial"/>
                <w:sz w:val="18"/>
                <w:szCs w:val="18"/>
                <w:color w:val="auto"/>
              </w:rPr>
              <w:t>Caesars UK Holdings Limited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Caesars UK Interactive Holdings Limited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Caesars Virginia,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World International Corporation (S) PTE, Ltd.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World International Far East Limited</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World,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World Marketing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Caesars World Merchandising,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California Clearing Corporation</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Arial" w:cs="Arial" w:eastAsia="Arial" w:hAnsi="Arial"/>
                <w:sz w:val="18"/>
                <w:szCs w:val="18"/>
                <w:color w:val="auto"/>
              </w:rPr>
              <w:t>Capri Insurance Corporation</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Catfish Queen Partnership in Commendam</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Casino Computer Programming,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CBAC Borrower,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18"/>
                <w:szCs w:val="18"/>
                <w:color w:val="auto"/>
              </w:rPr>
              <w:t xml:space="preserve">CBAC Gaming, LLC </w:t>
            </w:r>
            <w:r>
              <w:rPr>
                <w:rFonts w:ascii="Arial" w:cs="Arial" w:eastAsia="Arial" w:hAnsi="Arial"/>
                <w:sz w:val="23"/>
                <w:szCs w:val="23"/>
                <w:i w:val="1"/>
                <w:iCs w:val="1"/>
                <w:color w:val="auto"/>
                <w:vertAlign w:val="superscript"/>
              </w:rPr>
              <w:t>(2)</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CBAC Holding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CC-Reno,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CCR Newco,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CCSC/Blackhawk, Inc.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Centaur Acquisition,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Centaur Colorado,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Centaur Holdings,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6560" w:type="dxa"/>
            <w:vAlign w:val="bottom"/>
          </w:tcPr>
          <w:p>
            <w:pPr>
              <w:spacing w:after="0"/>
              <w:rPr>
                <w:sz w:val="20"/>
                <w:szCs w:val="20"/>
                <w:color w:val="auto"/>
              </w:rPr>
            </w:pPr>
            <w:r>
              <w:rPr>
                <w:rFonts w:ascii="Arial" w:cs="Arial" w:eastAsia="Arial" w:hAnsi="Arial"/>
                <w:sz w:val="18"/>
                <w:szCs w:val="18"/>
                <w:color w:val="auto"/>
              </w:rPr>
              <w:t>Centroplex Centre Convention Hotel,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CEOC,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CEWL Holdco,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Chester Downs and Marina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Chester Facility Holding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Christian County Land Acquisition Company,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Arial" w:cs="Arial" w:eastAsia="Arial" w:hAnsi="Arial"/>
                <w:sz w:val="18"/>
                <w:szCs w:val="18"/>
                <w:color w:val="auto"/>
              </w:rPr>
              <w:t>CIE Growth, LLC</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Circus and Eldorado Joint Venture</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402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851"/>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02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402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24"/>
        </w:trPr>
        <w:tc>
          <w:tcPr>
            <w:tcW w:w="6800" w:type="dxa"/>
            <w:vAlign w:val="bottom"/>
          </w:tcPr>
          <w:p>
            <w:pPr>
              <w:spacing w:after="0"/>
              <w:rPr>
                <w:sz w:val="20"/>
                <w:szCs w:val="20"/>
                <w:color w:val="auto"/>
              </w:rPr>
            </w:pPr>
            <w:r>
              <w:rPr>
                <w:rFonts w:ascii="Arial" w:cs="Arial" w:eastAsia="Arial" w:hAnsi="Arial"/>
                <w:sz w:val="18"/>
                <w:szCs w:val="18"/>
                <w:color w:val="auto"/>
              </w:rPr>
              <w:t>Columbia Properties Tahoe,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5"/>
        </w:trPr>
        <w:tc>
          <w:tcPr>
            <w:tcW w:w="6800" w:type="dxa"/>
            <w:vAlign w:val="bottom"/>
          </w:tcPr>
          <w:p>
            <w:pPr>
              <w:spacing w:after="0" w:line="235" w:lineRule="exact"/>
              <w:rPr>
                <w:sz w:val="20"/>
                <w:szCs w:val="20"/>
                <w:color w:val="auto"/>
              </w:rPr>
            </w:pPr>
            <w:r>
              <w:rPr>
                <w:rFonts w:ascii="Arial" w:cs="Arial" w:eastAsia="Arial" w:hAnsi="Arial"/>
                <w:sz w:val="18"/>
                <w:szCs w:val="18"/>
                <w:color w:val="auto"/>
              </w:rPr>
              <w:t>Columbus Southeast Hotel Group, LLC</w:t>
            </w:r>
            <w:r>
              <w:rPr>
                <w:rFonts w:ascii="Arial" w:cs="Arial" w:eastAsia="Arial" w:hAnsi="Arial"/>
                <w:sz w:val="23"/>
                <w:szCs w:val="23"/>
                <w:i w:val="1"/>
                <w:iCs w:val="1"/>
                <w:color w:val="auto"/>
                <w:vertAlign w:val="superscript"/>
              </w:rPr>
              <w:t>(3)</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Corner Investment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CPLV Manager,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6"/>
        </w:trPr>
        <w:tc>
          <w:tcPr>
            <w:tcW w:w="6800" w:type="dxa"/>
            <w:vAlign w:val="bottom"/>
          </w:tcPr>
          <w:p>
            <w:pPr>
              <w:spacing w:after="0" w:line="255" w:lineRule="exact"/>
              <w:rPr>
                <w:sz w:val="20"/>
                <w:szCs w:val="20"/>
                <w:color w:val="auto"/>
              </w:rPr>
            </w:pPr>
            <w:r>
              <w:rPr>
                <w:rFonts w:ascii="Arial" w:cs="Arial" w:eastAsia="Arial" w:hAnsi="Arial"/>
                <w:sz w:val="18"/>
                <w:szCs w:val="18"/>
                <w:color w:val="auto"/>
              </w:rPr>
              <w:t xml:space="preserve">CR Baltimore Holdings, LLC </w:t>
            </w:r>
            <w:r>
              <w:rPr>
                <w:rFonts w:ascii="Arial" w:cs="Arial" w:eastAsia="Arial" w:hAnsi="Arial"/>
                <w:sz w:val="23"/>
                <w:szCs w:val="23"/>
                <w:i w:val="1"/>
                <w:iCs w:val="1"/>
                <w:color w:val="auto"/>
                <w:vertAlign w:val="superscript"/>
              </w:rPr>
              <w:t>(4)</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CRC Finco, Inc.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Cromwell Manager,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CRS Annex,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8"/>
        </w:trPr>
        <w:tc>
          <w:tcPr>
            <w:tcW w:w="6800" w:type="dxa"/>
            <w:vAlign w:val="bottom"/>
          </w:tcPr>
          <w:p>
            <w:pPr>
              <w:spacing w:after="0" w:line="248" w:lineRule="exact"/>
              <w:rPr>
                <w:sz w:val="20"/>
                <w:szCs w:val="20"/>
                <w:color w:val="auto"/>
              </w:rPr>
            </w:pPr>
            <w:r>
              <w:rPr>
                <w:rFonts w:ascii="Arial" w:cs="Arial" w:eastAsia="Arial" w:hAnsi="Arial"/>
                <w:sz w:val="18"/>
                <w:szCs w:val="18"/>
                <w:color w:val="auto"/>
              </w:rPr>
              <w:t xml:space="preserve">Des Plaines Development Limited Partnership </w:t>
            </w:r>
            <w:r>
              <w:rPr>
                <w:rFonts w:ascii="Arial" w:cs="Arial" w:eastAsia="Arial" w:hAnsi="Arial"/>
                <w:sz w:val="23"/>
                <w:szCs w:val="23"/>
                <w:i w:val="1"/>
                <w:iCs w:val="1"/>
                <w:color w:val="auto"/>
                <w:vertAlign w:val="superscript"/>
              </w:rPr>
              <w:t>(5)</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Desert Palace,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Downtown Management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Eastside Convention Center,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6800" w:type="dxa"/>
            <w:vAlign w:val="bottom"/>
          </w:tcPr>
          <w:p>
            <w:pPr>
              <w:spacing w:after="0"/>
              <w:rPr>
                <w:sz w:val="20"/>
                <w:szCs w:val="20"/>
                <w:color w:val="auto"/>
              </w:rPr>
            </w:pPr>
            <w:r>
              <w:rPr>
                <w:rFonts w:ascii="Arial" w:cs="Arial" w:eastAsia="Arial" w:hAnsi="Arial"/>
                <w:sz w:val="18"/>
                <w:szCs w:val="18"/>
                <w:color w:val="auto"/>
              </w:rPr>
              <w:t>Eldo Fit,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Eldorado Holdco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Eldorado Interactive,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Eldorado Limited Liability Company</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Eldorado Resorts,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Elgin Holdings I,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Elgin Holdings II,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4"/>
        </w:trPr>
        <w:tc>
          <w:tcPr>
            <w:tcW w:w="6800" w:type="dxa"/>
            <w:vAlign w:val="bottom"/>
          </w:tcPr>
          <w:p>
            <w:pPr>
              <w:spacing w:after="0"/>
              <w:rPr>
                <w:sz w:val="20"/>
                <w:szCs w:val="20"/>
                <w:color w:val="auto"/>
              </w:rPr>
            </w:pPr>
            <w:r>
              <w:rPr>
                <w:rFonts w:ascii="Arial" w:cs="Arial" w:eastAsia="Arial" w:hAnsi="Arial"/>
                <w:sz w:val="18"/>
                <w:szCs w:val="18"/>
                <w:color w:val="auto"/>
              </w:rPr>
              <w:t>Elgin Riverboat Resort - Riverboat Casino</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48"/>
        </w:trPr>
        <w:tc>
          <w:tcPr>
            <w:tcW w:w="6800" w:type="dxa"/>
            <w:vAlign w:val="bottom"/>
          </w:tcPr>
          <w:p>
            <w:pPr>
              <w:spacing w:after="0" w:line="248" w:lineRule="exact"/>
              <w:rPr>
                <w:sz w:val="20"/>
                <w:szCs w:val="20"/>
                <w:color w:val="auto"/>
              </w:rPr>
            </w:pPr>
            <w:r>
              <w:rPr>
                <w:rFonts w:ascii="Arial" w:cs="Arial" w:eastAsia="Arial" w:hAnsi="Arial"/>
                <w:sz w:val="18"/>
                <w:szCs w:val="18"/>
                <w:color w:val="auto"/>
              </w:rPr>
              <w:t xml:space="preserve">Emerald Safari Resort (Pty) Limited </w:t>
            </w:r>
            <w:r>
              <w:rPr>
                <w:rFonts w:ascii="Arial" w:cs="Arial" w:eastAsia="Arial" w:hAnsi="Arial"/>
                <w:sz w:val="23"/>
                <w:szCs w:val="23"/>
                <w:i w:val="1"/>
                <w:iCs w:val="1"/>
                <w:color w:val="auto"/>
                <w:vertAlign w:val="superscript"/>
              </w:rPr>
              <w:t>(6)</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Entertainment RMG Canada, Inc.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Flamingo CERP Manager,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Flamingo Las Vegas Operating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GB Investor,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Giles Road Developer,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Golden Nugget Club Limited</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Grand Casinos of Biloxi,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Grand Casinos, Inc.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 South Shore Corporation</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Arizona Corporation</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Atlantic City Operating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Atlantic City Propco,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Bossier City Investment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Chester Downs Investment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Chester Downs Management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Illinois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Interactive Investment Company</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Iowa Arena Management,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Las Vegas,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Laughlin,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Management Company</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NC Casino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New Orleans Management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North Kansas City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Operating Company Memphis,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Harrah's Shreveport/Bossier City Investment Company, LLC</w:t>
            </w:r>
          </w:p>
        </w:tc>
        <w:tc>
          <w:tcPr>
            <w:tcW w:w="402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241" w:name="page242"/>
    <w:bookmarkEnd w:id="2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851"/>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50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6320" w:type="dxa"/>
            <w:vAlign w:val="bottom"/>
            <w:vMerge w:val="continue"/>
          </w:tcPr>
          <w:p>
            <w:pPr>
              <w:spacing w:after="0"/>
              <w:rPr>
                <w:sz w:val="19"/>
                <w:szCs w:val="19"/>
                <w:color w:val="auto"/>
              </w:rPr>
            </w:pPr>
          </w:p>
        </w:tc>
        <w:tc>
          <w:tcPr>
            <w:tcW w:w="450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Harveys BR Management Company,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Harveys Iowa Management Company,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Harveys Tahoe Management Company,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HBR Realty Company,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HCAL,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HLV CERP Manager,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Hole in the Wall,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Hoosier Park,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Horseshoe Cincinnati Management,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Horseshoe Entertainment</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Horseshoe Gaming Holding,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Horseshoe GP,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Horseshoe Hammond,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HP Dining &amp; Entertainment,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HP Dining &amp; Entertainment II,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HTM Holding,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18"/>
                <w:szCs w:val="18"/>
                <w:color w:val="auto"/>
              </w:rPr>
              <w:t>IC Holdings Colorado,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Inter Casino Management (Egypt) Limited</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Isle of Man</w:t>
            </w:r>
          </w:p>
        </w:tc>
        <w:tc>
          <w:tcPr>
            <w:tcW w:w="0" w:type="dxa"/>
            <w:vAlign w:val="bottom"/>
          </w:tcPr>
          <w:p>
            <w:pPr>
              <w:spacing w:after="0"/>
              <w:rPr>
                <w:sz w:val="1"/>
                <w:szCs w:val="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18"/>
                <w:szCs w:val="18"/>
                <w:color w:val="auto"/>
              </w:rPr>
              <w:t>IOC Black Hawk County,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IOC Black Hawk Distribution Company,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 Holdings,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IOC Manufacturing,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MS</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 Pittsburgh,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IOC Services,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IOC-Boonville,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IOC-Lula,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IOC-Natchez,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IOC-PA,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IOC-Vicksburg,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IOC-Vicksburg,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Isle of Capri Bettendorf,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Isle of Capri Bettendorf Marina Corporation</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Isle of Capri Black Hawk,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Isle of Capri Casinos,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Isle Promotional Association,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Jazz Casino Company,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JCC Fulton Development,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r>
              <w:rPr>
                <w:rFonts w:ascii="Arial" w:cs="Arial" w:eastAsia="Arial" w:hAnsi="Arial"/>
                <w:sz w:val="18"/>
                <w:szCs w:val="18"/>
                <w:color w:val="auto"/>
              </w:rPr>
              <w:t>JCC Holding Company II,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8"/>
        </w:trPr>
        <w:tc>
          <w:tcPr>
            <w:tcW w:w="6320" w:type="dxa"/>
            <w:vAlign w:val="bottom"/>
          </w:tcPr>
          <w:p>
            <w:pPr>
              <w:spacing w:after="0" w:line="248" w:lineRule="exact"/>
              <w:rPr>
                <w:sz w:val="20"/>
                <w:szCs w:val="20"/>
                <w:color w:val="auto"/>
              </w:rPr>
            </w:pPr>
            <w:r>
              <w:rPr>
                <w:rFonts w:ascii="Arial" w:cs="Arial" w:eastAsia="Arial" w:hAnsi="Arial"/>
                <w:sz w:val="18"/>
                <w:szCs w:val="18"/>
                <w:color w:val="auto"/>
              </w:rPr>
              <w:t xml:space="preserve">JGB Vegas Retail Lessee, LLC </w:t>
            </w:r>
            <w:r>
              <w:rPr>
                <w:rFonts w:ascii="Arial" w:cs="Arial" w:eastAsia="Arial" w:hAnsi="Arial"/>
                <w:sz w:val="23"/>
                <w:szCs w:val="23"/>
                <w:i w:val="1"/>
                <w:iCs w:val="1"/>
                <w:color w:val="auto"/>
                <w:vertAlign w:val="superscript"/>
              </w:rPr>
              <w:t>(7)</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Keystone State Development,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Joliet Manager,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6320" w:type="dxa"/>
            <w:vAlign w:val="bottom"/>
          </w:tcPr>
          <w:p>
            <w:pPr>
              <w:spacing w:after="0"/>
              <w:rPr>
                <w:sz w:val="20"/>
                <w:szCs w:val="20"/>
                <w:color w:val="auto"/>
              </w:rPr>
            </w:pPr>
            <w:r>
              <w:rPr>
                <w:rFonts w:ascii="Arial" w:cs="Arial" w:eastAsia="Arial" w:hAnsi="Arial"/>
                <w:sz w:val="18"/>
                <w:szCs w:val="18"/>
                <w:color w:val="auto"/>
              </w:rPr>
              <w:t>Lady Luck Gaming Corporation</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Lady Luck Vicksburg, Inc.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Laughlin CERP Manager,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320" w:type="dxa"/>
            <w:vAlign w:val="bottom"/>
          </w:tcPr>
          <w:p>
            <w:pPr>
              <w:spacing w:after="0"/>
              <w:rPr>
                <w:sz w:val="20"/>
                <w:szCs w:val="20"/>
                <w:color w:val="auto"/>
              </w:rPr>
            </w:pPr>
            <w:r>
              <w:rPr>
                <w:rFonts w:ascii="Arial" w:cs="Arial" w:eastAsia="Arial" w:hAnsi="Arial"/>
                <w:sz w:val="18"/>
                <w:szCs w:val="18"/>
                <w:color w:val="auto"/>
              </w:rPr>
              <w:t>Laundry Newco,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LCI (Overseas) Investments (Pty) Ltd.</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Lighthouse Point, LLC</w:t>
            </w:r>
          </w:p>
        </w:tc>
        <w:tc>
          <w:tcPr>
            <w:tcW w:w="450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500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851"/>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500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5820" w:type="dxa"/>
            <w:vAlign w:val="bottom"/>
            <w:vMerge w:val="continue"/>
          </w:tcPr>
          <w:p>
            <w:pPr>
              <w:spacing w:after="0"/>
              <w:rPr>
                <w:sz w:val="19"/>
                <w:szCs w:val="19"/>
                <w:color w:val="auto"/>
              </w:rPr>
            </w:pPr>
          </w:p>
        </w:tc>
        <w:tc>
          <w:tcPr>
            <w:tcW w:w="500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LINQCUP, LLC</w:t>
            </w:r>
          </w:p>
        </w:tc>
        <w:tc>
          <w:tcPr>
            <w:tcW w:w="50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London Clubs (Overseas) Limited</w:t>
            </w:r>
          </w:p>
        </w:tc>
        <w:tc>
          <w:tcPr>
            <w:tcW w:w="500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London Clubs Brighton Limited</w:t>
            </w:r>
          </w:p>
        </w:tc>
        <w:tc>
          <w:tcPr>
            <w:tcW w:w="500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851"/>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68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6140" w:type="dxa"/>
            <w:vAlign w:val="bottom"/>
            <w:vMerge w:val="continue"/>
          </w:tcPr>
          <w:p>
            <w:pPr>
              <w:spacing w:after="0"/>
              <w:rPr>
                <w:sz w:val="19"/>
                <w:szCs w:val="19"/>
                <w:color w:val="auto"/>
              </w:rPr>
            </w:pPr>
          </w:p>
        </w:tc>
        <w:tc>
          <w:tcPr>
            <w:tcW w:w="46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London Clubs Glasgow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Holdings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International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Leeds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LSQ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Management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Manchester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Nottingham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Poker Room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South Africa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Southend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London Clubs Trustee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2"/>
        </w:trPr>
        <w:tc>
          <w:tcPr>
            <w:tcW w:w="6140" w:type="dxa"/>
            <w:vAlign w:val="bottom"/>
          </w:tcPr>
          <w:p>
            <w:pPr>
              <w:spacing w:after="0"/>
              <w:rPr>
                <w:sz w:val="20"/>
                <w:szCs w:val="20"/>
                <w:color w:val="auto"/>
              </w:rPr>
            </w:pPr>
            <w:r>
              <w:rPr>
                <w:rFonts w:ascii="Arial" w:cs="Arial" w:eastAsia="Arial" w:hAnsi="Arial"/>
                <w:sz w:val="18"/>
                <w:szCs w:val="18"/>
                <w:color w:val="auto"/>
              </w:rPr>
              <w:t>MB Development,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4"/>
        </w:trPr>
        <w:tc>
          <w:tcPr>
            <w:tcW w:w="6140" w:type="dxa"/>
            <w:vAlign w:val="bottom"/>
          </w:tcPr>
          <w:p>
            <w:pPr>
              <w:spacing w:after="0"/>
              <w:rPr>
                <w:sz w:val="20"/>
                <w:szCs w:val="20"/>
                <w:color w:val="auto"/>
              </w:rPr>
            </w:pPr>
            <w:r>
              <w:rPr>
                <w:rFonts w:ascii="Arial" w:cs="Arial" w:eastAsia="Arial" w:hAnsi="Arial"/>
                <w:sz w:val="18"/>
                <w:szCs w:val="18"/>
                <w:color w:val="auto"/>
              </w:rPr>
              <w:t>MTR Gaming Group, Inc.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8"/>
        </w:trPr>
        <w:tc>
          <w:tcPr>
            <w:tcW w:w="6140" w:type="dxa"/>
            <w:vAlign w:val="bottom"/>
          </w:tcPr>
          <w:p>
            <w:pPr>
              <w:spacing w:after="0" w:line="248" w:lineRule="exact"/>
              <w:rPr>
                <w:sz w:val="20"/>
                <w:szCs w:val="20"/>
                <w:color w:val="auto"/>
              </w:rPr>
            </w:pPr>
            <w:r>
              <w:rPr>
                <w:rFonts w:ascii="Arial" w:cs="Arial" w:eastAsia="Arial" w:hAnsi="Arial"/>
                <w:sz w:val="18"/>
                <w:szCs w:val="18"/>
                <w:color w:val="auto"/>
              </w:rPr>
              <w:t xml:space="preserve">MVCE Middle East, LLC </w:t>
            </w:r>
            <w:r>
              <w:rPr>
                <w:rFonts w:ascii="Arial" w:cs="Arial" w:eastAsia="Arial" w:hAnsi="Arial"/>
                <w:sz w:val="23"/>
                <w:szCs w:val="23"/>
                <w:i w:val="1"/>
                <w:iCs w:val="1"/>
                <w:color w:val="auto"/>
                <w:vertAlign w:val="superscript"/>
              </w:rPr>
              <w:t>(8)</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Dubai</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New Centaur,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New Gaming Capital Partnership</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2"/>
        </w:trPr>
        <w:tc>
          <w:tcPr>
            <w:tcW w:w="6140" w:type="dxa"/>
            <w:vAlign w:val="bottom"/>
          </w:tcPr>
          <w:p>
            <w:pPr>
              <w:spacing w:after="0"/>
              <w:rPr>
                <w:sz w:val="20"/>
                <w:szCs w:val="20"/>
                <w:color w:val="auto"/>
              </w:rPr>
            </w:pPr>
            <w:r>
              <w:rPr>
                <w:rFonts w:ascii="Arial" w:cs="Arial" w:eastAsia="Arial" w:hAnsi="Arial"/>
                <w:sz w:val="18"/>
                <w:szCs w:val="18"/>
                <w:color w:val="auto"/>
              </w:rPr>
              <w:t>New Jazz Enterprises,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New Robinson Property Group,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6140" w:type="dxa"/>
            <w:vAlign w:val="bottom"/>
          </w:tcPr>
          <w:p>
            <w:pPr>
              <w:spacing w:after="0"/>
              <w:rPr>
                <w:sz w:val="20"/>
                <w:szCs w:val="20"/>
                <w:color w:val="auto"/>
              </w:rPr>
            </w:pPr>
            <w:r>
              <w:rPr>
                <w:rFonts w:ascii="Arial" w:cs="Arial" w:eastAsia="Arial" w:hAnsi="Arial"/>
                <w:sz w:val="18"/>
                <w:szCs w:val="18"/>
                <w:color w:val="auto"/>
              </w:rPr>
              <w:t>New Tropicana Holdings, Inc.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New Tropicana OpCo, Inc.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Non-CPLV Manager,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Octavius/Linq Intermediate Holding,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6140" w:type="dxa"/>
            <w:vAlign w:val="bottom"/>
          </w:tcPr>
          <w:p>
            <w:pPr>
              <w:spacing w:after="0"/>
              <w:rPr>
                <w:sz w:val="20"/>
                <w:szCs w:val="20"/>
                <w:color w:val="auto"/>
              </w:rPr>
            </w:pPr>
            <w:r>
              <w:rPr>
                <w:rFonts w:ascii="Arial" w:cs="Arial" w:eastAsia="Arial" w:hAnsi="Arial"/>
                <w:sz w:val="18"/>
                <w:szCs w:val="18"/>
                <w:color w:val="auto"/>
              </w:rPr>
              <w:t>Old PID, Inc.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OS Holdco,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Pompano Park Holdings,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5"/>
        </w:trPr>
        <w:tc>
          <w:tcPr>
            <w:tcW w:w="6140" w:type="dxa"/>
            <w:vAlign w:val="bottom"/>
          </w:tcPr>
          <w:p>
            <w:pPr>
              <w:spacing w:after="0" w:line="235" w:lineRule="exact"/>
              <w:rPr>
                <w:sz w:val="20"/>
                <w:szCs w:val="20"/>
                <w:color w:val="auto"/>
              </w:rPr>
            </w:pPr>
            <w:r>
              <w:rPr>
                <w:rFonts w:ascii="Arial" w:cs="Arial" w:eastAsia="Arial" w:hAnsi="Arial"/>
                <w:sz w:val="18"/>
                <w:szCs w:val="18"/>
                <w:color w:val="auto"/>
              </w:rPr>
              <w:t>Pompano Park JV Holdings, LLC</w:t>
            </w:r>
            <w:r>
              <w:rPr>
                <w:rFonts w:ascii="Arial" w:cs="Arial" w:eastAsia="Arial" w:hAnsi="Arial"/>
                <w:sz w:val="23"/>
                <w:szCs w:val="23"/>
                <w:i w:val="1"/>
                <w:iCs w:val="1"/>
                <w:color w:val="auto"/>
                <w:vertAlign w:val="superscript"/>
              </w:rPr>
              <w:t>(9)</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Parball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140" w:type="dxa"/>
            <w:vAlign w:val="bottom"/>
          </w:tcPr>
          <w:p>
            <w:pPr>
              <w:spacing w:after="0"/>
              <w:rPr>
                <w:sz w:val="20"/>
                <w:szCs w:val="20"/>
                <w:color w:val="auto"/>
              </w:rPr>
            </w:pPr>
            <w:r>
              <w:rPr>
                <w:rFonts w:ascii="Arial" w:cs="Arial" w:eastAsia="Arial" w:hAnsi="Arial"/>
                <w:sz w:val="18"/>
                <w:szCs w:val="18"/>
                <w:color w:val="auto"/>
              </w:rPr>
              <w:t>Parball Newco,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Paris CERP Manager,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Paris Las Vegas Operating Company,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140" w:type="dxa"/>
            <w:vAlign w:val="bottom"/>
          </w:tcPr>
          <w:p>
            <w:pPr>
              <w:spacing w:after="0" w:line="255" w:lineRule="exact"/>
              <w:rPr>
                <w:sz w:val="20"/>
                <w:szCs w:val="20"/>
                <w:color w:val="auto"/>
              </w:rPr>
            </w:pPr>
            <w:r>
              <w:rPr>
                <w:rFonts w:ascii="Arial" w:cs="Arial" w:eastAsia="Arial" w:hAnsi="Arial"/>
                <w:sz w:val="18"/>
                <w:szCs w:val="18"/>
                <w:color w:val="auto"/>
              </w:rPr>
              <w:t>Parlay Solutions, LLC</w:t>
            </w:r>
            <w:r>
              <w:rPr>
                <w:rFonts w:ascii="Arial" w:cs="Arial" w:eastAsia="Arial" w:hAnsi="Arial"/>
                <w:sz w:val="23"/>
                <w:szCs w:val="23"/>
                <w:i w:val="1"/>
                <w:iCs w:val="1"/>
                <w:color w:val="auto"/>
                <w:vertAlign w:val="superscript"/>
              </w:rPr>
              <w:t>(10)</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PHW Las Vegas,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PHW Manager,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140" w:type="dxa"/>
            <w:vAlign w:val="bottom"/>
          </w:tcPr>
          <w:p>
            <w:pPr>
              <w:spacing w:after="0"/>
              <w:rPr>
                <w:sz w:val="20"/>
                <w:szCs w:val="20"/>
                <w:color w:val="auto"/>
              </w:rPr>
            </w:pPr>
            <w:r>
              <w:rPr>
                <w:rFonts w:ascii="Arial" w:cs="Arial" w:eastAsia="Arial" w:hAnsi="Arial"/>
                <w:sz w:val="18"/>
                <w:szCs w:val="18"/>
                <w:color w:val="auto"/>
              </w:rPr>
              <w:t>PHWCUP,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PHWLV,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Pier at Caesars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Playboy Club (London) Limited</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Players Bluegrass Downs,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Players Holding,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Players International,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2"/>
        </w:trPr>
        <w:tc>
          <w:tcPr>
            <w:tcW w:w="6140" w:type="dxa"/>
            <w:vAlign w:val="bottom"/>
          </w:tcPr>
          <w:p>
            <w:pPr>
              <w:spacing w:after="0"/>
              <w:rPr>
                <w:sz w:val="20"/>
                <w:szCs w:val="20"/>
                <w:color w:val="auto"/>
              </w:rPr>
            </w:pPr>
            <w:r>
              <w:rPr>
                <w:rFonts w:ascii="Arial" w:cs="Arial" w:eastAsia="Arial" w:hAnsi="Arial"/>
                <w:sz w:val="18"/>
                <w:szCs w:val="18"/>
                <w:color w:val="auto"/>
              </w:rPr>
              <w:t>PPI, Inc.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PPI Development,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PPI Development Holdings,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Racelinebet, Inc.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Rio CERP Manager,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Rio Properties, LLC</w:t>
            </w:r>
          </w:p>
        </w:tc>
        <w:tc>
          <w:tcPr>
            <w:tcW w:w="468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ectPr>
          <w:pgSz w:w="11900" w:h="16838" w:orient="portrait"/>
          <w:cols w:equalWidth="0" w:num="1">
            <w:col w:w="10820"/>
          </w:cols>
          <w:pgMar w:left="740" w:top="121" w:right="33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440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851"/>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400" w:type="dxa"/>
            <w:vAlign w:val="bottom"/>
          </w:tcPr>
          <w:p>
            <w:pPr>
              <w:jc w:val="right"/>
              <w:ind w:right="33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9"/>
        </w:trPr>
        <w:tc>
          <w:tcPr>
            <w:tcW w:w="6420" w:type="dxa"/>
            <w:vAlign w:val="bottom"/>
            <w:vMerge w:val="continue"/>
          </w:tcPr>
          <w:p>
            <w:pPr>
              <w:spacing w:after="0"/>
              <w:rPr>
                <w:sz w:val="19"/>
                <w:szCs w:val="19"/>
                <w:color w:val="auto"/>
              </w:rPr>
            </w:pPr>
          </w:p>
        </w:tc>
        <w:tc>
          <w:tcPr>
            <w:tcW w:w="440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Robinson Property Group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Roman Entertainment Corporation of Indiana</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Roman Holding Company of Indiana,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Romulus Risk and Insurance Company, Inc.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2"/>
        </w:trPr>
        <w:tc>
          <w:tcPr>
            <w:tcW w:w="6420" w:type="dxa"/>
            <w:vAlign w:val="bottom"/>
          </w:tcPr>
          <w:p>
            <w:pPr>
              <w:spacing w:after="0"/>
              <w:rPr>
                <w:sz w:val="20"/>
                <w:szCs w:val="20"/>
                <w:color w:val="auto"/>
              </w:rPr>
            </w:pPr>
            <w:r>
              <w:rPr>
                <w:rFonts w:ascii="Arial" w:cs="Arial" w:eastAsia="Arial" w:hAnsi="Arial"/>
                <w:sz w:val="18"/>
                <w:szCs w:val="18"/>
                <w:color w:val="auto"/>
              </w:rPr>
              <w:t>Scioto Downs, Inc.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SDRS, Inc.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Sharp Dressed Man Las Vegas,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6420" w:type="dxa"/>
            <w:vAlign w:val="bottom"/>
          </w:tcPr>
          <w:p>
            <w:pPr>
              <w:spacing w:after="0" w:line="255" w:lineRule="exact"/>
              <w:rPr>
                <w:sz w:val="20"/>
                <w:szCs w:val="20"/>
                <w:color w:val="auto"/>
              </w:rPr>
            </w:pPr>
            <w:r>
              <w:rPr>
                <w:rFonts w:ascii="Arial" w:cs="Arial" w:eastAsia="Arial" w:hAnsi="Arial"/>
                <w:sz w:val="18"/>
                <w:szCs w:val="18"/>
                <w:color w:val="auto"/>
              </w:rPr>
              <w:t>Sharp Dressed Man Manager, LLC</w:t>
            </w:r>
            <w:r>
              <w:rPr>
                <w:rFonts w:ascii="Arial" w:cs="Arial" w:eastAsia="Arial" w:hAnsi="Arial"/>
                <w:sz w:val="23"/>
                <w:szCs w:val="23"/>
                <w:i w:val="1"/>
                <w:iCs w:val="1"/>
                <w:color w:val="auto"/>
                <w:vertAlign w:val="superscript"/>
              </w:rPr>
              <w:t>(11</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Showboat Atlantic City Operating Company,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Southern Illinois Riverboat/Casino Cruises,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St. Charles Gaming Company,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8"/>
        </w:trPr>
        <w:tc>
          <w:tcPr>
            <w:tcW w:w="6420" w:type="dxa"/>
            <w:vAlign w:val="bottom"/>
          </w:tcPr>
          <w:p>
            <w:pPr>
              <w:spacing w:after="0" w:line="248" w:lineRule="exact"/>
              <w:rPr>
                <w:sz w:val="20"/>
                <w:szCs w:val="20"/>
                <w:color w:val="auto"/>
              </w:rPr>
            </w:pPr>
            <w:r>
              <w:rPr>
                <w:rFonts w:ascii="Arial" w:cs="Arial" w:eastAsia="Arial" w:hAnsi="Arial"/>
                <w:sz w:val="18"/>
                <w:szCs w:val="18"/>
                <w:color w:val="auto"/>
              </w:rPr>
              <w:t xml:space="preserve">Sterling Suffolk Racecourse, LLC </w:t>
            </w:r>
            <w:r>
              <w:rPr>
                <w:rFonts w:ascii="Arial" w:cs="Arial" w:eastAsia="Arial" w:hAnsi="Arial"/>
                <w:sz w:val="23"/>
                <w:szCs w:val="23"/>
                <w:i w:val="1"/>
                <w:iCs w:val="1"/>
                <w:color w:val="auto"/>
                <w:vertAlign w:val="superscript"/>
              </w:rPr>
              <w:t>(12)</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TEI (ES),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TEI (St. Louis) RE,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TEI (STLH),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TEI R7 Investment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The Caesars Foundation</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The Quad Manager,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The Sportsman Club Limited</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42"/>
        </w:trPr>
        <w:tc>
          <w:tcPr>
            <w:tcW w:w="6420" w:type="dxa"/>
            <w:vAlign w:val="bottom"/>
          </w:tcPr>
          <w:p>
            <w:pPr>
              <w:spacing w:after="0"/>
              <w:rPr>
                <w:sz w:val="20"/>
                <w:szCs w:val="20"/>
                <w:color w:val="auto"/>
              </w:rPr>
            </w:pPr>
            <w:r>
              <w:rPr>
                <w:rFonts w:ascii="Arial" w:cs="Arial" w:eastAsia="Arial" w:hAnsi="Arial"/>
                <w:sz w:val="18"/>
                <w:szCs w:val="18"/>
                <w:color w:val="auto"/>
              </w:rPr>
              <w:t>Tropicana Atlantic City Corp.</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Tropicana Entertainment, Inc.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Tropicana Laughlin,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Tropicana St. Louis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Tropicana St. Louis RE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TropWorld Games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Tunica Roadhouse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Vegas Development Land Owner, LLC</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Windsor Casino Limited</w:t>
            </w:r>
          </w:p>
        </w:tc>
        <w:tc>
          <w:tcPr>
            <w:tcW w:w="4400" w:type="dxa"/>
            <w:vAlign w:val="bottom"/>
          </w:tcPr>
          <w:p>
            <w:pPr>
              <w:jc w:val="right"/>
              <w:ind w:right="33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560" w:hanging="398"/>
        <w:spacing w:after="0"/>
        <w:tabs>
          <w:tab w:leader="none" w:pos="560" w:val="left"/>
        </w:tabs>
        <w:numPr>
          <w:ilvl w:val="0"/>
          <w:numId w:val="173"/>
        </w:numPr>
        <w:rPr>
          <w:rFonts w:ascii="Arial" w:cs="Arial" w:eastAsia="Arial" w:hAnsi="Arial"/>
          <w:sz w:val="16"/>
          <w:szCs w:val="16"/>
          <w:i w:val="1"/>
          <w:iCs w:val="1"/>
          <w:color w:val="auto"/>
        </w:rPr>
      </w:pPr>
      <w:r>
        <w:rPr>
          <w:rFonts w:ascii="Arial" w:cs="Arial" w:eastAsia="Arial" w:hAnsi="Arial"/>
          <w:sz w:val="16"/>
          <w:szCs w:val="16"/>
          <w:color w:val="auto"/>
        </w:rPr>
        <w:t>69% CEOC, LLC; 31% Caesars Resort Collection, LLC</w:t>
      </w:r>
    </w:p>
    <w:p>
      <w:pPr>
        <w:spacing w:after="0" w:line="46" w:lineRule="exact"/>
        <w:rPr>
          <w:sz w:val="20"/>
          <w:szCs w:val="20"/>
          <w:color w:val="auto"/>
        </w:rPr>
      </w:pPr>
    </w:p>
    <w:p>
      <w:pPr>
        <w:ind w:left="560" w:hanging="398"/>
        <w:spacing w:after="0"/>
        <w:tabs>
          <w:tab w:leader="none" w:pos="560" w:val="left"/>
        </w:tabs>
        <w:numPr>
          <w:ilvl w:val="0"/>
          <w:numId w:val="174"/>
        </w:numPr>
        <w:rPr>
          <w:rFonts w:ascii="Arial" w:cs="Arial" w:eastAsia="Arial" w:hAnsi="Arial"/>
          <w:sz w:val="16"/>
          <w:szCs w:val="16"/>
          <w:i w:val="1"/>
          <w:iCs w:val="1"/>
          <w:color w:val="auto"/>
        </w:rPr>
      </w:pPr>
      <w:r>
        <w:rPr>
          <w:rFonts w:ascii="Arial" w:cs="Arial" w:eastAsia="Arial" w:hAnsi="Arial"/>
          <w:sz w:val="16"/>
          <w:szCs w:val="16"/>
          <w:color w:val="auto"/>
        </w:rPr>
        <w:t>75.8% CR Baltimore Holdings, LLC; 24.2% third party shareholders</w:t>
      </w:r>
    </w:p>
    <w:p>
      <w:pPr>
        <w:spacing w:after="0" w:line="45" w:lineRule="exact"/>
        <w:rPr>
          <w:rFonts w:ascii="Arial" w:cs="Arial" w:eastAsia="Arial" w:hAnsi="Arial"/>
          <w:sz w:val="16"/>
          <w:szCs w:val="16"/>
          <w:i w:val="1"/>
          <w:iCs w:val="1"/>
          <w:color w:val="auto"/>
        </w:rPr>
      </w:pPr>
    </w:p>
    <w:p>
      <w:pPr>
        <w:ind w:left="16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3</w:t>
      </w:r>
      <w:r>
        <w:rPr>
          <w:rFonts w:ascii="Arial" w:cs="Arial" w:eastAsia="Arial" w:hAnsi="Arial"/>
          <w:sz w:val="14"/>
          <w:szCs w:val="14"/>
          <w:color w:val="auto"/>
        </w:rPr>
        <w:t>42% Scioto Downs, Inc.; 58% third party shareholder</w:t>
      </w:r>
    </w:p>
    <w:p>
      <w:pPr>
        <w:spacing w:after="0" w:line="32" w:lineRule="exact"/>
        <w:rPr>
          <w:rFonts w:ascii="Arial" w:cs="Arial" w:eastAsia="Arial" w:hAnsi="Arial"/>
          <w:sz w:val="16"/>
          <w:szCs w:val="16"/>
          <w:i w:val="1"/>
          <w:iCs w:val="1"/>
          <w:color w:val="auto"/>
        </w:rPr>
      </w:pPr>
    </w:p>
    <w:p>
      <w:pPr>
        <w:ind w:left="160" w:right="4560"/>
        <w:spacing w:after="0" w:line="299"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4 </w:t>
      </w:r>
      <w:r>
        <w:rPr>
          <w:rFonts w:ascii="Arial" w:cs="Arial" w:eastAsia="Arial" w:hAnsi="Arial"/>
          <w:sz w:val="16"/>
          <w:szCs w:val="16"/>
          <w:color w:val="auto"/>
        </w:rPr>
        <w:t>58.51% Caesars Baltimore Investment Company, LLC; 41.49% third party shareholders</w:t>
      </w:r>
      <w:r>
        <w:rPr>
          <w:rFonts w:ascii="Arial" w:cs="Arial" w:eastAsia="Arial" w:hAnsi="Arial"/>
          <w:sz w:val="16"/>
          <w:szCs w:val="16"/>
          <w:i w:val="1"/>
          <w:iCs w:val="1"/>
          <w:color w:val="auto"/>
        </w:rPr>
        <w:t xml:space="preserve"> 5 </w:t>
      </w:r>
      <w:r>
        <w:rPr>
          <w:rFonts w:ascii="Arial" w:cs="Arial" w:eastAsia="Arial" w:hAnsi="Arial"/>
          <w:sz w:val="16"/>
          <w:szCs w:val="16"/>
          <w:color w:val="auto"/>
        </w:rPr>
        <w:t>80% Harrah's Illinois LLC; 20% third party shareholder</w:t>
      </w:r>
    </w:p>
    <w:p>
      <w:pPr>
        <w:ind w:left="160" w:right="5580"/>
        <w:spacing w:after="0" w:line="319" w:lineRule="auto"/>
        <w:rPr>
          <w:rFonts w:ascii="Arial" w:cs="Arial" w:eastAsia="Arial" w:hAnsi="Arial"/>
          <w:sz w:val="16"/>
          <w:szCs w:val="16"/>
          <w:i w:val="1"/>
          <w:iCs w:val="1"/>
          <w:color w:val="auto"/>
        </w:rPr>
      </w:pPr>
      <w:r>
        <w:rPr>
          <w:rFonts w:ascii="Arial" w:cs="Arial" w:eastAsia="Arial" w:hAnsi="Arial"/>
          <w:sz w:val="15"/>
          <w:szCs w:val="15"/>
          <w:i w:val="1"/>
          <w:iCs w:val="1"/>
          <w:color w:val="auto"/>
        </w:rPr>
        <w:t xml:space="preserve">6 </w:t>
      </w:r>
      <w:r>
        <w:rPr>
          <w:rFonts w:ascii="Arial" w:cs="Arial" w:eastAsia="Arial" w:hAnsi="Arial"/>
          <w:sz w:val="15"/>
          <w:szCs w:val="15"/>
          <w:color w:val="auto"/>
        </w:rPr>
        <w:t>70% LCI (Overseas) Investments Pty Ltd.; 30% third party shareholders</w:t>
      </w:r>
      <w:r>
        <w:rPr>
          <w:rFonts w:ascii="Arial" w:cs="Arial" w:eastAsia="Arial" w:hAnsi="Arial"/>
          <w:sz w:val="15"/>
          <w:szCs w:val="15"/>
          <w:i w:val="1"/>
          <w:iCs w:val="1"/>
          <w:color w:val="auto"/>
        </w:rPr>
        <w:t xml:space="preserve"> 7 </w:t>
      </w:r>
      <w:r>
        <w:rPr>
          <w:rFonts w:ascii="Arial" w:cs="Arial" w:eastAsia="Arial" w:hAnsi="Arial"/>
          <w:sz w:val="15"/>
          <w:szCs w:val="15"/>
          <w:color w:val="auto"/>
        </w:rPr>
        <w:t>8.65% GB Investor, LLC; 91.35% third party shareholder</w:t>
      </w:r>
    </w:p>
    <w:p>
      <w:pPr>
        <w:ind w:left="16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8</w:t>
      </w:r>
      <w:r>
        <w:rPr>
          <w:rFonts w:ascii="Arial" w:cs="Arial" w:eastAsia="Arial" w:hAnsi="Arial"/>
          <w:sz w:val="14"/>
          <w:szCs w:val="14"/>
          <w:color w:val="auto"/>
        </w:rPr>
        <w:t>49% Caesars Dubai LLC; 51% third party shareholder</w:t>
      </w:r>
    </w:p>
    <w:p>
      <w:pPr>
        <w:spacing w:after="0" w:line="45" w:lineRule="exact"/>
        <w:rPr>
          <w:rFonts w:ascii="Arial" w:cs="Arial" w:eastAsia="Arial" w:hAnsi="Arial"/>
          <w:sz w:val="16"/>
          <w:szCs w:val="16"/>
          <w:i w:val="1"/>
          <w:iCs w:val="1"/>
          <w:color w:val="auto"/>
        </w:rPr>
      </w:pPr>
    </w:p>
    <w:p>
      <w:pPr>
        <w:ind w:left="16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9</w:t>
      </w:r>
      <w:r>
        <w:rPr>
          <w:rFonts w:ascii="Arial" w:cs="Arial" w:eastAsia="Arial" w:hAnsi="Arial"/>
          <w:sz w:val="14"/>
          <w:szCs w:val="14"/>
          <w:color w:val="auto"/>
        </w:rPr>
        <w:t>50% PPI Development, LLC; 50% third party shareholder</w:t>
      </w:r>
    </w:p>
    <w:p>
      <w:pPr>
        <w:spacing w:after="0" w:line="32" w:lineRule="exact"/>
        <w:rPr>
          <w:sz w:val="20"/>
          <w:szCs w:val="20"/>
          <w:color w:val="auto"/>
        </w:rPr>
      </w:pPr>
    </w:p>
    <w:p>
      <w:pPr>
        <w:ind w:left="560" w:hanging="439"/>
        <w:spacing w:after="0"/>
        <w:tabs>
          <w:tab w:leader="none" w:pos="560" w:val="left"/>
        </w:tabs>
        <w:numPr>
          <w:ilvl w:val="0"/>
          <w:numId w:val="175"/>
        </w:numPr>
        <w:rPr>
          <w:rFonts w:ascii="Arial" w:cs="Arial" w:eastAsia="Arial" w:hAnsi="Arial"/>
          <w:sz w:val="16"/>
          <w:szCs w:val="16"/>
          <w:i w:val="1"/>
          <w:iCs w:val="1"/>
          <w:color w:val="auto"/>
        </w:rPr>
      </w:pPr>
      <w:r>
        <w:rPr>
          <w:rFonts w:ascii="Arial" w:cs="Arial" w:eastAsia="Arial" w:hAnsi="Arial"/>
          <w:sz w:val="16"/>
          <w:szCs w:val="16"/>
          <w:color w:val="auto"/>
        </w:rPr>
        <w:t>50% Caesars Parlay Holdings, LLC; 50% third party shareholder</w:t>
      </w:r>
    </w:p>
    <w:p>
      <w:pPr>
        <w:spacing w:after="0" w:line="45" w:lineRule="exact"/>
        <w:rPr>
          <w:rFonts w:ascii="Arial" w:cs="Arial" w:eastAsia="Arial" w:hAnsi="Arial"/>
          <w:sz w:val="16"/>
          <w:szCs w:val="16"/>
          <w:i w:val="1"/>
          <w:iCs w:val="1"/>
          <w:color w:val="auto"/>
        </w:rPr>
      </w:pPr>
    </w:p>
    <w:p>
      <w:pPr>
        <w:ind w:left="560" w:hanging="433"/>
        <w:spacing w:after="0"/>
        <w:tabs>
          <w:tab w:leader="none" w:pos="560" w:val="left"/>
        </w:tabs>
        <w:numPr>
          <w:ilvl w:val="0"/>
          <w:numId w:val="175"/>
        </w:numPr>
        <w:rPr>
          <w:rFonts w:ascii="Arial" w:cs="Arial" w:eastAsia="Arial" w:hAnsi="Arial"/>
          <w:sz w:val="16"/>
          <w:szCs w:val="16"/>
          <w:i w:val="1"/>
          <w:iCs w:val="1"/>
          <w:color w:val="auto"/>
        </w:rPr>
      </w:pPr>
      <w:r>
        <w:rPr>
          <w:rFonts w:ascii="Arial" w:cs="Arial" w:eastAsia="Arial" w:hAnsi="Arial"/>
          <w:sz w:val="16"/>
          <w:szCs w:val="16"/>
          <w:color w:val="auto"/>
        </w:rPr>
        <w:t>50% Caesars Hospitality, LLC; 50% third-party shareholder</w:t>
      </w:r>
    </w:p>
    <w:p>
      <w:pPr>
        <w:spacing w:after="0" w:line="45" w:lineRule="exact"/>
        <w:rPr>
          <w:rFonts w:ascii="Arial" w:cs="Arial" w:eastAsia="Arial" w:hAnsi="Arial"/>
          <w:sz w:val="16"/>
          <w:szCs w:val="16"/>
          <w:i w:val="1"/>
          <w:iCs w:val="1"/>
          <w:color w:val="auto"/>
        </w:rPr>
      </w:pPr>
    </w:p>
    <w:p>
      <w:pPr>
        <w:ind w:left="560" w:hanging="439"/>
        <w:spacing w:after="0"/>
        <w:tabs>
          <w:tab w:leader="none" w:pos="560" w:val="left"/>
        </w:tabs>
        <w:numPr>
          <w:ilvl w:val="0"/>
          <w:numId w:val="175"/>
        </w:numPr>
        <w:rPr>
          <w:rFonts w:ascii="Arial" w:cs="Arial" w:eastAsia="Arial" w:hAnsi="Arial"/>
          <w:sz w:val="16"/>
          <w:szCs w:val="16"/>
          <w:i w:val="1"/>
          <w:iCs w:val="1"/>
          <w:color w:val="auto"/>
        </w:rPr>
      </w:pPr>
      <w:r>
        <w:rPr>
          <w:rFonts w:ascii="Arial" w:cs="Arial" w:eastAsia="Arial" w:hAnsi="Arial"/>
          <w:sz w:val="16"/>
          <w:szCs w:val="16"/>
          <w:color w:val="auto"/>
        </w:rPr>
        <w:t>4.09% Caesars Massachusetts Investment Company, LLC; 95.91% third party shareholders</w:t>
      </w:r>
    </w:p>
    <w:p>
      <w:pPr>
        <w:sectPr>
          <w:pgSz w:w="11900" w:h="16838" w:orient="portrait"/>
          <w:cols w:equalWidth="0" w:num="1">
            <w:col w:w="10820"/>
          </w:cols>
          <w:pgMar w:left="740" w:top="12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6"/>
          <w:szCs w:val="16"/>
          <w:b w:val="1"/>
          <w:bCs w:val="1"/>
          <w:color w:val="auto"/>
        </w:rPr>
        <w:t>Exhibit 23.1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We consent to the incorporation by reference in Registration Statement Nos. 333-198830, 333-203227, 333-232336, and 333-245051 on Form S-8, Registration Statement Nos. 333-233591 and 333-214422 on Form S-4, and Registration Statement Nos. 333-239175 and 333-218775 on Form S-3 of our reports dated February 25, 2021, relating to the financial statements of Caesars Entertainment, Inc. (the “Company”) and the effectiveness of the Company’s internal control over financial reporting appearing in this Annual Report on Form 10-K for the year ended December 31, 2020.</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333333"/>
        </w:rPr>
        <w:t>February 26, 2021</w:t>
      </w:r>
    </w:p>
    <w:p>
      <w:pPr>
        <w:sectPr>
          <w:pgSz w:w="11900" w:h="16838" w:orient="portrait"/>
          <w:cols w:equalWidth="0" w:num="1">
            <w:col w:w="11240"/>
          </w:cols>
          <w:pgMar w:left="320" w:top="909" w:right="339" w:bottom="1440" w:gutter="0" w:footer="0" w:header="0"/>
        </w:sectPr>
      </w:pPr>
    </w:p>
    <w:bookmarkStart w:id="246" w:name="page247"/>
    <w:bookmarkEnd w:id="246"/>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48"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Registration Statement on Form S-3 (Nos. 333-218775 and 333-239175) and in the related Prospectus of Caesars Entertainment, Inc. (formerly Eldorado Resorts, Inc.);</w:t>
      </w:r>
    </w:p>
    <w:p>
      <w:pPr>
        <w:spacing w:after="0" w:line="42"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Registration Statements on Form S-4 (Nos. 333-233591 and 333-214422) and in the related Prospectus of Caesars Entertainment, Inc. (formerly Eldorado Resorts, Inc.); and</w:t>
      </w:r>
    </w:p>
    <w:p>
      <w:pPr>
        <w:ind w:left="340" w:hanging="332"/>
        <w:spacing w:after="0"/>
        <w:tabs>
          <w:tab w:leader="none" w:pos="3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Registration Statements on Form S-8 (Nos. 333-198830, 333-203227, 333-232336, and 333-245051) of Caesars Entertainment, Inc. (formerly Eldorado Resorts, Inc.)</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of our report dated February 27, 2020 with respect to the consolidated financial statements of Caesars Entertainment, Inc. (formerly Eldorado Resorts, Inc.) as of December 31, 2019 and for the two years then ended included this Annual Report (Form 10-K) of Caesars Entertainment, Inc. (formerly Eldorado Resorts, Inc.) for the year ended December 31, 2020.</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Las Vegas, Nevada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1440"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line="207" w:lineRule="exact"/>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24" w:lineRule="exact"/>
        <w:tabs>
          <w:tab w:leader="none" w:pos="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02" w:lineRule="exact"/>
        <w:rPr>
          <w:rFonts w:ascii="Arial" w:cs="Arial" w:eastAsia="Arial" w:hAnsi="Arial"/>
          <w:sz w:val="16"/>
          <w:szCs w:val="16"/>
          <w:color w:val="auto"/>
        </w:rPr>
      </w:pPr>
    </w:p>
    <w:p>
      <w:pPr>
        <w:ind w:left="1300" w:right="120" w:hanging="644"/>
        <w:spacing w:after="0" w:line="263" w:lineRule="auto"/>
        <w:tabs>
          <w:tab w:leader="none" w:pos="129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2021</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29317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February 26, 2021</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9317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300" w:hanging="482"/>
        <w:spacing w:after="0" w:line="277"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300" w:right="20" w:hanging="482"/>
        <w:spacing w:after="0" w:line="277"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February 26, 2021</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9317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300" w:hanging="644"/>
        <w:spacing w:after="0" w:line="277"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February 26, 2021</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29317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124"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establishing minimum procedures for internal fiscal affairs and the safeguarding of assets and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130"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interpret and enforce gaming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impose disciplinary sanctions for violations, including fines and penalties;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establish and collect fees and taxes.</w:t>
      </w:r>
    </w:p>
    <w:p>
      <w:pPr>
        <w:spacing w:after="0" w:line="171" w:lineRule="exact"/>
        <w:rPr>
          <w:sz w:val="20"/>
          <w:szCs w:val="20"/>
          <w:color w:val="auto"/>
        </w:rPr>
      </w:pPr>
    </w:p>
    <w:p>
      <w:pPr>
        <w:ind w:right="2160"/>
        <w:spacing w:after="0" w:line="438" w:lineRule="auto"/>
        <w:rPr>
          <w:sz w:val="20"/>
          <w:szCs w:val="20"/>
          <w:color w:val="auto"/>
        </w:rPr>
      </w:pPr>
      <w:r>
        <w:rPr>
          <w:rFonts w:ascii="Arial" w:cs="Arial" w:eastAsia="Arial" w:hAnsi="Arial"/>
          <w:sz w:val="18"/>
          <w:szCs w:val="18"/>
          <w:color w:val="auto"/>
        </w:rPr>
        <w:t xml:space="preserve">Any change in the laws or regulations of a gaming jurisdiction could have a material adverse effect on our gaming operations. </w:t>
      </w:r>
      <w:r>
        <w:rPr>
          <w:rFonts w:ascii="Arial" w:cs="Arial" w:eastAsia="Arial" w:hAnsi="Arial"/>
          <w:sz w:val="18"/>
          <w:szCs w:val="18"/>
          <w:b w:val="1"/>
          <w:bCs w:val="1"/>
          <w:i w:val="1"/>
          <w:iCs w:val="1"/>
          <w:color w:val="auto"/>
        </w:rPr>
        <w:t>Licensing and Suitability Determinations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18" w:right="339" w:bottom="1440" w:gutter="0" w:footer="0" w:header="0"/>
          <w:type w:val="continuous"/>
        </w:sectPr>
      </w:pPr>
    </w:p>
    <w:bookmarkStart w:id="252" w:name="page253"/>
    <w:bookmarkEnd w:id="252"/>
    <w:p>
      <w:pPr>
        <w:spacing w:after="0" w:line="277" w:lineRule="auto"/>
        <w:rPr>
          <w:sz w:val="20"/>
          <w:szCs w:val="20"/>
          <w:color w:val="auto"/>
        </w:rPr>
      </w:pPr>
      <w:r>
        <w:rPr>
          <w:rFonts w:ascii="Arial" w:cs="Arial" w:eastAsia="Arial" w:hAnsi="Arial"/>
          <w:sz w:val="18"/>
          <w:szCs w:val="18"/>
          <w:color w:val="auto"/>
        </w:rPr>
        <w:t>Criteria used in determining whether to grant or renew a license to conduct gaming operations, while varying between jurisdictions, generally include consideration of factors such as:</w:t>
      </w:r>
    </w:p>
    <w:p>
      <w:pPr>
        <w:spacing w:after="0" w:line="116"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good character, honesty and integrity of the applicant;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state and exhibits the ability to maintain adequate insurance levels; the quality of the applicant’s casino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state from the operation of the applicant’s casino;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applicant’s practices with respect to minority hiring and training;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7" w:right="339" w:bottom="1440" w:gutter="0" w:footer="0" w:header="0"/>
        </w:sectPr>
      </w:pPr>
    </w:p>
    <w:bookmarkStart w:id="253" w:name="page254"/>
    <w:bookmarkEnd w:id="253"/>
    <w:p>
      <w:pPr>
        <w:jc w:val="both"/>
        <w:spacing w:after="0" w:line="277" w:lineRule="auto"/>
        <w:rPr>
          <w:sz w:val="20"/>
          <w:szCs w:val="20"/>
          <w:color w:val="auto"/>
        </w:rPr>
      </w:pPr>
      <w:r>
        <w:rPr>
          <w:rFonts w:ascii="Arial" w:cs="Arial" w:eastAsia="Arial" w:hAnsi="Arial"/>
          <w:sz w:val="18"/>
          <w:szCs w:val="18"/>
          <w:color w:val="auto"/>
        </w:rPr>
        <w:t>lawful efforts to require such unsuitable person to relinquish his voting securities including, if necessary, the immediate purchase of said voting securities for cash at fair market value.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Gaming Laws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and Recordkeeping Requirements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Transactions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stockholders for the purpose of acquiring control of the registered corporation.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Because of regulatory restrictions, our ability to grant a security interest in any of our gaming assets is limited and subject to receipt of prior approval from gaming authorities. Further, a pledge of the stock of a subsidiary holding a gaming license and the foreclosure of such a pledge may be ineffective without the prior approval of gaming authorities in certain jurisdictions.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certain gaming authorities.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jurisdictions also require us to file a report with the gaming authority within a prescribed period of time following certain financial transactions and the offering of debt securities. Certain gaming authorities reserve the right to order such transactions rescinded.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7" w:right="339" w:bottom="1440" w:gutter="0" w:footer="0" w:header="0"/>
        </w:sectPr>
      </w:pPr>
    </w:p>
    <w:bookmarkStart w:id="254" w:name="page255"/>
    <w:bookmarkEnd w:id="254"/>
    <w:p>
      <w:pPr>
        <w:jc w:val="both"/>
        <w:spacing w:after="0" w:line="308" w:lineRule="auto"/>
        <w:rPr>
          <w:sz w:val="20"/>
          <w:szCs w:val="20"/>
          <w:color w:val="auto"/>
        </w:rPr>
      </w:pPr>
      <w:r>
        <w:rPr>
          <w:rFonts w:ascii="Arial" w:cs="Arial" w:eastAsia="Arial" w:hAnsi="Arial"/>
          <w:sz w:val="17"/>
          <w:szCs w:val="17"/>
          <w:color w:val="auto"/>
        </w:rPr>
        <w:t>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w:t>
      </w:r>
    </w:p>
    <w:p>
      <w:pPr>
        <w:spacing w:after="0" w:line="92"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Certain jurisdictions require that an independent audit committee oversee the functions of surveillance and internal audit departments at our casinos. </w:t>
      </w:r>
      <w:r>
        <w:rPr>
          <w:rFonts w:ascii="Arial" w:cs="Arial" w:eastAsia="Arial" w:hAnsi="Arial"/>
          <w:sz w:val="18"/>
          <w:szCs w:val="18"/>
          <w:b w:val="1"/>
          <w:bCs w:val="1"/>
          <w:i w:val="1"/>
          <w:iCs w:val="1"/>
          <w:color w:val="auto"/>
        </w:rPr>
        <w:t>License Fees and Gaming Taxes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11"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percentage of the gross gaming revenues received;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admission fees for customers boarding our riverboat casinos; and/or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one time fees payable upon the initial receipt of license and fees in connection with the renewal of license.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taxes specifically unique to gaming, we are required to pay all other applicable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jurisdictions apply specific conditions that impact our ability to conduct gaming and non-gaming operations. Examples include but are not limited to: Our land-based casino in New Orleans operates under a casino operating contract (the “COC”) with the State of Louisiana by and through the Louisiana Gaming Control Board, which assumed the regulatory authority, control and jurisdiction from the Louisiana Economic Development Control Board pursuant to Louisiana Revised Statute 27:31. The COC was recently renegotiated to extend the term by thirty years to 2054. Under Louisiana state law, our New Orleans casino is subject to restrictions on the number of hotel rooms, the amount of meeting space within the hotel and how we may market and advertise the rates we charge for rooms. Also in Louisiana we are required to comply with certain operating conditions applicable to our subsidiaries. In Mississippi we are required to provide certain amenities at our operations. In Iowa we have entered into agreements with non-profit organizations that hold the license to conduct gambling games. Similar conditions are applicable to subsidiaries in additional jurisdictions.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7" w:right="3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i w:val="1"/>
          <w:iCs w:val="1"/>
          <w:color w:val="auto"/>
        </w:rPr>
        <w:t>Indian Gaming</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terms and conditions of management contracts and the operation of casinos and all gaming on Indian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 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and Harrah’s Resort Southern California (Rincon) provide Class II gaming and, as limited by the tribal-state compacts, Class III gaming. Harrah’s Cherokee currently provides only Class III gaming.</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our permanent certification from the Arizona Department of Gaming as management contractor for the Ak-Chin Indian Community’s casino, a Tribal-State Compact Gaming Resource Supplier Finding of Suitability from the California Gambling Control Commission in connection with management of the Rincon San Luiseno Band of Indians casino, and have been licensed by the relevant tribal gaming authorities to manage the Ak-Chin Indian Community’s casino, the Eastern Band of Cherokee Indians’ casino and the Rincon San Luiseno Band of Indians’ casino, respectively. In addition, we provide advisory services under an agreement with the Buena Vista Rancheria of We-Muk Indians of California tribe for their casino operated in Ione, California.</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IGRA requires NIGC approval of management contracts for Class II and Class III gaming as well as the review of all agreements collateral to the management contracts. Management contracts which are not so approved are void.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contracts can be modified or canceled pursuant to an enforcement action taken by the NIGC based on a violation of the law or an issue affecting suitability.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the management company. The possession of valid licenses from the Ak-Chin Indian Community, the Eastern Band of Cherokee Indians and the Rincon San Luiseno Band of Indians, are ongoing conditions of our agreements with these tribes.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Riverboat Casinos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operational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Racetracks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conduct standard bred harness racing at Harrah’s Hoosier Park in Anderson, Indiana, harness racing at Harrah’s Philadelphia in Chester, Pennsylvania, thoroughbred racing at Indiana Grand Racing &amp; Casino in Shelbyville, Indiana, live horse racing at Louisiana Downs in Bossier City, Louisiana, horse racing operations at our harness racing track Isle Casino Racing Pompano Park, located in Pompano Beach, Florida, and live standard bred harness racing at Scioto Downs in the Columbus, Ohio area. Each of these facilities also offer pari-mutuel wagering and live wagering on races held at other facilities.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operate a mix of poker, slot, table games and video lottery terminals at our racetracks depending on the local regulatory environment. Generally, our gaming operations at racetracks are regulated in the same manner as our gaming operations in other jurisdictions. In some jurisdictions, our ability to conduct gaming operations may be conditioned on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57"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maintenance of agreements or certain arrangements with horsemen’s or labor groups or meeting minimum live racing requirements.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Interactive &amp; Internet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recent years, Caesars Interactive Entertainment, LLC has entered into license agreements with third parties for the use of the World Series of Poker brand on online gaming websites in Italy and France. In addition, the State of Nevada legalized real money online internet poker within the State. The Nevada Gaming Commission adopted regulations and established licensing requirements for the operation of real money online internet poker in the State of Nevada. Caesars Interactive Entertainment, LLC obtained the appropriate licenses in Nevada, and pursuant to a relationship with a third-party software provider, operation of its real money website began in September 2013. The State of New Jersey also legalized real money online internet gaming within the State. The New Jersey regulators adopted regulations and established licensing requirements for the operation of real money online internet gaming in the State of New Jersey. Caesars Interactive Entertainment New Jersey, LLC, a wholly owned subsidiary of Caesars Interactive Entertainment, LLC, obtained a casino license and was issued an Internet Gaming Permit. In conjunction with two third-party platform providers, operation of its real money websites began in November 2013. Tropicana Atlantic City also received an Internet Gaming Permit and offers internet gaming services pursuant to that permit. Several states, including Nevada and New Jersey, have also authorized internet- based sports wagering; we and our partners continue to monitor these and other domestic markets for points of entry.</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gaming and other laws and regulations to which we are subject could change or could be interpreted differently in the future, or new laws and regulations could be enacted. For example, in 2018, the U.S. Department of Justice (the “DOJ”) reversed its previously- issued opinion published in 2011, which stated that interstate transmissions of wire communications that do not relate to a “sporting event or contest” fall outside the purview of the Wire Act of 1961 (the “Wire Act”). The DOJ’s updated opinion, which is the subject of ongoing litigation in federal court, stated instead that the Wire Act was not uniformly limited to gaming relating to sporting events or contests and that certain of its provisions apply to non-sports-related wagering activity. Any such material changes, new laws or regulations, or material differences in interpretations by courts or governmental authorities could adversely affect our business and operating results.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Book Wagering &amp; Online Wagering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57"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balance sheets as of December 31, 2020 and 2019, statements of operations for years ended December 31, 2020 and 2019, cash flows for years ended December 31, 2020 and 2019, and Adjusted EBITDA for the quarter and year ended December 31, 2020 of Caesars Resort Collection, LLC (“CRC”), as it consolidates into CEI as a wholly-owned subsidiary. “Other Operations, Eliminations” presents the operations of CEI’s other subsidiaries, including eliminations of intercompany transactions. CEI consolidated balance does not include CRC until the period starting from July 20,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December 31, 2020 and 2019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 2020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w w:val="99"/>
              </w:rPr>
              <w:t>December 31,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300"/>
              <w:spacing w:after="0" w:line="158"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CEI</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Other Operations,</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6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(1)</w:t>
            </w:r>
          </w:p>
        </w:tc>
        <w:tc>
          <w:tcPr>
            <w:tcW w:w="120" w:type="dxa"/>
            <w:vAlign w:val="bottom"/>
          </w:tcPr>
          <w:p>
            <w:pPr>
              <w:spacing w:after="0"/>
              <w:rPr>
                <w:sz w:val="14"/>
                <w:szCs w:val="14"/>
                <w:color w:val="auto"/>
              </w:rPr>
            </w:pPr>
          </w:p>
        </w:tc>
        <w:tc>
          <w:tcPr>
            <w:tcW w:w="126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Operations,</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6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(1)</w:t>
            </w:r>
          </w:p>
        </w:tc>
        <w:tc>
          <w:tcPr>
            <w:tcW w:w="1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3"/>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72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4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Investments in and advances to unconsolidated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licenses and other intangibles,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24,304</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LIABILITIES AND STOCKHOLDERS’</w:t>
            </w: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Due to affiliates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Long-term debt to related party</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24,304</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185"/>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years ended December 31, 2020 and 2019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680"/>
              <w:spacing w:after="0"/>
              <w:rPr>
                <w:sz w:val="20"/>
                <w:szCs w:val="20"/>
                <w:color w:val="auto"/>
              </w:rPr>
            </w:pPr>
            <w:r>
              <w:rPr>
                <w:rFonts w:ascii="Arial" w:cs="Arial" w:eastAsia="Arial" w:hAnsi="Arial"/>
                <w:sz w:val="16"/>
                <w:szCs w:val="16"/>
                <w:b w:val="1"/>
                <w:bCs w:val="1"/>
                <w:color w:val="auto"/>
                <w:w w:val="99"/>
              </w:rPr>
              <w:t>Year Ended December 31, 2020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December 31, 2019</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Other</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Other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4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4,399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w w:val="94"/>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(loss) income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(loss) income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gridSpan w:val="2"/>
          </w:tcPr>
          <w:p>
            <w:pPr>
              <w:spacing w:after="0" w:line="146" w:lineRule="exact"/>
              <w:rPr>
                <w:sz w:val="20"/>
                <w:szCs w:val="20"/>
                <w:color w:val="auto"/>
              </w:rPr>
            </w:pPr>
            <w:r>
              <w:rPr>
                <w:rFonts w:ascii="Arial" w:cs="Arial" w:eastAsia="Arial" w:hAnsi="Arial"/>
                <w:sz w:val="16"/>
                <w:szCs w:val="16"/>
                <w:color w:val="auto"/>
              </w:rPr>
              <w:t>(Loss) income from continuing operations</w:t>
            </w: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before income taxes</w:t>
            </w: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Net (loss) income from continuing</w:t>
            </w: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6"/>
                <w:szCs w:val="16"/>
                <w:color w:val="auto"/>
              </w:rPr>
              <w:t>operations, net of income taxes</w:t>
            </w: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Discontinued operations, net of income</w:t>
            </w: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taxes</w:t>
            </w: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Net (loss) income attributable to</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Net (loss) income attributable to Caesars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186"/>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years ended December 31, 2020 and 2019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264"/>
              <w:spacing w:after="0"/>
              <w:rPr>
                <w:sz w:val="20"/>
                <w:szCs w:val="20"/>
                <w:color w:val="auto"/>
              </w:rPr>
            </w:pPr>
            <w:r>
              <w:rPr>
                <w:rFonts w:ascii="Arial" w:cs="Arial" w:eastAsia="Arial" w:hAnsi="Arial"/>
                <w:sz w:val="15"/>
                <w:szCs w:val="15"/>
                <w:b w:val="1"/>
                <w:bCs w:val="1"/>
                <w:color w:val="auto"/>
                <w:w w:val="91"/>
              </w:rPr>
              <w:t>Year Ended December 31, 2020</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324"/>
              <w:spacing w:after="0"/>
              <w:rPr>
                <w:sz w:val="20"/>
                <w:szCs w:val="20"/>
                <w:color w:val="auto"/>
              </w:rPr>
            </w:pPr>
            <w:r>
              <w:rPr>
                <w:rFonts w:ascii="Arial" w:cs="Arial" w:eastAsia="Arial" w:hAnsi="Arial"/>
                <w:sz w:val="15"/>
                <w:szCs w:val="15"/>
                <w:b w:val="1"/>
                <w:bCs w:val="1"/>
                <w:color w:val="auto"/>
                <w:w w:val="91"/>
              </w:rPr>
              <w:t>Year Ended December 31, 2019</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(In millions)</w:t>
            </w:r>
          </w:p>
        </w:tc>
        <w:tc>
          <w:tcPr>
            <w:tcW w:w="380" w:type="dxa"/>
            <w:vAlign w:val="bottom"/>
          </w:tcPr>
          <w:p>
            <w:pPr>
              <w:spacing w:after="0"/>
              <w:rPr>
                <w:sz w:val="12"/>
                <w:szCs w:val="12"/>
                <w:color w:val="auto"/>
              </w:rPr>
            </w:pPr>
          </w:p>
        </w:tc>
        <w:tc>
          <w:tcPr>
            <w:tcW w:w="960" w:type="dxa"/>
            <w:vAlign w:val="bottom"/>
            <w:gridSpan w:val="2"/>
            <w:vMerge w:val="restart"/>
          </w:tcPr>
          <w:p>
            <w:pPr>
              <w:spacing w:after="0" w:line="308" w:lineRule="exact"/>
              <w:rPr>
                <w:sz w:val="20"/>
                <w:szCs w:val="20"/>
                <w:color w:val="auto"/>
              </w:rPr>
            </w:pPr>
            <w:r>
              <w:rPr>
                <w:rFonts w:ascii="Arial" w:cs="Arial" w:eastAsia="Arial" w:hAnsi="Arial"/>
                <w:sz w:val="30"/>
                <w:szCs w:val="30"/>
                <w:b w:val="1"/>
                <w:bCs w:val="1"/>
                <w:color w:val="auto"/>
                <w:vertAlign w:val="subscript"/>
              </w:rPr>
              <w:t>CRC</w:t>
            </w:r>
            <w:r>
              <w:rPr>
                <w:rFonts w:ascii="Arial" w:cs="Arial" w:eastAsia="Arial" w:hAnsi="Arial"/>
                <w:sz w:val="10"/>
                <w:szCs w:val="10"/>
                <w:b w:val="1"/>
                <w:bCs w:val="1"/>
                <w:i w:val="1"/>
                <w:iCs w:val="1"/>
                <w:color w:val="auto"/>
              </w:rPr>
              <w:t xml:space="preserve"> (1)</w:t>
            </w:r>
          </w:p>
        </w:tc>
        <w:tc>
          <w:tcPr>
            <w:tcW w:w="1360" w:type="dxa"/>
            <w:vAlign w:val="bottom"/>
            <w:gridSpan w:val="3"/>
          </w:tcPr>
          <w:p>
            <w:pPr>
              <w:jc w:val="center"/>
              <w:ind w:right="120"/>
              <w:spacing w:after="0" w:line="146" w:lineRule="exact"/>
              <w:rPr>
                <w:sz w:val="20"/>
                <w:szCs w:val="20"/>
                <w:color w:val="auto"/>
              </w:rPr>
            </w:pPr>
            <w:r>
              <w:rPr>
                <w:rFonts w:ascii="Arial" w:cs="Arial" w:eastAsia="Arial" w:hAnsi="Arial"/>
                <w:sz w:val="15"/>
                <w:szCs w:val="15"/>
                <w:b w:val="1"/>
                <w:bCs w:val="1"/>
                <w:color w:val="auto"/>
                <w:w w:val="94"/>
              </w:rPr>
              <w:t>Other Operations,</w:t>
            </w:r>
          </w:p>
        </w:tc>
        <w:tc>
          <w:tcPr>
            <w:tcW w:w="134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CEI Consolidated</w:t>
            </w:r>
          </w:p>
        </w:tc>
        <w:tc>
          <w:tcPr>
            <w:tcW w:w="240" w:type="dxa"/>
            <w:vAlign w:val="bottom"/>
          </w:tcPr>
          <w:p>
            <w:pPr>
              <w:spacing w:after="0"/>
              <w:rPr>
                <w:sz w:val="12"/>
                <w:szCs w:val="12"/>
                <w:color w:val="auto"/>
              </w:rPr>
            </w:pPr>
          </w:p>
        </w:tc>
        <w:tc>
          <w:tcPr>
            <w:tcW w:w="1080" w:type="dxa"/>
            <w:vAlign w:val="bottom"/>
            <w:gridSpan w:val="2"/>
            <w:vMerge w:val="restart"/>
          </w:tcPr>
          <w:p>
            <w:pPr>
              <w:ind w:left="140"/>
              <w:spacing w:after="0" w:line="308" w:lineRule="exact"/>
              <w:rPr>
                <w:sz w:val="20"/>
                <w:szCs w:val="20"/>
                <w:color w:val="auto"/>
              </w:rPr>
            </w:pPr>
            <w:r>
              <w:rPr>
                <w:rFonts w:ascii="Arial" w:cs="Arial" w:eastAsia="Arial" w:hAnsi="Arial"/>
                <w:sz w:val="30"/>
                <w:szCs w:val="30"/>
                <w:b w:val="1"/>
                <w:bCs w:val="1"/>
                <w:color w:val="auto"/>
                <w:vertAlign w:val="subscript"/>
              </w:rPr>
              <w:t>CRC</w:t>
            </w:r>
            <w:r>
              <w:rPr>
                <w:rFonts w:ascii="Arial" w:cs="Arial" w:eastAsia="Arial" w:hAnsi="Arial"/>
                <w:sz w:val="10"/>
                <w:szCs w:val="10"/>
                <w:b w:val="1"/>
                <w:bCs w:val="1"/>
                <w:i w:val="1"/>
                <w:iCs w:val="1"/>
                <w:color w:val="auto"/>
              </w:rPr>
              <w:t xml:space="preserve"> (1)</w:t>
            </w:r>
          </w:p>
        </w:tc>
        <w:tc>
          <w:tcPr>
            <w:tcW w:w="1340" w:type="dxa"/>
            <w:vAlign w:val="bottom"/>
            <w:gridSpan w:val="3"/>
          </w:tcPr>
          <w:p>
            <w:pPr>
              <w:jc w:val="center"/>
              <w:ind w:right="80"/>
              <w:spacing w:after="0" w:line="146" w:lineRule="exact"/>
              <w:rPr>
                <w:sz w:val="20"/>
                <w:szCs w:val="20"/>
                <w:color w:val="auto"/>
              </w:rPr>
            </w:pPr>
            <w:r>
              <w:rPr>
                <w:rFonts w:ascii="Arial" w:cs="Arial" w:eastAsia="Arial" w:hAnsi="Arial"/>
                <w:sz w:val="15"/>
                <w:szCs w:val="15"/>
                <w:b w:val="1"/>
                <w:bCs w:val="1"/>
                <w:color w:val="auto"/>
                <w:w w:val="92"/>
              </w:rPr>
              <w:t>Other Operations,</w:t>
            </w: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6"/>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Eliminations</w:t>
            </w: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Eliminations</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7"/>
              </w:rPr>
              <w:t>Net cash (used in) provided by operating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CASH FLOWS FROM INVESTING ACTIVITIES: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Purchase of property and equipment, net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w w:val="93"/>
              </w:rPr>
              <w:t>Former Caesars acquisition, net of cash acquired</w:t>
            </w: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(6,394)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(6,394)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Acquisition of gaming rights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200"/>
              <w:spacing w:after="0" w:line="149" w:lineRule="exact"/>
              <w:rPr>
                <w:sz w:val="20"/>
                <w:szCs w:val="20"/>
                <w:color w:val="auto"/>
              </w:rPr>
            </w:pPr>
            <w:r>
              <w:rPr>
                <w:rFonts w:ascii="Arial" w:cs="Arial" w:eastAsia="Arial" w:hAnsi="Arial"/>
                <w:sz w:val="15"/>
                <w:szCs w:val="15"/>
                <w:color w:val="auto"/>
                <w:w w:val="95"/>
              </w:rPr>
              <w:t>Proceeds from sale of businesses, property and</w:t>
            </w:r>
          </w:p>
        </w:tc>
        <w:tc>
          <w:tcPr>
            <w:tcW w:w="3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352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366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475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536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equipment, net of cash sold</w:t>
            </w:r>
          </w:p>
        </w:tc>
        <w:tc>
          <w:tcPr>
            <w:tcW w:w="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the sale of investments</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200"/>
              <w:spacing w:after="0" w:line="149" w:lineRule="exact"/>
              <w:rPr>
                <w:sz w:val="20"/>
                <w:szCs w:val="20"/>
                <w:color w:val="auto"/>
              </w:rPr>
            </w:pPr>
            <w:r>
              <w:rPr>
                <w:rFonts w:ascii="Arial" w:cs="Arial" w:eastAsia="Arial" w:hAnsi="Arial"/>
                <w:sz w:val="15"/>
                <w:szCs w:val="15"/>
                <w:color w:val="auto"/>
              </w:rPr>
              <w:t>Proceeds from insurance related to property</w:t>
            </w:r>
          </w:p>
        </w:tc>
        <w:tc>
          <w:tcPr>
            <w:tcW w:w="3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damage</w:t>
            </w:r>
          </w:p>
        </w:tc>
        <w:tc>
          <w:tcPr>
            <w:tcW w:w="3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Investments in unconsolidated affiliates</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Other</w:t>
            </w: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3260" w:type="dxa"/>
            <w:vAlign w:val="bottom"/>
            <w:tcBorders>
              <w:top w:val="single" w:sz="8" w:color="CCEEFF"/>
            </w:tcBorders>
            <w:gridSpan w:val="2"/>
            <w:shd w:val="clear" w:color="auto" w:fill="CCEEFF"/>
          </w:tcPr>
          <w:p>
            <w:pPr>
              <w:ind w:left="460"/>
              <w:spacing w:after="0" w:line="133" w:lineRule="exact"/>
              <w:rPr>
                <w:sz w:val="20"/>
                <w:szCs w:val="20"/>
                <w:color w:val="auto"/>
              </w:rPr>
            </w:pPr>
            <w:r>
              <w:rPr>
                <w:rFonts w:ascii="Arial" w:cs="Arial" w:eastAsia="Arial" w:hAnsi="Arial"/>
                <w:sz w:val="15"/>
                <w:szCs w:val="15"/>
                <w:color w:val="auto"/>
              </w:rPr>
              <w:t>Net cash (used in) provided by investing</w:t>
            </w: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(5,819)</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(6,179)</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activities</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w w:val="99"/>
              </w:rPr>
              <w:t>CASH FLOWS FROM FINANCING ACTIVITIES: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ind w:left="200"/>
              <w:spacing w:after="0" w:line="153" w:lineRule="exact"/>
              <w:rPr>
                <w:sz w:val="20"/>
                <w:szCs w:val="20"/>
                <w:color w:val="auto"/>
              </w:rPr>
            </w:pPr>
            <w:r>
              <w:rPr>
                <w:rFonts w:ascii="Arial" w:cs="Arial" w:eastAsia="Arial" w:hAnsi="Arial"/>
                <w:sz w:val="15"/>
                <w:szCs w:val="15"/>
                <w:color w:val="auto"/>
              </w:rPr>
              <w:t>Proceeds from long-term debt and revolving</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3,938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5,827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9,765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credit facilities</w:t>
            </w:r>
          </w:p>
        </w:tc>
        <w:tc>
          <w:tcPr>
            <w:tcW w:w="3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200"/>
              <w:spacing w:after="0" w:line="149" w:lineRule="exact"/>
              <w:rPr>
                <w:sz w:val="20"/>
                <w:szCs w:val="20"/>
                <w:color w:val="auto"/>
              </w:rPr>
            </w:pPr>
            <w:r>
              <w:rPr>
                <w:rFonts w:ascii="Arial" w:cs="Arial" w:eastAsia="Arial" w:hAnsi="Arial"/>
                <w:sz w:val="15"/>
                <w:szCs w:val="15"/>
                <w:color w:val="auto"/>
              </w:rPr>
              <w:t>Repayments of long-term debt and revolving</w:t>
            </w:r>
          </w:p>
        </w:tc>
        <w:tc>
          <w:tcPr>
            <w:tcW w:w="3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(2,412)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(1,330)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(3,742)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(736)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credit facilities</w:t>
            </w:r>
          </w:p>
        </w:tc>
        <w:tc>
          <w:tcPr>
            <w:tcW w:w="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ind w:left="200"/>
              <w:spacing w:after="0" w:line="153" w:lineRule="exact"/>
              <w:rPr>
                <w:sz w:val="20"/>
                <w:szCs w:val="20"/>
                <w:color w:val="auto"/>
              </w:rPr>
            </w:pPr>
            <w:r>
              <w:rPr>
                <w:rFonts w:ascii="Arial" w:cs="Arial" w:eastAsia="Arial" w:hAnsi="Arial"/>
                <w:sz w:val="15"/>
                <w:szCs w:val="15"/>
                <w:color w:val="auto"/>
              </w:rPr>
              <w:t>Proceeds from sale-leaseback financing</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3,224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arrangement</w:t>
            </w:r>
          </w:p>
        </w:tc>
        <w:tc>
          <w:tcPr>
            <w:tcW w:w="3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Financing obligation payments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Transactions with parent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Debt issuance and extinguishment costs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issuance of common stock</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Cash paid to settle convertible notes</w:t>
            </w: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ind w:left="200"/>
              <w:spacing w:after="0" w:line="153" w:lineRule="exact"/>
              <w:rPr>
                <w:sz w:val="20"/>
                <w:szCs w:val="20"/>
                <w:color w:val="auto"/>
              </w:rPr>
            </w:pPr>
            <w:r>
              <w:rPr>
                <w:rFonts w:ascii="Arial" w:cs="Arial" w:eastAsia="Arial" w:hAnsi="Arial"/>
                <w:sz w:val="15"/>
                <w:szCs w:val="15"/>
                <w:color w:val="auto"/>
              </w:rPr>
              <w:t>Taxes paid related to net share settlement of</w:t>
            </w:r>
          </w:p>
        </w:tc>
        <w:tc>
          <w:tcPr>
            <w:tcW w:w="3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equity awards</w:t>
            </w: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Distributions to noncontrolling interests</w:t>
            </w: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3260" w:type="dxa"/>
            <w:vAlign w:val="bottom"/>
            <w:tcBorders>
              <w:top w:val="single" w:sz="8" w:color="CCEEFF"/>
            </w:tcBorders>
            <w:gridSpan w:val="2"/>
            <w:shd w:val="clear" w:color="auto" w:fill="CCEEFF"/>
          </w:tcPr>
          <w:p>
            <w:pPr>
              <w:ind w:left="460"/>
              <w:spacing w:after="0" w:line="133" w:lineRule="exact"/>
              <w:rPr>
                <w:sz w:val="20"/>
                <w:szCs w:val="20"/>
                <w:color w:val="auto"/>
              </w:rPr>
            </w:pPr>
            <w:r>
              <w:rPr>
                <w:rFonts w:ascii="Arial" w:cs="Arial" w:eastAsia="Arial" w:hAnsi="Arial"/>
                <w:sz w:val="15"/>
                <w:szCs w:val="15"/>
                <w:color w:val="auto"/>
              </w:rPr>
              <w:t>Net cash (used in) provided by financing</w:t>
            </w: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10,462</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10,641</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(712)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activities</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5"/>
                <w:szCs w:val="15"/>
                <w:color w:val="auto"/>
                <w:w w:val="97"/>
              </w:rPr>
              <w:t>CASH FLOWS FROM DISCONTINUED OPERATIONS: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flows from operating activities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Cash flows from investing activities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Net cash from discontinued operations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200"/>
              <w:spacing w:after="0" w:line="149" w:lineRule="exact"/>
              <w:rPr>
                <w:sz w:val="20"/>
                <w:szCs w:val="20"/>
                <w:color w:val="auto"/>
              </w:rPr>
            </w:pPr>
            <w:r>
              <w:rPr>
                <w:rFonts w:ascii="Arial" w:cs="Arial" w:eastAsia="Arial" w:hAnsi="Arial"/>
                <w:sz w:val="15"/>
                <w:szCs w:val="15"/>
                <w:color w:val="auto"/>
                <w:w w:val="93"/>
              </w:rPr>
              <w:t>Change in cash, cash equivalents, and restricted</w:t>
            </w:r>
          </w:p>
        </w:tc>
        <w:tc>
          <w:tcPr>
            <w:tcW w:w="3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cash classified as assets held for sale</w:t>
            </w:r>
          </w:p>
        </w:tc>
        <w:tc>
          <w:tcPr>
            <w:tcW w:w="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2"/>
              </w:rPr>
              <w:t>Effect of foreign currency exchange rates on cash</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w:t>
            </w: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gridSpan w:val="2"/>
          </w:tcPr>
          <w:p>
            <w:pPr>
              <w:ind w:left="200"/>
              <w:spacing w:after="0" w:line="129" w:lineRule="exact"/>
              <w:rPr>
                <w:sz w:val="20"/>
                <w:szCs w:val="20"/>
                <w:color w:val="auto"/>
              </w:rPr>
            </w:pPr>
            <w:r>
              <w:rPr>
                <w:rFonts w:ascii="Arial" w:cs="Arial" w:eastAsia="Arial" w:hAnsi="Arial"/>
                <w:sz w:val="14"/>
                <w:szCs w:val="14"/>
                <w:color w:val="auto"/>
                <w:w w:val="97"/>
              </w:rPr>
              <w:t>Increase (decrease) in cash, cash equivalents and</w:t>
            </w:r>
          </w:p>
        </w:tc>
        <w:tc>
          <w:tcPr>
            <w:tcW w:w="3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5,029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3,999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518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restricted cash</w:t>
            </w:r>
          </w:p>
        </w:tc>
        <w:tc>
          <w:tcPr>
            <w:tcW w:w="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ind w:left="200"/>
              <w:spacing w:after="0" w:line="153" w:lineRule="exact"/>
              <w:rPr>
                <w:sz w:val="20"/>
                <w:szCs w:val="20"/>
                <w:color w:val="auto"/>
              </w:rPr>
            </w:pPr>
            <w:r>
              <w:rPr>
                <w:rFonts w:ascii="Arial" w:cs="Arial" w:eastAsia="Arial" w:hAnsi="Arial"/>
                <w:sz w:val="15"/>
                <w:szCs w:val="15"/>
                <w:color w:val="auto"/>
              </w:rPr>
              <w:t>Cash, cash equivalents and restricted cash,</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(1,205)</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217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904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beginning of period</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gridSpan w:val="2"/>
          </w:tcPr>
          <w:p>
            <w:pPr>
              <w:ind w:left="200"/>
              <w:spacing w:after="0" w:line="129" w:lineRule="exact"/>
              <w:rPr>
                <w:sz w:val="20"/>
                <w:szCs w:val="20"/>
                <w:color w:val="auto"/>
              </w:rPr>
            </w:pPr>
            <w:r>
              <w:rPr>
                <w:rFonts w:ascii="Arial" w:cs="Arial" w:eastAsia="Arial" w:hAnsi="Arial"/>
                <w:sz w:val="14"/>
                <w:szCs w:val="14"/>
                <w:color w:val="auto"/>
                <w:w w:val="96"/>
              </w:rPr>
              <w:t>Cash, cash equivalents and restricted cash, end of</w:t>
            </w: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392</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3,824</w:t>
            </w:r>
          </w:p>
        </w:tc>
        <w:tc>
          <w:tcPr>
            <w:tcW w:w="120" w:type="dxa"/>
            <w:vAlign w:val="bottom"/>
          </w:tcPr>
          <w:p>
            <w:pPr>
              <w:spacing w:after="0"/>
              <w:rPr>
                <w:sz w:val="11"/>
                <w:szCs w:val="11"/>
                <w:color w:val="auto"/>
              </w:rPr>
            </w:pPr>
          </w:p>
        </w:tc>
        <w:tc>
          <w:tcPr>
            <w:tcW w:w="540" w:type="dxa"/>
            <w:vAlign w:val="bottom"/>
            <w:vMerge w:val="restart"/>
          </w:tcPr>
          <w:p>
            <w:pPr>
              <w:jc w:val="right"/>
              <w:ind w:right="384"/>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4,216</w:t>
            </w:r>
          </w:p>
        </w:tc>
        <w:tc>
          <w:tcPr>
            <w:tcW w:w="80" w:type="dxa"/>
            <w:vAlign w:val="bottom"/>
          </w:tcPr>
          <w:p>
            <w:pPr>
              <w:spacing w:after="0"/>
              <w:rPr>
                <w:sz w:val="11"/>
                <w:szCs w:val="11"/>
                <w:color w:val="auto"/>
              </w:rPr>
            </w:pPr>
          </w:p>
        </w:tc>
        <w:tc>
          <w:tcPr>
            <w:tcW w:w="240" w:type="dxa"/>
            <w:vAlign w:val="bottom"/>
            <w:vMerge w:val="restart"/>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1,422</w:t>
            </w:r>
          </w:p>
        </w:tc>
        <w:tc>
          <w:tcPr>
            <w:tcW w:w="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(1,205)</w:t>
            </w:r>
          </w:p>
        </w:tc>
        <w:tc>
          <w:tcPr>
            <w:tcW w:w="100" w:type="dxa"/>
            <w:vAlign w:val="bottom"/>
          </w:tcPr>
          <w:p>
            <w:pPr>
              <w:spacing w:after="0"/>
              <w:rPr>
                <w:sz w:val="11"/>
                <w:szCs w:val="11"/>
                <w:color w:val="auto"/>
              </w:rPr>
            </w:pPr>
          </w:p>
        </w:tc>
        <w:tc>
          <w:tcPr>
            <w:tcW w:w="620" w:type="dxa"/>
            <w:vAlign w:val="bottom"/>
            <w:vMerge w:val="restart"/>
          </w:tcPr>
          <w:p>
            <w:pPr>
              <w:jc w:val="right"/>
              <w:ind w:right="444"/>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gridSpan w:val="2"/>
          </w:tcPr>
          <w:p>
            <w:pPr>
              <w:ind w:left="200"/>
              <w:spacing w:after="0"/>
              <w:rPr>
                <w:sz w:val="20"/>
                <w:szCs w:val="20"/>
                <w:color w:val="auto"/>
              </w:rPr>
            </w:pPr>
            <w:r>
              <w:rPr>
                <w:rFonts w:ascii="Arial" w:cs="Arial" w:eastAsia="Arial" w:hAnsi="Arial"/>
                <w:sz w:val="15"/>
                <w:szCs w:val="15"/>
                <w:color w:val="auto"/>
              </w:rPr>
              <w:t>period</w:t>
            </w:r>
          </w:p>
        </w:tc>
        <w:tc>
          <w:tcPr>
            <w:tcW w:w="3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ind w:left="340" w:hanging="332"/>
        <w:spacing w:after="0" w:line="215" w:lineRule="auto"/>
        <w:tabs>
          <w:tab w:leader="none" w:pos="327" w:val="left"/>
        </w:tabs>
        <w:numPr>
          <w:ilvl w:val="0"/>
          <w:numId w:val="18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income/(loss) attributable to Caesars to Adjusted EBITDA for quarter and year ended December 31, 2020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w w:val="91"/>
              </w:rPr>
              <w:t>Three Months Ended December 31, 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w w:val="91"/>
              </w:rPr>
              <w:t>Year Ended December 31,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0" w:type="dxa"/>
            <w:vAlign w:val="bottom"/>
          </w:tcPr>
          <w:p>
            <w:pPr>
              <w:spacing w:after="0"/>
              <w:rPr>
                <w:sz w:val="14"/>
                <w:szCs w:val="14"/>
                <w:color w:val="auto"/>
              </w:rPr>
            </w:pPr>
          </w:p>
        </w:tc>
        <w:tc>
          <w:tcPr>
            <w:tcW w:w="12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12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income/(loss)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w w:val="98"/>
              </w:rPr>
              <w:t>Net income/(loss) attributable to noncontrolling</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from discontinued operations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Income tax (benefit)/provision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(income)/loss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items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73" w:lineRule="auto"/>
        <w:tabs>
          <w:tab w:leader="none" w:pos="327" w:val="left"/>
        </w:tabs>
        <w:numPr>
          <w:ilvl w:val="0"/>
          <w:numId w:val="188"/>
        </w:numPr>
        <w:rPr>
          <w:rFonts w:ascii="Arial" w:cs="Arial" w:eastAsia="Arial" w:hAnsi="Arial"/>
          <w:sz w:val="9"/>
          <w:szCs w:val="9"/>
          <w:i w:val="1"/>
          <w:iCs w:val="1"/>
          <w:color w:val="auto"/>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1)"/>
      <w:numFmt w:val="lowerLetter"/>
      <w:start w:val="1"/>
    </w:lvl>
  </w:abstractNum>
  <w:abstractNum w:abstractNumId="13">
    <w:nsid w:val="5F3534A4"/>
    <w:multiLevelType w:val="hybridMultilevel"/>
    <w:lvl w:ilvl="0">
      <w:lvlJc w:val="left"/>
      <w:lvlText w:val="(%1)"/>
      <w:numFmt w:val="decimal"/>
      <w:start w:val="1"/>
    </w:lvl>
  </w:abstractNum>
  <w:abstractNum w:abstractNumId="14">
    <w:nsid w:val="73A1821B"/>
    <w:multiLevelType w:val="hybridMultilevel"/>
    <w:lvl w:ilvl="0">
      <w:lvlJc w:val="left"/>
      <w:lvlText w:val="(%1)"/>
      <w:numFmt w:val="lowerLetter"/>
      <w:start w:val="1"/>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1)"/>
      <w:numFmt w:val="lowerRoman"/>
      <w:start w:val="2"/>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1)"/>
      <w:numFmt w:val="lowerLetter"/>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1)"/>
      <w:numFmt w:val="lowerLetter"/>
      <w:start w:val="1"/>
    </w:lvl>
  </w:abstractNum>
  <w:abstractNum w:abstractNumId="29">
    <w:nsid w:val="1D9F6E5F"/>
    <w:multiLevelType w:val="hybridMultilevel"/>
    <w:lvl w:ilvl="0">
      <w:lvlJc w:val="left"/>
      <w:lvlText w:val="(%1)"/>
      <w:numFmt w:val="lowerLetter"/>
      <w:start w:val="1"/>
    </w:lvl>
  </w:abstractNum>
  <w:abstractNum w:abstractNumId="30">
    <w:nsid w:val="97E1B4E"/>
    <w:multiLevelType w:val="hybridMultilevel"/>
    <w:lvl w:ilvl="0">
      <w:lvlJc w:val="left"/>
      <w:lvlText w:val="(%1)"/>
      <w:numFmt w:val="lowerLetter"/>
      <w:start w:val="1"/>
    </w:lvl>
  </w:abstractNum>
  <w:abstractNum w:abstractNumId="31">
    <w:nsid w:val="51088277"/>
    <w:multiLevelType w:val="hybridMultilevel"/>
    <w:lvl w:ilvl="0">
      <w:lvlJc w:val="left"/>
      <w:lvlText w:val="(%1)"/>
      <w:numFmt w:val="lowerRoman"/>
      <w:start w:val="2"/>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1)"/>
      <w:numFmt w:val="lowerLetter"/>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w"/>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1)"/>
      <w:numFmt w:val="lowerLetter"/>
      <w:start w:val="1"/>
    </w:lvl>
  </w:abstractNum>
  <w:abstractNum w:abstractNumId="42">
    <w:nsid w:val="78DF6A55"/>
    <w:multiLevelType w:val="hybridMultilevel"/>
    <w:lvl w:ilvl="0">
      <w:lvlJc w:val="left"/>
      <w:lvlText w:val="(%1)"/>
      <w:numFmt w:val="lowerLetter"/>
      <w:start w:val="1"/>
    </w:lvl>
  </w:abstractNum>
  <w:abstractNum w:abstractNumId="43">
    <w:nsid w:val="39B7AAA2"/>
    <w:multiLevelType w:val="hybridMultilevel"/>
    <w:lvl w:ilvl="0">
      <w:lvlJc w:val="left"/>
      <w:lvlText w:val="(%1)"/>
      <w:numFmt w:val="lowerLetter"/>
      <w:start w:val="1"/>
    </w:lvl>
  </w:abstractNum>
  <w:abstractNum w:abstractNumId="44">
    <w:nsid w:val="2B0D8DBE"/>
    <w:multiLevelType w:val="hybridMultilevel"/>
    <w:lvl w:ilvl="0">
      <w:lvlJc w:val="left"/>
      <w:lvlText w:val="(%1)"/>
      <w:numFmt w:val="lowerLetter"/>
      <w:start w:val="1"/>
    </w:lvl>
  </w:abstractNum>
  <w:abstractNum w:abstractNumId="45">
    <w:nsid w:val="6C80EC70"/>
    <w:multiLevelType w:val="hybridMultilevel"/>
    <w:lvl w:ilvl="0">
      <w:lvlJc w:val="left"/>
      <w:lvlText w:val="(%1)"/>
      <w:numFmt w:val="lowerLetter"/>
      <w:start w:val="1"/>
    </w:lvl>
  </w:abstractNum>
  <w:abstractNum w:abstractNumId="46">
    <w:nsid w:val="379E21B5"/>
    <w:multiLevelType w:val="hybridMultilevel"/>
    <w:lvl w:ilvl="0">
      <w:lvlJc w:val="left"/>
      <w:lvlText w:val="(%1)"/>
      <w:numFmt w:val="lowerLetter"/>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lowerLetter"/>
      <w:start w:val="1"/>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Letter"/>
      <w:start w:val="1"/>
    </w:lvl>
  </w:abstractNum>
  <w:abstractNum w:abstractNumId="51">
    <w:nsid w:val="1DF029D3"/>
    <w:multiLevelType w:val="hybridMultilevel"/>
    <w:lvl w:ilvl="0">
      <w:lvlJc w:val="left"/>
      <w:lvlText w:val="(%1)"/>
      <w:numFmt w:val="lowerLetter"/>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1)"/>
      <w:numFmt w:val="lowerLetter"/>
      <w:start w:val="1"/>
    </w:lvl>
  </w:abstractNum>
  <w:abstractNum w:abstractNumId="54">
    <w:nsid w:val="3DB012B3"/>
    <w:multiLevelType w:val="hybridMultilevel"/>
    <w:lvl w:ilvl="0">
      <w:lvlJc w:val="left"/>
      <w:lvlText w:val="(%1)"/>
      <w:numFmt w:val="lowerLetter"/>
      <w:start w:val="1"/>
    </w:lvl>
  </w:abstractNum>
  <w:abstractNum w:abstractNumId="55">
    <w:nsid w:val="2708C9AF"/>
    <w:multiLevelType w:val="hybridMultilevel"/>
    <w:lvl w:ilvl="0">
      <w:lvlJc w:val="left"/>
      <w:lvlText w:val="%1."/>
      <w:numFmt w:val="lowerRoman"/>
      <w:start w:val="1"/>
    </w:lvl>
  </w:abstractNum>
  <w:abstractNum w:abstractNumId="56">
    <w:nsid w:val="5B25ACE2"/>
    <w:multiLevelType w:val="hybridMultilevel"/>
    <w:lvl w:ilvl="0">
      <w:lvlJc w:val="left"/>
      <w:lvlText w:val="(%1)"/>
      <w:numFmt w:val="lowerLetter"/>
      <w:start w:val="1"/>
    </w:lvl>
  </w:abstractNum>
  <w:abstractNum w:abstractNumId="57">
    <w:nsid w:val="175DFCF0"/>
    <w:multiLevelType w:val="hybridMultilevel"/>
    <w:lvl w:ilvl="0">
      <w:lvlJc w:val="left"/>
      <w:lvlText w:val="(%1)"/>
      <w:numFmt w:val="decimal"/>
      <w:start w:val="3"/>
    </w:lvl>
  </w:abstractNum>
  <w:abstractNum w:abstractNumId="58">
    <w:nsid w:val="4F97E3E4"/>
    <w:multiLevelType w:val="hybridMultilevel"/>
    <w:lvl w:ilvl="0">
      <w:lvlJc w:val="left"/>
      <w:lvlText w:val="(%1)"/>
      <w:numFmt w:val="lowerLetter"/>
      <w:start w:val="1"/>
    </w:lvl>
  </w:abstractNum>
  <w:abstractNum w:abstractNumId="59">
    <w:nsid w:val="53B0A9E"/>
    <w:multiLevelType w:val="hybridMultilevel"/>
    <w:lvl w:ilvl="0">
      <w:lvlJc w:val="left"/>
      <w:lvlText w:val="(%1)"/>
      <w:numFmt w:val="lowerLetter"/>
      <w:start w:val="1"/>
    </w:lvl>
  </w:abstractNum>
  <w:abstractNum w:abstractNumId="60">
    <w:nsid w:val="34FD6B4F"/>
    <w:multiLevelType w:val="hybridMultilevel"/>
    <w:lvl w:ilvl="0">
      <w:lvlJc w:val="left"/>
      <w:lvlText w:val="(%1)"/>
      <w:numFmt w:val="lowerLetter"/>
      <w:start w:val="1"/>
    </w:lvl>
  </w:abstractNum>
  <w:abstractNum w:abstractNumId="61">
    <w:nsid w:val="5915FF32"/>
    <w:multiLevelType w:val="hybridMultilevel"/>
    <w:lvl w:ilvl="0">
      <w:lvlJc w:val="left"/>
      <w:lvlText w:val="%1."/>
      <w:numFmt w:val="decimal"/>
      <w:start w:val="1"/>
    </w:lvl>
  </w:abstractNum>
  <w:abstractNum w:abstractNumId="62">
    <w:nsid w:val="56438D15"/>
    <w:multiLevelType w:val="hybridMultilevel"/>
    <w:lvl w:ilvl="0">
      <w:lvlJc w:val="left"/>
      <w:lvlText w:val="%1."/>
      <w:numFmt w:val="decimal"/>
      <w:start w:val="2"/>
    </w:lvl>
  </w:abstractNum>
  <w:abstractNum w:abstractNumId="63">
    <w:nsid w:val="519E3149"/>
    <w:multiLevelType w:val="hybridMultilevel"/>
    <w:lvl w:ilvl="0">
      <w:lvlJc w:val="left"/>
      <w:lvlText w:val="%1."/>
      <w:numFmt w:val="decimal"/>
      <w:start w:val="3"/>
    </w:lvl>
  </w:abstractNum>
  <w:abstractNum w:abstractNumId="64">
    <w:nsid w:val="2C6E4AFD"/>
    <w:multiLevelType w:val="hybridMultilevel"/>
    <w:lvl w:ilvl="0">
      <w:lvlJc w:val="left"/>
      <w:lvlText w:val="%1."/>
      <w:numFmt w:val="decimal"/>
      <w:start w:val="1"/>
    </w:lvl>
  </w:abstractNum>
  <w:abstractNum w:abstractNumId="65">
    <w:nsid w:val="17A1B582"/>
    <w:multiLevelType w:val="hybridMultilevel"/>
    <w:lvl w:ilvl="0">
      <w:lvlJc w:val="left"/>
      <w:lvlText w:val="%1."/>
      <w:numFmt w:val="decimal"/>
      <w:start w:val="1"/>
    </w:lvl>
    <w:lvl w:ilvl="1">
      <w:lvlJc w:val="left"/>
      <w:lvlText w:val="."/>
      <w:numFmt w:val="bullet"/>
      <w:start w:val="1"/>
    </w:lvl>
  </w:abstractNum>
  <w:abstractNum w:abstractNumId="66">
    <w:nsid w:val="4DF72E4E"/>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67">
    <w:nsid w:val="5046B5A9"/>
    <w:multiLevelType w:val="hybridMultilevel"/>
    <w:lvl w:ilvl="0">
      <w:lvlJc w:val="left"/>
      <w:lvlText w:val="%1."/>
      <w:numFmt w:val="decimal"/>
      <w:start w:val="3"/>
    </w:lvl>
    <w:lvl w:ilvl="1">
      <w:lvlJc w:val="left"/>
      <w:lvlText w:val="."/>
      <w:numFmt w:val="bullet"/>
      <w:start w:val="1"/>
    </w:lvl>
  </w:abstractNum>
  <w:abstractNum w:abstractNumId="68">
    <w:nsid w:val="5D888A08"/>
    <w:multiLevelType w:val="hybridMultilevel"/>
    <w:lvl w:ilvl="0">
      <w:lvlJc w:val="left"/>
      <w:lvlText w:val="%1."/>
      <w:numFmt w:val="decimal"/>
      <w:start w:val="5"/>
    </w:lvl>
  </w:abstractNum>
  <w:abstractNum w:abstractNumId="69">
    <w:nsid w:val="2A082C70"/>
    <w:multiLevelType w:val="hybridMultilevel"/>
    <w:lvl w:ilvl="0">
      <w:lvlJc w:val="left"/>
      <w:lvlText w:val="%1."/>
      <w:numFmt w:val="decimal"/>
      <w:start w:val="5"/>
    </w:lvl>
    <w:lvl w:ilvl="1">
      <w:lvlJc w:val="left"/>
      <w:lvlText w:val="."/>
      <w:numFmt w:val="bullet"/>
      <w:start w:val="1"/>
    </w:lvl>
  </w:abstractNum>
  <w:abstractNum w:abstractNumId="70">
    <w:nsid w:val="5EC6AFD4"/>
    <w:multiLevelType w:val="hybridMultilevel"/>
    <w:lvl w:ilvl="0">
      <w:lvlJc w:val="left"/>
      <w:lvlText w:val="."/>
      <w:numFmt w:val="bullet"/>
      <w:start w:val="1"/>
    </w:lvl>
    <w:lvl w:ilvl="1">
      <w:lvlJc w:val="left"/>
      <w:lvlText w:val="%2."/>
      <w:numFmt w:val="decimal"/>
      <w:start w:val="7"/>
    </w:lvl>
  </w:abstractNum>
  <w:abstractNum w:abstractNumId="71">
    <w:nsid w:val="19E21BB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2">
    <w:nsid w:val="75E0858A"/>
    <w:multiLevelType w:val="hybridMultilevel"/>
    <w:lvl w:ilvl="0">
      <w:lvlJc w:val="left"/>
      <w:lvlText w:val="%1."/>
      <w:numFmt w:val="upperLetter"/>
      <w:start w:val="2"/>
    </w:lvl>
    <w:lvl w:ilvl="1">
      <w:lvlJc w:val="left"/>
      <w:lvlText w:val="%2."/>
      <w:numFmt w:val="decimal"/>
      <w:start w:val="1"/>
    </w:lvl>
  </w:abstractNum>
  <w:abstractNum w:abstractNumId="73">
    <w:nsid w:val="57A61A29"/>
    <w:multiLevelType w:val="hybridMultilevel"/>
    <w:lvl w:ilvl="0">
      <w:lvlJc w:val="left"/>
      <w:lvlText w:val="(%1)"/>
      <w:numFmt w:val="lowerRoman"/>
      <w:start w:val="2"/>
    </w:lvl>
  </w:abstractNum>
  <w:abstractNum w:abstractNumId="74">
    <w:nsid w:val="5399C654"/>
    <w:multiLevelType w:val="hybridMultilevel"/>
    <w:lvl w:ilvl="0">
      <w:lvlJc w:val="left"/>
      <w:lvlText w:val="%1."/>
      <w:numFmt w:val="upperLetter"/>
      <w:start w:val="5"/>
    </w:lvl>
    <w:lvl w:ilvl="1">
      <w:lvlJc w:val="left"/>
      <w:lvlText w:val="%2."/>
      <w:numFmt w:val="decimal"/>
      <w:start w:val="3"/>
    </w:lvl>
  </w:abstractNum>
  <w:abstractNum w:abstractNumId="75">
    <w:nsid w:val="20EE1348"/>
    <w:multiLevelType w:val="hybridMultilevel"/>
    <w:lvl w:ilvl="0">
      <w:lvlJc w:val="left"/>
      <w:lvlText w:val="%1"/>
      <w:numFmt w:val="upperLetter"/>
      <w:start w:val="1"/>
    </w:lvl>
    <w:lvl w:ilvl="1">
      <w:lvlJc w:val="left"/>
      <w:lvlText w:val="%2."/>
      <w:numFmt w:val="decimal"/>
      <w:start w:val="4"/>
    </w:lvl>
  </w:abstractNum>
  <w:abstractNum w:abstractNumId="76">
    <w:nsid w:val="4427069A"/>
    <w:multiLevelType w:val="hybridMultilevel"/>
    <w:lvl w:ilvl="0">
      <w:lvlJc w:val="left"/>
      <w:lvlText w:val="%1."/>
      <w:numFmt w:val="upperLetter"/>
      <w:start w:val="11"/>
    </w:lvl>
    <w:lvl w:ilvl="1">
      <w:lvlJc w:val="left"/>
      <w:lvlText w:val="%2."/>
      <w:numFmt w:val="decimal"/>
      <w:start w:val="6"/>
    </w:lvl>
  </w:abstractNum>
  <w:abstractNum w:abstractNumId="77">
    <w:nsid w:val="B37E80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0"/>
    </w:lvl>
  </w:abstractNum>
  <w:abstractNum w:abstractNumId="78">
    <w:nsid w:val="2157F6BC"/>
    <w:multiLevelType w:val="hybridMultilevel"/>
    <w:lvl w:ilvl="0">
      <w:lvlJc w:val="left"/>
      <w:lvlText w:val="%1."/>
      <w:numFmt w:val="upperLetter"/>
      <w:start w:val="12"/>
    </w:lvl>
    <w:lvl w:ilvl="1">
      <w:lvlJc w:val="left"/>
      <w:lvlText w:val="%2."/>
      <w:numFmt w:val="lowerRoman"/>
      <w:start w:val="1"/>
    </w:lvl>
    <w:lvl w:ilvl="2">
      <w:lvlJc w:val="left"/>
      <w:lvlText w:val="%3"/>
      <w:numFmt w:val="decimal"/>
      <w:start w:val="1"/>
    </w:lvl>
  </w:abstractNum>
  <w:abstractNum w:abstractNumId="79">
    <w:nsid w:val="704E1DD5"/>
    <w:multiLevelType w:val="hybridMultilevel"/>
    <w:lvl w:ilvl="0">
      <w:lvlJc w:val="left"/>
      <w:lvlText w:val="(%1)"/>
      <w:numFmt w:val="lowerLetter"/>
      <w:start w:val="2"/>
    </w:lvl>
  </w:abstractNum>
  <w:abstractNum w:abstractNumId="80">
    <w:nsid w:val="57D2F10E"/>
    <w:multiLevelType w:val="hybridMultilevel"/>
    <w:lvl w:ilvl="0">
      <w:lvlJc w:val="left"/>
      <w:lvlText w:val="%1."/>
      <w:numFmt w:val="lowerRoman"/>
      <w:start w:val="4"/>
    </w:lvl>
  </w:abstractNum>
  <w:abstractNum w:abstractNumId="81">
    <w:nsid w:val="BFFAE18"/>
    <w:multiLevelType w:val="hybridMultilevel"/>
    <w:lvl w:ilvl="0">
      <w:lvlJc w:val="left"/>
      <w:lvlText w:val="%1."/>
      <w:numFmt w:val="lowerRoman"/>
      <w:start w:val="8"/>
    </w:lvl>
  </w:abstractNum>
  <w:abstractNum w:abstractNumId="82">
    <w:nsid w:val="E3E47A8"/>
    <w:multiLevelType w:val="hybridMultilevel"/>
    <w:lvl w:ilvl="0">
      <w:lvlJc w:val="left"/>
      <w:lvlText w:val="%1."/>
      <w:numFmt w:val="lowerRoman"/>
      <w:start w:val="9"/>
    </w:lvl>
  </w:abstractNum>
  <w:abstractNum w:abstractNumId="83">
    <w:nsid w:val="2E48F044"/>
    <w:multiLevelType w:val="hybridMultilevel"/>
    <w:lvl w:ilvl="0">
      <w:lvlJc w:val="left"/>
      <w:lvlText w:val="%1"/>
      <w:numFmt w:val="upperLetter"/>
      <w:start w:val="1"/>
    </w:lvl>
    <w:lvl w:ilvl="1">
      <w:lvlJc w:val="left"/>
      <w:lvlText w:val="%2."/>
      <w:numFmt w:val="lowerRoman"/>
      <w:start w:val="11"/>
    </w:lvl>
  </w:abstractNum>
  <w:abstractNum w:abstractNumId="84">
    <w:nsid w:val="49D0FEAC"/>
    <w:multiLevelType w:val="hybridMultilevel"/>
    <w:lvl w:ilvl="0">
      <w:lvlJc w:val="left"/>
      <w:lvlText w:val="%1."/>
      <w:numFmt w:val="upperLetter"/>
      <w:start w:val="15"/>
    </w:lvl>
    <w:lvl w:ilvl="1">
      <w:lvlJc w:val="left"/>
      <w:lvlText w:val="%2"/>
      <w:numFmt w:val="lowerRoman"/>
      <w:start w:val="1"/>
    </w:lvl>
  </w:abstractNum>
  <w:abstractNum w:abstractNumId="85">
    <w:nsid w:val="4BEE5A5B"/>
    <w:multiLevelType w:val="hybridMultilevel"/>
    <w:lvl w:ilvl="0">
      <w:lvlJc w:val="left"/>
      <w:lvlText w:val="%1."/>
      <w:numFmt w:val="decimal"/>
      <w:start w:val="3"/>
    </w:lvl>
  </w:abstractNum>
  <w:abstractNum w:abstractNumId="86">
    <w:nsid w:val="5551B9F3"/>
    <w:multiLevelType w:val="hybridMultilevel"/>
    <w:lvl w:ilvl="0">
      <w:lvlJc w:val="left"/>
      <w:lvlText w:val="%1."/>
      <w:numFmt w:val="decimal"/>
      <w:start w:val="5"/>
    </w:lvl>
  </w:abstractNum>
  <w:abstractNum w:abstractNumId="87">
    <w:nsid w:val="24F6AB8E"/>
    <w:multiLevelType w:val="hybridMultilevel"/>
    <w:lvl w:ilvl="0">
      <w:lvlJc w:val="left"/>
      <w:lvlText w:val="%1."/>
      <w:numFmt w:val="decimal"/>
      <w:start w:val="1"/>
    </w:lvl>
  </w:abstractNum>
  <w:abstractNum w:abstractNumId="88">
    <w:nsid w:val="634C574C"/>
    <w:multiLevelType w:val="hybridMultilevel"/>
    <w:lvl w:ilvl="0">
      <w:lvlJc w:val="left"/>
      <w:lvlText w:val="%1."/>
      <w:numFmt w:val="decimal"/>
      <w:start w:val="1"/>
    </w:lvl>
  </w:abstractNum>
  <w:abstractNum w:abstractNumId="89">
    <w:nsid w:val="24E99DD7"/>
    <w:multiLevelType w:val="hybridMultilevel"/>
    <w:lvl w:ilvl="0">
      <w:lvlJc w:val="left"/>
      <w:lvlText w:val="%1."/>
      <w:numFmt w:val="decimal"/>
      <w:start w:val="2"/>
    </w:lvl>
  </w:abstractNum>
  <w:abstractNum w:abstractNumId="90">
    <w:nsid w:val="2A31B62D"/>
    <w:multiLevelType w:val="hybridMultilevel"/>
    <w:lvl w:ilvl="0">
      <w:lvlJc w:val="left"/>
      <w:lvlText w:val="%1."/>
      <w:numFmt w:val="decimal"/>
      <w:start w:val="1"/>
    </w:lvl>
  </w:abstractNum>
  <w:abstractNum w:abstractNumId="91">
    <w:nsid w:val="1849C29B"/>
    <w:multiLevelType w:val="hybridMultilevel"/>
    <w:lvl w:ilvl="0">
      <w:lvlJc w:val="left"/>
      <w:lvlText w:val="%1."/>
      <w:numFmt w:val="decimal"/>
      <w:start w:val="2"/>
    </w:lvl>
  </w:abstractNum>
  <w:abstractNum w:abstractNumId="92">
    <w:nsid w:val="7DFF9D09"/>
    <w:multiLevelType w:val="hybridMultilevel"/>
    <w:lvl w:ilvl="0">
      <w:lvlJc w:val="left"/>
      <w:lvlText w:val="%1."/>
      <w:numFmt w:val="decimal"/>
      <w:start w:val="1"/>
    </w:lvl>
  </w:abstractNum>
  <w:abstractNum w:abstractNumId="93">
    <w:nsid w:val="754342"/>
    <w:multiLevelType w:val="hybridMultilevel"/>
    <w:lvl w:ilvl="0">
      <w:lvlJc w:val="left"/>
      <w:lvlText w:val="%1."/>
      <w:numFmt w:val="decimal"/>
      <w:start w:val="2"/>
    </w:lvl>
  </w:abstractNum>
  <w:abstractNum w:abstractNumId="94">
    <w:nsid w:val="69E7F3E5"/>
    <w:multiLevelType w:val="hybridMultilevel"/>
    <w:lvl w:ilvl="0">
      <w:lvlJc w:val="left"/>
      <w:lvlText w:val="%1."/>
      <w:numFmt w:val="decimal"/>
      <w:start w:val="1"/>
    </w:lvl>
  </w:abstractNum>
  <w:abstractNum w:abstractNumId="95">
    <w:nsid w:val="2A6DE806"/>
    <w:multiLevelType w:val="hybridMultilevel"/>
    <w:lvl w:ilvl="0">
      <w:lvlJc w:val="left"/>
      <w:lvlText w:val="%1."/>
      <w:numFmt w:val="decimal"/>
      <w:start w:val="6"/>
    </w:lvl>
  </w:abstractNum>
  <w:abstractNum w:abstractNumId="96">
    <w:nsid w:val="1816F8C4"/>
    <w:multiLevelType w:val="hybridMultilevel"/>
    <w:lvl w:ilvl="0">
      <w:lvlJc w:val="left"/>
      <w:lvlText w:val="%1."/>
      <w:numFmt w:val="decimal"/>
      <w:start w:val="1"/>
    </w:lvl>
  </w:abstractNum>
  <w:abstractNum w:abstractNumId="97">
    <w:nsid w:val="37DF2233"/>
    <w:multiLevelType w:val="hybridMultilevel"/>
    <w:lvl w:ilvl="0">
      <w:lvlJc w:val="left"/>
      <w:lvlText w:val="%1."/>
      <w:numFmt w:val="decimal"/>
      <w:start w:val="5"/>
    </w:lvl>
  </w:abstractNum>
  <w:abstractNum w:abstractNumId="98">
    <w:nsid w:val="7AB49DAF"/>
    <w:multiLevelType w:val="hybridMultilevel"/>
    <w:lvl w:ilvl="0">
      <w:lvlJc w:val="left"/>
      <w:lvlText w:val="%1."/>
      <w:numFmt w:val="decimal"/>
      <w:start w:val="1"/>
    </w:lvl>
  </w:abstractNum>
  <w:abstractNum w:abstractNumId="99">
    <w:nsid w:val="759F82CD"/>
    <w:multiLevelType w:val="hybridMultilevel"/>
    <w:lvl w:ilvl="0">
      <w:lvlJc w:val="left"/>
      <w:lvlText w:val="%1."/>
      <w:numFmt w:val="decimal"/>
      <w:start w:val="1"/>
    </w:lvl>
  </w:abstractNum>
  <w:abstractNum w:abstractNumId="100">
    <w:nsid w:val="61E74EA3"/>
    <w:multiLevelType w:val="hybridMultilevel"/>
    <w:lvl w:ilvl="0">
      <w:lvlJc w:val="left"/>
      <w:lvlText w:val="%1."/>
      <w:numFmt w:val="decimal"/>
      <w:start w:val="1"/>
    </w:lvl>
  </w:abstractNum>
  <w:abstractNum w:abstractNumId="101">
    <w:nsid w:val="597B4D84"/>
    <w:multiLevelType w:val="hybridMultilevel"/>
    <w:lvl w:ilvl="0">
      <w:lvlJc w:val="left"/>
      <w:lvlText w:val="%1."/>
      <w:numFmt w:val="decimal"/>
      <w:start w:val="1"/>
    </w:lvl>
  </w:abstractNum>
  <w:abstractNum w:abstractNumId="102">
    <w:nsid w:val="F819E7F"/>
    <w:multiLevelType w:val="hybridMultilevel"/>
    <w:lvl w:ilvl="0">
      <w:lvlJc w:val="left"/>
      <w:lvlText w:val="(%1)"/>
      <w:numFmt w:val="decimal"/>
      <w:start w:val="1"/>
    </w:lvl>
  </w:abstractNum>
  <w:abstractNum w:abstractNumId="103">
    <w:nsid w:val="57C7D42D"/>
    <w:multiLevelType w:val="hybridMultilevel"/>
    <w:lvl w:ilvl="0">
      <w:lvlJc w:val="left"/>
      <w:lvlText w:val="(%1)"/>
      <w:numFmt w:val="decimal"/>
      <w:start w:val="11"/>
    </w:lvl>
  </w:abstractNum>
  <w:abstractNum w:abstractNumId="104">
    <w:nsid w:val="312167AD"/>
    <w:multiLevelType w:val="hybridMultilevel"/>
    <w:lvl w:ilvl="0">
      <w:lvlJc w:val="left"/>
      <w:lvlText w:val="%1."/>
      <w:numFmt w:val="decimal"/>
      <w:start w:val="1"/>
    </w:lvl>
  </w:abstractNum>
  <w:abstractNum w:abstractNumId="105">
    <w:nsid w:val="631B64D4"/>
    <w:multiLevelType w:val="hybridMultilevel"/>
    <w:lvl w:ilvl="0">
      <w:lvlJc w:val="left"/>
      <w:lvlText w:val="%1."/>
      <w:numFmt w:val="decimal"/>
      <w:start w:val="1"/>
    </w:lvl>
  </w:abstractNum>
  <w:abstractNum w:abstractNumId="106">
    <w:nsid w:val="78B5E776"/>
    <w:multiLevelType w:val="hybridMultilevel"/>
    <w:lvl w:ilvl="0">
      <w:lvlJc w:val="left"/>
      <w:lvlText w:val="%1."/>
      <w:numFmt w:val="decimal"/>
      <w:start w:val="1"/>
    </w:lvl>
  </w:abstractNum>
  <w:abstractNum w:abstractNumId="107">
    <w:nsid w:val="75486E47"/>
    <w:multiLevelType w:val="hybridMultilevel"/>
    <w:lvl w:ilvl="0">
      <w:lvlJc w:val="left"/>
      <w:lvlText w:val="."/>
      <w:numFmt w:val="bullet"/>
      <w:start w:val="1"/>
    </w:lvl>
  </w:abstractNum>
  <w:abstractNum w:abstractNumId="108">
    <w:nsid w:val="6E534CDE"/>
    <w:multiLevelType w:val="hybridMultilevel"/>
    <w:lvl w:ilvl="0">
      <w:lvlJc w:val="left"/>
      <w:lvlText w:val="%1."/>
      <w:numFmt w:val="decimal"/>
      <w:start w:val="2"/>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1"/>
      <w:numFmt w:val="lowerLetter"/>
      <w:start w:val="1"/>
    </w:lvl>
    <w:lvl w:ilvl="1">
      <w:lvlJc w:val="left"/>
      <w:lvlText w:val="%2."/>
      <w:numFmt w:val="lowerRoman"/>
      <w:start w:val="1"/>
    </w:lvl>
  </w:abstractNum>
  <w:abstractNum w:abstractNumId="111">
    <w:nsid w:val="46263DEC"/>
    <w:multiLevelType w:val="hybridMultilevel"/>
    <w:lvl w:ilvl="0">
      <w:lvlJc w:val="left"/>
      <w:lvlText w:val="%1."/>
      <w:numFmt w:val="lowerLetter"/>
      <w:start w:val="7"/>
    </w:lvl>
    <w:lvl w:ilvl="1">
      <w:lvlJc w:val="left"/>
      <w:lvlText w:val="%2."/>
      <w:numFmt w:val="lowerRoman"/>
      <w:start w:val="1"/>
    </w:lvl>
  </w:abstractNum>
  <w:abstractNum w:abstractNumId="112">
    <w:nsid w:val="260D8C4A"/>
    <w:multiLevelType w:val="hybridMultilevel"/>
    <w:lvl w:ilvl="0">
      <w:lvlJc w:val="left"/>
      <w:lvlText w:val="%1"/>
      <w:numFmt w:val="decimal"/>
      <w:start w:val="1"/>
    </w:lvl>
    <w:lvl w:ilvl="1">
      <w:lvlJc w:val="left"/>
      <w:lvlText w:val="%2."/>
      <w:numFmt w:val="lowerRoman"/>
      <w:start w:val="2"/>
    </w:lvl>
  </w:abstractNum>
  <w:abstractNum w:abstractNumId="113">
    <w:nsid w:val="73D4D3C4"/>
    <w:multiLevelType w:val="hybridMultilevel"/>
    <w:lvl w:ilvl="0">
      <w:lvlJc w:val="left"/>
      <w:lvlText w:val="%1."/>
      <w:numFmt w:val="decimal"/>
      <w:start w:val="3"/>
    </w:lvl>
    <w:lvl w:ilvl="1">
      <w:lvlJc w:val="left"/>
      <w:lvlText w:val="%2"/>
      <w:numFmt w:val="lowerRoman"/>
      <w:start w:val="1"/>
    </w:lvl>
  </w:abstractNum>
  <w:abstractNum w:abstractNumId="114">
    <w:nsid w:val="746F2E30"/>
    <w:multiLevelType w:val="hybridMultilevel"/>
    <w:lvl w:ilvl="0">
      <w:lvlJc w:val="left"/>
      <w:lvlText w:val="%1."/>
      <w:numFmt w:val="decimal"/>
      <w:start w:val="4"/>
    </w:lvl>
  </w:abstractNum>
  <w:abstractNum w:abstractNumId="115">
    <w:nsid w:val="6FDE8AF6"/>
    <w:multiLevelType w:val="hybridMultilevel"/>
    <w:lvl w:ilvl="0">
      <w:lvlJc w:val="left"/>
      <w:lvlText w:val="%1."/>
      <w:numFmt w:val="decimal"/>
      <w:start w:val="5"/>
    </w:lvl>
    <w:lvl w:ilvl="1">
      <w:lvlJc w:val="left"/>
      <w:lvlText w:val="."/>
      <w:numFmt w:val="bullet"/>
      <w:start w:val="1"/>
    </w:lvl>
  </w:abstractNum>
  <w:abstractNum w:abstractNumId="116">
    <w:nsid w:val="3FC32E20"/>
    <w:multiLevelType w:val="hybridMultilevel"/>
    <w:lvl w:ilvl="0">
      <w:lvlJc w:val="left"/>
      <w:lvlText w:val="."/>
      <w:numFmt w:val="bullet"/>
      <w:start w:val="1"/>
    </w:lvl>
    <w:lvl w:ilvl="1">
      <w:lvlJc w:val="left"/>
      <w:lvlText w:val="%2."/>
      <w:numFmt w:val="decimal"/>
      <w:start w:val="7"/>
    </w:lvl>
  </w:abstractNum>
  <w:abstractNum w:abstractNumId="117">
    <w:nsid w:val="49C0E823"/>
    <w:multiLevelType w:val="hybridMultilevel"/>
    <w:lvl w:ilvl="0">
      <w:lvlJc w:val="left"/>
      <w:lvlText w:val="."/>
      <w:numFmt w:val="bullet"/>
      <w:start w:val="1"/>
    </w:lvl>
  </w:abstractNum>
  <w:abstractNum w:abstractNumId="118">
    <w:nsid w:val="14D53685"/>
    <w:multiLevelType w:val="hybridMultilevel"/>
    <w:lvl w:ilvl="0">
      <w:lvlJc w:val="left"/>
      <w:lvlText w:val="(%1)"/>
      <w:numFmt w:val="lowerLetter"/>
      <w:start w:val="1"/>
    </w:lvl>
  </w:abstractNum>
  <w:abstractNum w:abstractNumId="119">
    <w:nsid w:val="230F856C"/>
    <w:multiLevelType w:val="hybridMultilevel"/>
    <w:lvl w:ilvl="0">
      <w:lvlJc w:val="left"/>
      <w:lvlText w:val="(%1)"/>
      <w:numFmt w:val="lowerLetter"/>
      <w:start w:val="4"/>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
      <w:numFmt w:val="bullet"/>
      <w:start w:val="1"/>
    </w:lvl>
  </w:abstractNum>
  <w:abstractNum w:abstractNumId="125">
    <w:nsid w:val="25413BEC"/>
    <w:multiLevelType w:val="hybridMultilevel"/>
    <w:lvl w:ilvl="0">
      <w:lvlJc w:val="left"/>
      <w:lvlText w:val="."/>
      <w:numFmt w:val="bullet"/>
      <w:start w:val="1"/>
    </w:lvl>
  </w:abstractNum>
  <w:abstractNum w:abstractNumId="126">
    <w:nsid w:val="17180B0B"/>
    <w:multiLevelType w:val="hybridMultilevel"/>
    <w:lvl w:ilvl="0">
      <w:lvlJc w:val="left"/>
      <w:lvlText w:val="."/>
      <w:numFmt w:val="bullet"/>
      <w:start w:val="1"/>
    </w:lvl>
  </w:abstractNum>
  <w:abstractNum w:abstractNumId="127">
    <w:nsid w:val="579328B9"/>
    <w:multiLevelType w:val="hybridMultilevel"/>
    <w:lvl w:ilvl="0">
      <w:lvlJc w:val="left"/>
      <w:lvlText w:val="."/>
      <w:numFmt w:val="bullet"/>
      <w:start w:val="1"/>
    </w:lvl>
  </w:abstractNum>
  <w:abstractNum w:abstractNumId="128">
    <w:nsid w:val="5D205E20"/>
    <w:multiLevelType w:val="hybridMultilevel"/>
    <w:lvl w:ilvl="0">
      <w:lvlJc w:val="left"/>
      <w:lvlText w:val="."/>
      <w:numFmt w:val="bullet"/>
      <w:start w:val="1"/>
    </w:lvl>
  </w:abstractNum>
  <w:abstractNum w:abstractNumId="129">
    <w:nsid w:val="11CCA8BA"/>
    <w:multiLevelType w:val="hybridMultilevel"/>
    <w:lvl w:ilvl="0">
      <w:lvlJc w:val="left"/>
      <w:lvlText w:val="."/>
      <w:numFmt w:val="bullet"/>
      <w:start w:val="1"/>
    </w:lvl>
  </w:abstractNum>
  <w:abstractNum w:abstractNumId="130">
    <w:nsid w:val="4D32AB86"/>
    <w:multiLevelType w:val="hybridMultilevel"/>
    <w:lvl w:ilvl="0">
      <w:lvlJc w:val="left"/>
      <w:lvlText w:val="."/>
      <w:numFmt w:val="bullet"/>
      <w:start w:val="1"/>
    </w:lvl>
  </w:abstractNum>
  <w:abstractNum w:abstractNumId="131">
    <w:nsid w:val="3F07ACC3"/>
    <w:multiLevelType w:val="hybridMultilevel"/>
    <w:lvl w:ilvl="0">
      <w:lvlJc w:val="left"/>
      <w:lvlText w:val="."/>
      <w:numFmt w:val="bullet"/>
      <w:start w:val="1"/>
    </w:lvl>
  </w:abstractNum>
  <w:abstractNum w:abstractNumId="132">
    <w:nsid w:val="6B47F63E"/>
    <w:multiLevelType w:val="hybridMultilevel"/>
    <w:lvl w:ilvl="0">
      <w:lvlJc w:val="left"/>
      <w:lvlText w:val="."/>
      <w:numFmt w:val="bullet"/>
      <w:start w:val="1"/>
    </w:lvl>
  </w:abstractNum>
  <w:abstractNum w:abstractNumId="133">
    <w:nsid w:val="5CB44A05"/>
    <w:multiLevelType w:val="hybridMultilevel"/>
    <w:lvl w:ilvl="0">
      <w:lvlJc w:val="left"/>
      <w:lvlText w:val="."/>
      <w:numFmt w:val="bullet"/>
      <w:start w:val="1"/>
    </w:lvl>
  </w:abstractNum>
  <w:abstractNum w:abstractNumId="134">
    <w:nsid w:val="16CF80F1"/>
    <w:multiLevelType w:val="hybridMultilevel"/>
    <w:lvl w:ilvl="0">
      <w:lvlJc w:val="left"/>
      <w:lvlText w:val="."/>
      <w:numFmt w:val="bullet"/>
      <w:start w:val="1"/>
    </w:lvl>
  </w:abstractNum>
  <w:abstractNum w:abstractNumId="135">
    <w:nsid w:val="1C695DEC"/>
    <w:multiLevelType w:val="hybridMultilevel"/>
    <w:lvl w:ilvl="0">
      <w:lvlJc w:val="left"/>
      <w:lvlText w:val="(%1)"/>
      <w:numFmt w:val="lowerRoman"/>
      <w:start w:val="2"/>
    </w:lvl>
  </w:abstractNum>
  <w:abstractNum w:abstractNumId="136">
    <w:nsid w:val="3FCFAED9"/>
    <w:multiLevelType w:val="hybridMultilevel"/>
    <w:lvl w:ilvl="0">
      <w:lvlJc w:val="left"/>
      <w:lvlText w:val="-"/>
      <w:numFmt w:val="bullet"/>
      <w:start w:val="1"/>
    </w:lvl>
    <w:lvl w:ilvl="1">
      <w:lvlJc w:val="left"/>
      <w:lvlText w:val="•"/>
      <w:numFmt w:val="bullet"/>
      <w:start w:val="1"/>
    </w:lvl>
  </w:abstractNum>
  <w:abstractNum w:abstractNumId="137">
    <w:nsid w:val="F856867"/>
    <w:multiLevelType w:val="hybridMultilevel"/>
    <w:lvl w:ilvl="0">
      <w:lvlJc w:val="left"/>
      <w:lvlText w:val="•"/>
      <w:numFmt w:val="bullet"/>
      <w:start w:val="1"/>
    </w:lvl>
  </w:abstractNum>
  <w:abstractNum w:abstractNumId="138">
    <w:nsid w:val="11B1CC33"/>
    <w:multiLevelType w:val="hybridMultilevel"/>
    <w:lvl w:ilvl="0">
      <w:lvlJc w:val="left"/>
      <w:lvlText w:val="(%1)"/>
      <w:numFmt w:val="decimal"/>
      <w:start w:val="1"/>
    </w:lvl>
  </w:abstractNum>
  <w:abstractNum w:abstractNumId="139">
    <w:nsid w:val="2E22FBB7"/>
    <w:multiLevelType w:val="hybridMultilevel"/>
    <w:lvl w:ilvl="0">
      <w:lvlJc w:val="left"/>
      <w:lvlText w:val="%1."/>
      <w:numFmt w:val="upperLetter"/>
      <w:start w:val="1"/>
    </w:lvl>
  </w:abstractNum>
  <w:abstractNum w:abstractNumId="140">
    <w:nsid w:val="29934699"/>
    <w:multiLevelType w:val="hybridMultilevel"/>
    <w:lvl w:ilvl="0">
      <w:lvlJc w:val="left"/>
      <w:lvlText w:val="%1."/>
      <w:numFmt w:val="upperLetter"/>
      <w:start w:val="1"/>
    </w:lvl>
  </w:abstractNum>
  <w:abstractNum w:abstractNumId="141">
    <w:nsid w:val="77485850"/>
    <w:multiLevelType w:val="hybridMultilevel"/>
    <w:lvl w:ilvl="0">
      <w:lvlJc w:val="left"/>
      <w:lvlText w:val="%1."/>
      <w:numFmt w:val="lowerLetter"/>
      <w:start w:val="1"/>
    </w:lvl>
  </w:abstractNum>
  <w:abstractNum w:abstractNumId="142">
    <w:nsid w:val="744939A3"/>
    <w:multiLevelType w:val="hybridMultilevel"/>
    <w:lvl w:ilvl="0">
      <w:lvlJc w:val="left"/>
      <w:lvlText w:val="%1."/>
      <w:numFmt w:val="upperLetter"/>
      <w:start w:val="1"/>
    </w:lvl>
  </w:abstractNum>
  <w:abstractNum w:abstractNumId="143">
    <w:nsid w:val="4FA0D2E3"/>
    <w:multiLevelType w:val="hybridMultilevel"/>
    <w:lvl w:ilvl="0">
      <w:lvlJc w:val="left"/>
      <w:lvlText w:val="%1."/>
      <w:numFmt w:val="lowerLetter"/>
      <w:start w:val="1"/>
    </w:lvl>
  </w:abstractNum>
  <w:abstractNum w:abstractNumId="144">
    <w:nsid w:val="6B1D2C14"/>
    <w:multiLevelType w:val="hybridMultilevel"/>
    <w:lvl w:ilvl="0">
      <w:lvlJc w:val="left"/>
      <w:lvlText w:val="%1"/>
      <w:numFmt w:val="upperLetter"/>
      <w:start w:val="1"/>
    </w:lvl>
    <w:lvl w:ilvl="1">
      <w:lvlJc w:val="left"/>
      <w:lvlText w:val="%2."/>
      <w:numFmt w:val="lowerLetter"/>
      <w:start w:val="3"/>
    </w:lvl>
  </w:abstractNum>
  <w:abstractNum w:abstractNumId="145">
    <w:nsid w:val="68B867D3"/>
    <w:multiLevelType w:val="hybridMultilevel"/>
    <w:lvl w:ilvl="0">
      <w:lvlJc w:val="left"/>
      <w:lvlText w:val="%1."/>
      <w:numFmt w:val="upperLetter"/>
      <w:start w:val="1"/>
    </w:lvl>
    <w:lvl w:ilvl="1">
      <w:lvlJc w:val="left"/>
      <w:lvlText w:val="%2"/>
      <w:numFmt w:val="lowerLetter"/>
      <w:start w:val="1"/>
    </w:lvl>
  </w:abstractNum>
  <w:abstractNum w:abstractNumId="146">
    <w:nsid w:val="3F7F5DD9"/>
    <w:multiLevelType w:val="hybridMultilevel"/>
    <w:lvl w:ilvl="0">
      <w:lvlJc w:val="left"/>
      <w:lvlText w:val="%1."/>
      <w:numFmt w:val="upperLetter"/>
      <w:start w:val="2"/>
    </w:lvl>
  </w:abstractNum>
  <w:abstractNum w:abstractNumId="147">
    <w:nsid w:val="2AE05A34"/>
    <w:multiLevelType w:val="hybridMultilevel"/>
    <w:lvl w:ilvl="0">
      <w:lvlJc w:val="left"/>
      <w:lvlText w:val="•"/>
      <w:numFmt w:val="bullet"/>
      <w:start w:val="1"/>
    </w:lvl>
  </w:abstractNum>
  <w:abstractNum w:abstractNumId="148">
    <w:nsid w:val="32794FF7"/>
    <w:multiLevelType w:val="hybridMultilevel"/>
    <w:lvl w:ilvl="0">
      <w:lvlJc w:val="left"/>
      <w:lvlText w:val="•"/>
      <w:numFmt w:val="bullet"/>
      <w:start w:val="1"/>
    </w:lvl>
  </w:abstractNum>
  <w:abstractNum w:abstractNumId="149">
    <w:nsid w:val="5454945E"/>
    <w:multiLevelType w:val="hybridMultilevel"/>
    <w:lvl w:ilvl="0">
      <w:lvlJc w:val="left"/>
      <w:lvlText w:val="%1."/>
      <w:numFmt w:val="upperLetter"/>
      <w:start w:val="1"/>
    </w:lvl>
  </w:abstractNum>
  <w:abstractNum w:abstractNumId="150">
    <w:nsid w:val="4DEFDFA0"/>
    <w:multiLevelType w:val="hybridMultilevel"/>
    <w:lvl w:ilvl="0">
      <w:lvlJc w:val="left"/>
      <w:lvlText w:val="%1."/>
      <w:numFmt w:val="upperLetter"/>
      <w:start w:val="1"/>
    </w:lvl>
    <w:lvl w:ilvl="1">
      <w:lvlJc w:val="left"/>
      <w:lvlText w:val="•"/>
      <w:numFmt w:val="bullet"/>
      <w:start w:val="1"/>
    </w:lvl>
  </w:abstractNum>
  <w:abstractNum w:abstractNumId="151">
    <w:nsid w:val="2123D5F2"/>
    <w:multiLevelType w:val="hybridMultilevel"/>
    <w:lvl w:ilvl="0">
      <w:lvlJc w:val="left"/>
      <w:lvlText w:val="%1."/>
      <w:numFmt w:val="upperLetter"/>
      <w:start w:val="1"/>
    </w:lvl>
  </w:abstractNum>
  <w:abstractNum w:abstractNumId="152">
    <w:nsid w:val="135B8110"/>
    <w:multiLevelType w:val="hybridMultilevel"/>
    <w:lvl w:ilvl="0">
      <w:lvlJc w:val="left"/>
      <w:lvlText w:val="%1."/>
      <w:numFmt w:val="upperLetter"/>
      <w:start w:val="1"/>
    </w:lvl>
  </w:abstractNum>
  <w:abstractNum w:abstractNumId="153">
    <w:nsid w:val="94927A8"/>
    <w:multiLevelType w:val="hybridMultilevel"/>
    <w:lvl w:ilvl="0">
      <w:lvlJc w:val="left"/>
      <w:lvlText w:val="%1."/>
      <w:numFmt w:val="upperLetter"/>
      <w:start w:val="2"/>
    </w:lvl>
  </w:abstractNum>
  <w:abstractNum w:abstractNumId="154">
    <w:nsid w:val="DCDF8F6"/>
    <w:multiLevelType w:val="hybridMultilevel"/>
    <w:lvl w:ilvl="0">
      <w:lvlJc w:val="left"/>
      <w:lvlText w:val="%1."/>
      <w:numFmt w:val="upperLetter"/>
      <w:start w:val="3"/>
    </w:lvl>
  </w:abstractNum>
  <w:abstractNum w:abstractNumId="155">
    <w:nsid w:val="52D7B105"/>
    <w:multiLevelType w:val="hybridMultilevel"/>
    <w:lvl w:ilvl="0">
      <w:lvlJc w:val="left"/>
      <w:lvlText w:val="%1."/>
      <w:numFmt w:val="upperLetter"/>
      <w:start w:val="1"/>
    </w:lvl>
  </w:abstractNum>
  <w:abstractNum w:abstractNumId="156">
    <w:nsid w:val="2E8A6394"/>
    <w:multiLevelType w:val="hybridMultilevel"/>
    <w:lvl w:ilvl="0">
      <w:lvlJc w:val="left"/>
      <w:lvlText w:val="%1."/>
      <w:numFmt w:val="upperLetter"/>
      <w:start w:val="2"/>
    </w:lvl>
  </w:abstractNum>
  <w:abstractNum w:abstractNumId="157">
    <w:nsid w:val="24E60401"/>
    <w:multiLevelType w:val="hybridMultilevel"/>
    <w:lvl w:ilvl="0">
      <w:lvlJc w:val="left"/>
      <w:lvlText w:val="•"/>
      <w:numFmt w:val="bullet"/>
      <w:start w:val="1"/>
    </w:lvl>
  </w:abstractNum>
  <w:abstractNum w:abstractNumId="158">
    <w:nsid w:val="2A6AD9BE"/>
    <w:multiLevelType w:val="hybridMultilevel"/>
    <w:lvl w:ilvl="0">
      <w:lvlJc w:val="left"/>
      <w:lvlText w:val="%1."/>
      <w:numFmt w:val="upperLetter"/>
      <w:start w:val="9"/>
    </w:lvl>
  </w:abstractNum>
  <w:abstractNum w:abstractNumId="159">
    <w:nsid w:val="BAAC1B4"/>
    <w:multiLevelType w:val="hybridMultilevel"/>
    <w:lvl w:ilvl="0">
      <w:lvlJc w:val="left"/>
      <w:lvlText w:val="%1."/>
      <w:numFmt w:val="upperLetter"/>
      <w:start w:val="35"/>
    </w:lvl>
  </w:abstractNum>
  <w:abstractNum w:abstractNumId="160">
    <w:nsid w:val="36B2ACBC"/>
    <w:multiLevelType w:val="hybridMultilevel"/>
    <w:lvl w:ilvl="0">
      <w:lvlJc w:val="left"/>
      <w:lvlText w:val="%1."/>
      <w:numFmt w:val="lowerRoman"/>
      <w:start w:val="1"/>
    </w:lvl>
  </w:abstractNum>
  <w:abstractNum w:abstractNumId="161">
    <w:nsid w:val="779D8544"/>
    <w:multiLevelType w:val="hybridMultilevel"/>
    <w:lvl w:ilvl="0">
      <w:lvlJc w:val="left"/>
      <w:lvlText w:val="%1."/>
      <w:numFmt w:val="lowerRoman"/>
      <w:start w:val="2"/>
    </w:lvl>
  </w:abstractNum>
  <w:abstractNum w:abstractNumId="162">
    <w:nsid w:val="4AB26E78"/>
    <w:multiLevelType w:val="hybridMultilevel"/>
    <w:lvl w:ilvl="0">
      <w:lvlJc w:val="left"/>
      <w:lvlText w:val="%1."/>
      <w:numFmt w:val="lowerRoman"/>
      <w:start w:val="1"/>
    </w:lvl>
  </w:abstractNum>
  <w:abstractNum w:abstractNumId="163">
    <w:nsid w:val="21FAA2FA"/>
    <w:multiLevelType w:val="hybridMultilevel"/>
    <w:lvl w:ilvl="0">
      <w:lvlJc w:val="left"/>
      <w:lvlText w:val="%1."/>
      <w:numFmt w:val="lowerRoman"/>
      <w:start w:val="2"/>
    </w:lvl>
  </w:abstractNum>
  <w:abstractNum w:abstractNumId="164">
    <w:nsid w:val="5451CF49"/>
    <w:multiLevelType w:val="hybridMultilevel"/>
    <w:lvl w:ilvl="0">
      <w:lvlJc w:val="left"/>
      <w:lvlText w:val="%1."/>
      <w:numFmt w:val="decimal"/>
      <w:start w:val="1"/>
    </w:lvl>
  </w:abstractNum>
  <w:abstractNum w:abstractNumId="165">
    <w:nsid w:val="6181EF69"/>
    <w:multiLevelType w:val="hybridMultilevel"/>
    <w:lvl w:ilvl="0">
      <w:lvlJc w:val="left"/>
      <w:lvlText w:val="%1."/>
      <w:numFmt w:val="lowerRoman"/>
      <w:start w:val="3"/>
    </w:lvl>
  </w:abstractNum>
  <w:abstractNum w:abstractNumId="166">
    <w:nsid w:val="3E6400E6"/>
    <w:multiLevelType w:val="hybridMultilevel"/>
    <w:lvl w:ilvl="0">
      <w:lvlJc w:val="left"/>
      <w:lvlText w:val="%1."/>
      <w:numFmt w:val="lowerRoman"/>
      <w:start w:val="1"/>
    </w:lvl>
  </w:abstractNum>
  <w:abstractNum w:abstractNumId="167">
    <w:nsid w:val="14217E23"/>
    <w:multiLevelType w:val="hybridMultilevel"/>
    <w:lvl w:ilvl="0">
      <w:lvlJc w:val="left"/>
      <w:lvlText w:val="%1."/>
      <w:numFmt w:val="upperLetter"/>
      <w:start w:val="9"/>
    </w:lvl>
    <w:lvl w:ilvl="1">
      <w:lvlJc w:val="left"/>
      <w:lvlText w:val="•"/>
      <w:numFmt w:val="bullet"/>
      <w:start w:val="1"/>
    </w:lvl>
  </w:abstractNum>
  <w:abstractNum w:abstractNumId="168">
    <w:nsid w:val="710757D0"/>
    <w:multiLevelType w:val="hybridMultilevel"/>
    <w:lvl w:ilvl="0">
      <w:lvlJc w:val="left"/>
      <w:lvlText w:val="%1."/>
      <w:numFmt w:val="upperLetter"/>
      <w:start w:val="35"/>
    </w:lvl>
  </w:abstractNum>
  <w:abstractNum w:abstractNumId="169">
    <w:nsid w:val="5015CD1A"/>
    <w:multiLevelType w:val="hybridMultilevel"/>
    <w:lvl w:ilvl="0">
      <w:lvlJc w:val="left"/>
      <w:lvlText w:val="%1."/>
      <w:numFmt w:val="upperLetter"/>
      <w:start w:val="61"/>
    </w:lvl>
  </w:abstractNum>
  <w:abstractNum w:abstractNumId="170">
    <w:nsid w:val="424479DA"/>
    <w:multiLevelType w:val="hybridMultilevel"/>
    <w:lvl w:ilvl="0">
      <w:lvlJc w:val="left"/>
      <w:lvlText w:val="(%1)"/>
      <w:numFmt w:val="decimal"/>
      <w:start w:val="1"/>
    </w:lvl>
  </w:abstractNum>
  <w:abstractNum w:abstractNumId="171">
    <w:nsid w:val="1A9A9E69"/>
    <w:multiLevelType w:val="hybridMultilevel"/>
    <w:lvl w:ilvl="0">
      <w:lvlJc w:val="left"/>
      <w:lvlText w:val="(%1)"/>
      <w:numFmt w:val="decimal"/>
      <w:start w:val="4"/>
    </w:lvl>
  </w:abstractNum>
  <w:abstractNum w:abstractNumId="172">
    <w:nsid w:val="475E256A"/>
    <w:multiLevelType w:val="hybridMultilevel"/>
    <w:lvl w:ilvl="0">
      <w:lvlJc w:val="left"/>
      <w:lvlText w:val="1"/>
      <w:numFmt w:val="bullet"/>
      <w:start w:val="1"/>
    </w:lvl>
  </w:abstractNum>
  <w:abstractNum w:abstractNumId="173">
    <w:nsid w:val="368DB37E"/>
    <w:multiLevelType w:val="hybridMultilevel"/>
    <w:lvl w:ilvl="0">
      <w:lvlJc w:val="left"/>
      <w:lvlText w:val="2"/>
      <w:numFmt w:val="bullet"/>
      <w:start w:val="1"/>
    </w:lvl>
  </w:abstractNum>
  <w:abstractNum w:abstractNumId="174">
    <w:nsid w:val="6A3B714C"/>
    <w:multiLevelType w:val="hybridMultilevel"/>
    <w:lvl w:ilvl="0">
      <w:lvlJc w:val="left"/>
      <w:lvlText w:val="%1"/>
      <w:numFmt w:val="decimal"/>
      <w:start w:val="10"/>
    </w:lvl>
  </w:abstractNum>
  <w:abstractNum w:abstractNumId="175">
    <w:nsid w:val="327B517E"/>
    <w:multiLevelType w:val="hybridMultilevel"/>
    <w:lvl w:ilvl="0">
      <w:lvlJc w:val="left"/>
      <w:lvlText w:val="(%1)"/>
      <w:numFmt w:val="decimal"/>
      <w:start w:val="1"/>
    </w:lvl>
  </w:abstractNum>
  <w:abstractNum w:abstractNumId="176">
    <w:nsid w:val="1F461B51"/>
    <w:multiLevelType w:val="hybridMultilevel"/>
    <w:lvl w:ilvl="0">
      <w:lvlJc w:val="left"/>
      <w:lvlText w:val="%1."/>
      <w:numFmt w:val="decimal"/>
      <w:start w:val="1"/>
    </w:lvl>
    <w:lvl w:ilvl="1">
      <w:lvlJc w:val="left"/>
      <w:lvlText w:val="(%2)"/>
      <w:numFmt w:val="lowerLetter"/>
      <w:start w:val="1"/>
    </w:lvl>
  </w:abstractNum>
  <w:abstractNum w:abstractNumId="177">
    <w:nsid w:val="29BACF25"/>
    <w:multiLevelType w:val="hybridMultilevel"/>
    <w:lvl w:ilvl="0">
      <w:lvlJc w:val="left"/>
      <w:lvlText w:val="%1."/>
      <w:numFmt w:val="decimal"/>
      <w:start w:val="1"/>
    </w:lvl>
    <w:lvl w:ilvl="1">
      <w:lvlJc w:val="left"/>
      <w:lvlText w:val="(%2)"/>
      <w:numFmt w:val="lowerLetter"/>
      <w:start w:val="1"/>
    </w:lvl>
  </w:abstractNum>
  <w:abstractNum w:abstractNumId="178">
    <w:nsid w:val="5D5BABB3"/>
    <w:multiLevelType w:val="hybridMultilevel"/>
    <w:lvl w:ilvl="0">
      <w:lvlJc w:val="left"/>
      <w:lvlText w:val="%1."/>
      <w:numFmt w:val="decimal"/>
      <w:start w:val="1"/>
    </w:lvl>
  </w:abstractNum>
  <w:abstractNum w:abstractNumId="179">
    <w:nsid w:val="51BF6B48"/>
    <w:multiLevelType w:val="hybridMultilevel"/>
    <w:lvl w:ilvl="0">
      <w:lvlJc w:val="left"/>
      <w:lvlText w:val="%1."/>
      <w:numFmt w:val="decimal"/>
      <w:start w:val="1"/>
    </w:lvl>
  </w:abstractNum>
  <w:abstractNum w:abstractNumId="180">
    <w:nsid w:val="7E0F6384"/>
    <w:multiLevelType w:val="hybridMultilevel"/>
    <w:lvl w:ilvl="0">
      <w:lvlJc w:val="left"/>
      <w:lvlText w:val="•"/>
      <w:numFmt w:val="bullet"/>
      <w:start w:val="1"/>
    </w:lvl>
  </w:abstractNum>
  <w:abstractNum w:abstractNumId="181">
    <w:nsid w:val="2B4B8B53"/>
    <w:multiLevelType w:val="hybridMultilevel"/>
    <w:lvl w:ilvl="0">
      <w:lvlJc w:val="left"/>
      <w:lvlText w:val="•"/>
      <w:numFmt w:val="bullet"/>
      <w:start w:val="1"/>
    </w:lvl>
  </w:abstractNum>
  <w:abstractNum w:abstractNumId="182">
    <w:nsid w:val="72E3413A"/>
    <w:multiLevelType w:val="hybridMultilevel"/>
    <w:lvl w:ilvl="0">
      <w:lvlJc w:val="left"/>
      <w:lvlText w:val="•"/>
      <w:numFmt w:val="bullet"/>
      <w:start w:val="1"/>
    </w:lvl>
  </w:abstractNum>
  <w:abstractNum w:abstractNumId="183">
    <w:nsid w:val="116AE494"/>
    <w:multiLevelType w:val="hybridMultilevel"/>
    <w:lvl w:ilvl="0">
      <w:lvlJc w:val="left"/>
      <w:lvlText w:val="•"/>
      <w:numFmt w:val="bullet"/>
      <w:start w:val="1"/>
    </w:lvl>
  </w:abstractNum>
  <w:abstractNum w:abstractNumId="184">
    <w:nsid w:val="3494B2FB"/>
    <w:multiLevelType w:val="hybridMultilevel"/>
    <w:lvl w:ilvl="0">
      <w:lvlJc w:val="left"/>
      <w:lvlText w:val="(%1)"/>
      <w:numFmt w:val="decimal"/>
      <w:start w:val="1"/>
    </w:lvl>
  </w:abstractNum>
  <w:abstractNum w:abstractNumId="185">
    <w:nsid w:val="B13A31"/>
    <w:multiLevelType w:val="hybridMultilevel"/>
    <w:lvl w:ilvl="0">
      <w:lvlJc w:val="left"/>
      <w:lvlText w:val="(%1)"/>
      <w:numFmt w:val="decimal"/>
      <w:start w:val="1"/>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50" Type="http://schemas.openxmlformats.org/officeDocument/2006/relationships/image" Target="media/image87.png"/><Relationship Id="rId154" Type="http://schemas.openxmlformats.org/officeDocument/2006/relationships/image" Target="media/image88.png"/><Relationship Id="rId175" Type="http://schemas.openxmlformats.org/officeDocument/2006/relationships/image" Target="media/image89.png"/><Relationship Id="rId176" Type="http://schemas.openxmlformats.org/officeDocument/2006/relationships/image" Target="media/image90.png"/><Relationship Id="rId179" Type="http://schemas.openxmlformats.org/officeDocument/2006/relationships/image" Target="media/image91.png"/><Relationship Id="rId180" Type="http://schemas.openxmlformats.org/officeDocument/2006/relationships/image" Target="media/image92.png"/><Relationship Id="rId181" Type="http://schemas.openxmlformats.org/officeDocument/2006/relationships/image" Target="media/image93.png"/><Relationship Id="rId182" Type="http://schemas.openxmlformats.org/officeDocument/2006/relationships/image" Target="media/image94.png"/><Relationship Id="rId183" Type="http://schemas.openxmlformats.org/officeDocument/2006/relationships/image" Target="media/image95.png"/><Relationship Id="rId184" Type="http://schemas.openxmlformats.org/officeDocument/2006/relationships/image" Target="media/image96.png"/><Relationship Id="rId185" Type="http://schemas.openxmlformats.org/officeDocument/2006/relationships/image" Target="media/image97.png"/><Relationship Id="rId186" Type="http://schemas.openxmlformats.org/officeDocument/2006/relationships/image" Target="media/image98.png"/><Relationship Id="rId187" Type="http://schemas.openxmlformats.org/officeDocument/2006/relationships/image" Target="media/image99.png"/><Relationship Id="rId188" Type="http://schemas.openxmlformats.org/officeDocument/2006/relationships/image" Target="media/image100.png"/><Relationship Id="rId189" Type="http://schemas.openxmlformats.org/officeDocument/2006/relationships/image" Target="media/image101.png"/><Relationship Id="rId190" Type="http://schemas.openxmlformats.org/officeDocument/2006/relationships/image" Target="media/image102.png"/><Relationship Id="rId191" Type="http://schemas.openxmlformats.org/officeDocument/2006/relationships/image" Target="media/image103.png"/><Relationship Id="rId192" Type="http://schemas.openxmlformats.org/officeDocument/2006/relationships/image" Target="media/image104.png"/><Relationship Id="rId193" Type="http://schemas.openxmlformats.org/officeDocument/2006/relationships/image" Target="media/image105.png"/><Relationship Id="rId194" Type="http://schemas.openxmlformats.org/officeDocument/2006/relationships/image" Target="media/image106.png"/><Relationship Id="rId195" Type="http://schemas.openxmlformats.org/officeDocument/2006/relationships/image" Target="media/image107.png"/><Relationship Id="rId196" Type="http://schemas.openxmlformats.org/officeDocument/2006/relationships/image" Target="media/image108.png"/><Relationship Id="rId197" Type="http://schemas.openxmlformats.org/officeDocument/2006/relationships/image" Target="media/image109.png"/><Relationship Id="rId198" Type="http://schemas.openxmlformats.org/officeDocument/2006/relationships/image" Target="media/image110.png"/><Relationship Id="rId199" Type="http://schemas.openxmlformats.org/officeDocument/2006/relationships/image" Target="media/image111.png"/><Relationship Id="rId200" Type="http://schemas.openxmlformats.org/officeDocument/2006/relationships/image" Target="media/image112.png"/><Relationship Id="rId201" Type="http://schemas.openxmlformats.org/officeDocument/2006/relationships/image" Target="media/image113.png"/><Relationship Id="rId202" Type="http://schemas.openxmlformats.org/officeDocument/2006/relationships/image" Target="media/image114.png"/><Relationship Id="rId203" Type="http://schemas.openxmlformats.org/officeDocument/2006/relationships/image" Target="media/image115.png"/><Relationship Id="rId204" Type="http://schemas.openxmlformats.org/officeDocument/2006/relationships/image" Target="media/image116.png"/><Relationship Id="rId205" Type="http://schemas.openxmlformats.org/officeDocument/2006/relationships/image" Target="media/image117.png"/><Relationship Id="rId206" Type="http://schemas.openxmlformats.org/officeDocument/2006/relationships/image" Target="media/image118.png"/><Relationship Id="rId207" Type="http://schemas.openxmlformats.org/officeDocument/2006/relationships/image" Target="media/image119.png"/><Relationship Id="rId208" Type="http://schemas.openxmlformats.org/officeDocument/2006/relationships/image" Target="media/image120.png"/><Relationship Id="rId209" Type="http://schemas.openxmlformats.org/officeDocument/2006/relationships/image" Target="media/image121.png"/><Relationship Id="rId210" Type="http://schemas.openxmlformats.org/officeDocument/2006/relationships/image" Target="media/image122.png"/><Relationship Id="rId211" Type="http://schemas.openxmlformats.org/officeDocument/2006/relationships/image" Target="media/image123.png"/><Relationship Id="rId212" Type="http://schemas.openxmlformats.org/officeDocument/2006/relationships/image" Target="media/image124.png"/><Relationship Id="rId213" Type="http://schemas.openxmlformats.org/officeDocument/2006/relationships/image" Target="media/image125.png"/><Relationship Id="rId214" Type="http://schemas.openxmlformats.org/officeDocument/2006/relationships/image" Target="media/image126.png"/><Relationship Id="rId215" Type="http://schemas.openxmlformats.org/officeDocument/2006/relationships/image" Target="media/image127.png"/><Relationship Id="rId216" Type="http://schemas.openxmlformats.org/officeDocument/2006/relationships/image" Target="media/image128.png"/><Relationship Id="rId217" Type="http://schemas.openxmlformats.org/officeDocument/2006/relationships/image" Target="media/image129.png"/><Relationship Id="rId218" Type="http://schemas.openxmlformats.org/officeDocument/2006/relationships/image" Target="media/image130.png"/><Relationship Id="rId219" Type="http://schemas.openxmlformats.org/officeDocument/2006/relationships/image" Target="media/image131.png"/><Relationship Id="rId220" Type="http://schemas.openxmlformats.org/officeDocument/2006/relationships/image" Target="media/image132.png"/><Relationship Id="rId221" Type="http://schemas.openxmlformats.org/officeDocument/2006/relationships/image" Target="media/image133.png"/><Relationship Id="rId222" Type="http://schemas.openxmlformats.org/officeDocument/2006/relationships/image" Target="media/image134.png"/><Relationship Id="rId223" Type="http://schemas.openxmlformats.org/officeDocument/2006/relationships/image" Target="media/image135.png"/><Relationship Id="rId224" Type="http://schemas.openxmlformats.org/officeDocument/2006/relationships/image" Target="media/image136.png"/><Relationship Id="rId225" Type="http://schemas.openxmlformats.org/officeDocument/2006/relationships/image" Target="media/image137.png"/><Relationship Id="rId226" Type="http://schemas.openxmlformats.org/officeDocument/2006/relationships/image" Target="media/image138.png"/><Relationship Id="rId227" Type="http://schemas.openxmlformats.org/officeDocument/2006/relationships/image" Target="media/image139.png"/><Relationship Id="rId228" Type="http://schemas.openxmlformats.org/officeDocument/2006/relationships/image" Target="media/image140.png"/><Relationship Id="rId229" Type="http://schemas.openxmlformats.org/officeDocument/2006/relationships/image" Target="media/image141.png"/><Relationship Id="rId230" Type="http://schemas.openxmlformats.org/officeDocument/2006/relationships/image" Target="media/image142.png"/><Relationship Id="rId231" Type="http://schemas.openxmlformats.org/officeDocument/2006/relationships/image" Target="media/image143.png"/><Relationship Id="rId232" Type="http://schemas.openxmlformats.org/officeDocument/2006/relationships/image" Target="media/image144.png"/><Relationship Id="rId233" Type="http://schemas.openxmlformats.org/officeDocument/2006/relationships/image" Target="media/image145.png"/><Relationship Id="rId234" Type="http://schemas.openxmlformats.org/officeDocument/2006/relationships/image" Target="media/image146.png"/><Relationship Id="rId235" Type="http://schemas.openxmlformats.org/officeDocument/2006/relationships/image" Target="media/image147.png"/><Relationship Id="rId236" Type="http://schemas.openxmlformats.org/officeDocument/2006/relationships/image" Target="media/image148.png"/><Relationship Id="rId237" Type="http://schemas.openxmlformats.org/officeDocument/2006/relationships/image" Target="media/image149.png"/><Relationship Id="rId238" Type="http://schemas.openxmlformats.org/officeDocument/2006/relationships/image" Target="media/image150.png"/><Relationship Id="rId239" Type="http://schemas.openxmlformats.org/officeDocument/2006/relationships/image" Target="media/image151.png"/><Relationship Id="rId240" Type="http://schemas.openxmlformats.org/officeDocument/2006/relationships/image" Target="media/image152.png"/><Relationship Id="rId241" Type="http://schemas.openxmlformats.org/officeDocument/2006/relationships/image" Target="media/image153.png"/><Relationship Id="rId242" Type="http://schemas.openxmlformats.org/officeDocument/2006/relationships/image" Target="media/image154.png"/><Relationship Id="rId243" Type="http://schemas.openxmlformats.org/officeDocument/2006/relationships/image" Target="media/image155.png"/><Relationship Id="rId244" Type="http://schemas.openxmlformats.org/officeDocument/2006/relationships/image" Target="media/image156.png"/><Relationship Id="rId245" Type="http://schemas.openxmlformats.org/officeDocument/2006/relationships/image" Target="media/image157.png"/><Relationship Id="rId246" Type="http://schemas.openxmlformats.org/officeDocument/2006/relationships/image" Target="media/image158.png"/><Relationship Id="rId247" Type="http://schemas.openxmlformats.org/officeDocument/2006/relationships/image" Target="media/image159.png"/><Relationship Id="rId248" Type="http://schemas.openxmlformats.org/officeDocument/2006/relationships/image" Target="media/image160.png"/><Relationship Id="rId249" Type="http://schemas.openxmlformats.org/officeDocument/2006/relationships/image" Target="media/image161.png"/><Relationship Id="rId250" Type="http://schemas.openxmlformats.org/officeDocument/2006/relationships/image" Target="media/image162.png"/><Relationship Id="rId251" Type="http://schemas.openxmlformats.org/officeDocument/2006/relationships/image" Target="media/image163.png"/><Relationship Id="rId252" Type="http://schemas.openxmlformats.org/officeDocument/2006/relationships/image" Target="media/image164.png"/><Relationship Id="rId253" Type="http://schemas.openxmlformats.org/officeDocument/2006/relationships/image" Target="media/image165.png"/><Relationship Id="rId254" Type="http://schemas.openxmlformats.org/officeDocument/2006/relationships/image" Target="media/image166.png"/><Relationship Id="rId255" Type="http://schemas.openxmlformats.org/officeDocument/2006/relationships/image" Target="media/image167.png"/><Relationship Id="rId256" Type="http://schemas.openxmlformats.org/officeDocument/2006/relationships/image" Target="media/image168.png"/><Relationship Id="rId257" Type="http://schemas.openxmlformats.org/officeDocument/2006/relationships/image" Target="media/image169.png"/><Relationship Id="rId258" Type="http://schemas.openxmlformats.org/officeDocument/2006/relationships/image" Target="media/image170.png"/><Relationship Id="rId259" Type="http://schemas.openxmlformats.org/officeDocument/2006/relationships/image" Target="media/image171.png"/><Relationship Id="rId260" Type="http://schemas.openxmlformats.org/officeDocument/2006/relationships/image" Target="media/image172.png"/><Relationship Id="rId261" Type="http://schemas.openxmlformats.org/officeDocument/2006/relationships/image" Target="media/image173.png"/><Relationship Id="rId262" Type="http://schemas.openxmlformats.org/officeDocument/2006/relationships/image" Target="media/image174.png"/><Relationship Id="rId263" Type="http://schemas.openxmlformats.org/officeDocument/2006/relationships/image" Target="media/image175.png"/><Relationship Id="rId264" Type="http://schemas.openxmlformats.org/officeDocument/2006/relationships/image" Target="media/image176.png"/><Relationship Id="rId265" Type="http://schemas.openxmlformats.org/officeDocument/2006/relationships/image" Target="media/image177.png"/><Relationship Id="rId266" Type="http://schemas.openxmlformats.org/officeDocument/2006/relationships/image" Target="media/image178.png"/><Relationship Id="rId267" Type="http://schemas.openxmlformats.org/officeDocument/2006/relationships/image" Target="media/image179.png"/><Relationship Id="rId268" Type="http://schemas.openxmlformats.org/officeDocument/2006/relationships/image" Target="media/image180.png"/><Relationship Id="rId269" Type="http://schemas.openxmlformats.org/officeDocument/2006/relationships/image" Target="media/image181.png"/><Relationship Id="rId270" Type="http://schemas.openxmlformats.org/officeDocument/2006/relationships/image" Target="media/image182.png"/><Relationship Id="rId271" Type="http://schemas.openxmlformats.org/officeDocument/2006/relationships/image" Target="media/image183.png"/><Relationship Id="rId272" Type="http://schemas.openxmlformats.org/officeDocument/2006/relationships/image" Target="media/image184.png"/><Relationship Id="rId273" Type="http://schemas.openxmlformats.org/officeDocument/2006/relationships/image" Target="media/image185.png"/><Relationship Id="rId274" Type="http://schemas.openxmlformats.org/officeDocument/2006/relationships/image" Target="media/image186.png"/><Relationship Id="rId275" Type="http://schemas.openxmlformats.org/officeDocument/2006/relationships/image" Target="media/image187.png"/><Relationship Id="rId276" Type="http://schemas.openxmlformats.org/officeDocument/2006/relationships/image" Target="media/image188.png"/><Relationship Id="rId277" Type="http://schemas.openxmlformats.org/officeDocument/2006/relationships/image" Target="media/image189.png"/><Relationship Id="rId278" Type="http://schemas.openxmlformats.org/officeDocument/2006/relationships/image" Target="media/image190.png"/><Relationship Id="rId279" Type="http://schemas.openxmlformats.org/officeDocument/2006/relationships/image" Target="media/image191.png"/><Relationship Id="rId280" Type="http://schemas.openxmlformats.org/officeDocument/2006/relationships/image" Target="media/image192.png"/><Relationship Id="rId281" Type="http://schemas.openxmlformats.org/officeDocument/2006/relationships/image" Target="media/image193.png"/><Relationship Id="rId282" Type="http://schemas.openxmlformats.org/officeDocument/2006/relationships/image" Target="media/image194.png"/><Relationship Id="rId283" Type="http://schemas.openxmlformats.org/officeDocument/2006/relationships/image" Target="media/image195.png"/><Relationship Id="rId284" Type="http://schemas.openxmlformats.org/officeDocument/2006/relationships/image" Target="media/image196.png"/><Relationship Id="rId285" Type="http://schemas.openxmlformats.org/officeDocument/2006/relationships/image" Target="media/image197.png"/><Relationship Id="rId286" Type="http://schemas.openxmlformats.org/officeDocument/2006/relationships/image" Target="media/image198.png"/><Relationship Id="rId287" Type="http://schemas.openxmlformats.org/officeDocument/2006/relationships/image" Target="media/image199.png"/><Relationship Id="rId288" Type="http://schemas.openxmlformats.org/officeDocument/2006/relationships/image" Target="media/image200.jpeg"/><Relationship Id="rId289" Type="http://schemas.openxmlformats.org/officeDocument/2006/relationships/image" Target="media/image201.png"/><Relationship Id="rId290" Type="http://schemas.openxmlformats.org/officeDocument/2006/relationships/image" Target="media/image202.png"/><Relationship Id="rId291" Type="http://schemas.openxmlformats.org/officeDocument/2006/relationships/image" Target="media/image203.png"/><Relationship Id="rId292" Type="http://schemas.openxmlformats.org/officeDocument/2006/relationships/image" Target="media/image204.png"/><Relationship Id="rId293" Type="http://schemas.openxmlformats.org/officeDocument/2006/relationships/image" Target="media/image205.png"/><Relationship Id="rId294" Type="http://schemas.openxmlformats.org/officeDocument/2006/relationships/image" Target="media/image206.png"/><Relationship Id="rId295" Type="http://schemas.openxmlformats.org/officeDocument/2006/relationships/image" Target="media/image207.png"/><Relationship Id="rId52" Type="http://schemas.openxmlformats.org/officeDocument/2006/relationships/hyperlink" Target="http://www.sec.gov/ix?doc=/Archives/edgar/data/1590895/000156459020007599/eri-10k_20191231.htm#ITEM_7_MANAGEMENTS_DISCUSSION_ANALYSIS_F" TargetMode="External"/><Relationship Id="rId91" Type="http://schemas.openxmlformats.org/officeDocument/2006/relationships/hyperlink" Target="http://www.sec.gov/Archives/edgar/data/858339/000119312519180418/d723548dex21.htm" TargetMode="External"/><Relationship Id="rId92" Type="http://schemas.openxmlformats.org/officeDocument/2006/relationships/hyperlink" Target="http://www.sec.gov/Archives/edgar/data/1590895/000119312519223544/d793420dex21.htm" TargetMode="External"/><Relationship Id="rId93" Type="http://schemas.openxmlformats.org/officeDocument/2006/relationships/hyperlink" Target="http://www.sec.gov/Archives/edgar/data/1590895/000119312518117700/d565201dex21.htm" TargetMode="External"/><Relationship Id="rId94" Type="http://schemas.openxmlformats.org/officeDocument/2006/relationships/hyperlink" Target="http://www.sec.gov/Archives/edgar/data/1590895/000119312520196232/d940333dex31.htm" TargetMode="External"/><Relationship Id="rId95" Type="http://schemas.openxmlformats.org/officeDocument/2006/relationships/hyperlink" Target="http://www.sec.gov/Archives/edgar/data/1590895/000119312520196232/d940333dex32.htm" TargetMode="External"/><Relationship Id="rId96" Type="http://schemas.openxmlformats.org/officeDocument/2006/relationships/hyperlink" Target="http://www.sec.gov/Archives/edgar/data/1590895/000119312520187991/d847565dex41.htm" TargetMode="External"/><Relationship Id="rId97" Type="http://schemas.openxmlformats.org/officeDocument/2006/relationships/hyperlink" Target="http://www.sec.gov/Archives/edgar/data/1590895/000119312520196232/d940333dex42.htm" TargetMode="External"/><Relationship Id="rId98" Type="http://schemas.openxmlformats.org/officeDocument/2006/relationships/hyperlink" Target="http://www.sec.gov/Archives/edgar/data/1590895/000119312520187991/d847565dex42.htm" TargetMode="External"/><Relationship Id="rId99" Type="http://schemas.openxmlformats.org/officeDocument/2006/relationships/hyperlink" Target="http://www.sec.gov/Archives/edgar/data/1590895/000119312520196232/d940333dex43.htm" TargetMode="External"/><Relationship Id="rId100" Type="http://schemas.openxmlformats.org/officeDocument/2006/relationships/hyperlink" Target="http://www.sec.gov/Archives/edgar/data/1590895/000119312520187991/d847565dex43.htm" TargetMode="External"/><Relationship Id="rId101" Type="http://schemas.openxmlformats.org/officeDocument/2006/relationships/hyperlink" Target="http://www.sec.gov/Archives/edgar/data/1590895/000119312520196232/d940333dex44.htm" TargetMode="External"/><Relationship Id="rId102" Type="http://schemas.openxmlformats.org/officeDocument/2006/relationships/hyperlink" Target="http://www.sec.gov/Archives/edgar/data/858339/000119312517309911/d474419dex41.htm" TargetMode="External"/><Relationship Id="rId103" Type="http://schemas.openxmlformats.org/officeDocument/2006/relationships/hyperlink" Target="http://www.sec.gov/Archives/edgar/data/858339/000119312519303088/d802307dex41.htm" TargetMode="External"/><Relationship Id="rId104" Type="http://schemas.openxmlformats.org/officeDocument/2006/relationships/hyperlink" Target="http://www.sec.gov/Archives/edgar/data/1590895/000119312520196232/d940333dex41.htm" TargetMode="External"/><Relationship Id="rId105" Type="http://schemas.openxmlformats.org/officeDocument/2006/relationships/hyperlink" Target="http://www.sec.gov/Archives/edgar/data/858339/000119312517310774/d466106dex41.htm" TargetMode="External"/><Relationship Id="rId106" Type="http://schemas.openxmlformats.org/officeDocument/2006/relationships/hyperlink" Target="http://www.sec.gov/Archives/edgar/data/858339/000119312517377212/d470148dex41.htm" TargetMode="External"/><Relationship Id="rId107" Type="http://schemas.openxmlformats.org/officeDocument/2006/relationships/hyperlink" Target="http://www.sec.gov/Archives/edgar/data/1590895/000119312520196232/d940333dex105.htm" TargetMode="External"/><Relationship Id="rId108" Type="http://schemas.openxmlformats.org/officeDocument/2006/relationships/hyperlink" Target="http://www.sec.gov/Archives/edgar/data/1590895/000159089520000039/lasvegaslease-thirdame.htm" TargetMode="External"/><Relationship Id="rId109" Type="http://schemas.openxmlformats.org/officeDocument/2006/relationships/hyperlink" Target="http://www.sec.gov/Archives/edgar/data/1590895/000119312520196232/d940333dex108.htm" TargetMode="External"/><Relationship Id="rId110" Type="http://schemas.openxmlformats.org/officeDocument/2006/relationships/hyperlink" Target="http://www.sec.gov/Archives/edgar/data/1590895/000119312520196232/d940333dex106.htm" TargetMode="External"/><Relationship Id="rId111" Type="http://schemas.openxmlformats.org/officeDocument/2006/relationships/hyperlink" Target="http://www.sec.gov/Archives/edgar/data/1590895/000159089520000039/regionallease-sixthame.htm" TargetMode="External"/><Relationship Id="rId114" Type="http://schemas.openxmlformats.org/officeDocument/2006/relationships/hyperlink" Target="http://www.sec.gov/Archives/edgar/data/1590895/000119312520196232/d940333dex109.htm" TargetMode="External"/><Relationship Id="rId115" Type="http://schemas.openxmlformats.org/officeDocument/2006/relationships/hyperlink" Target="http://www.sec.gov/Archives/edgar/data/1590895/000119312520196232/d940333dex107.htm" TargetMode="External"/><Relationship Id="rId116" Type="http://schemas.openxmlformats.org/officeDocument/2006/relationships/hyperlink" Target="http://www.sec.gov/Archives/edgar/data/1590895/000159089520000039/jolietlease-thirdamend.htm" TargetMode="External"/><Relationship Id="rId117" Type="http://schemas.openxmlformats.org/officeDocument/2006/relationships/hyperlink" Target="http://www.sec.gov/Archives/edgar/data/1590895/000119312520196232/d940333dex1010.htm" TargetMode="External"/><Relationship Id="rId118" Type="http://schemas.openxmlformats.org/officeDocument/2006/relationships/hyperlink" Target="http://www.sec.gov/Archives/edgar/data/1590895/000119312520196232/d940333dex1011.htm" TargetMode="External"/><Relationship Id="rId119" Type="http://schemas.openxmlformats.org/officeDocument/2006/relationships/hyperlink" Target="http://www.sec.gov/Archives/edgar/data/1590895/000119312520196232/d940333dex1012.htm" TargetMode="External"/><Relationship Id="rId120" Type="http://schemas.openxmlformats.org/officeDocument/2006/relationships/hyperlink" Target="http://www.sec.gov/Archives/edgar/data/1590895/000119312520196232/d940333dex1013.htm" TargetMode="External"/><Relationship Id="rId121" Type="http://schemas.openxmlformats.org/officeDocument/2006/relationships/hyperlink" Target="http://www.sec.gov/Archives/edgar/data/1590895/000119312520196232/d940333dex1014.htm" TargetMode="External"/><Relationship Id="rId122" Type="http://schemas.openxmlformats.org/officeDocument/2006/relationships/hyperlink" Target="http://www.sec.gov/Archives/edgar/data/1590895/000119312520249222/d37922dex101.htm" TargetMode="External"/><Relationship Id="rId123" Type="http://schemas.openxmlformats.org/officeDocument/2006/relationships/hyperlink" Target="http://www.sec.gov/Archives/edgar/data/1590895/000119312520196232/d940333dex1015.htm" TargetMode="External"/><Relationship Id="rId124" Type="http://schemas.openxmlformats.org/officeDocument/2006/relationships/hyperlink" Target="http://www.sec.gov/Archives/edgar/data/858339/000119312520196345/d39509dex1013.htm" TargetMode="External"/><Relationship Id="rId125" Type="http://schemas.openxmlformats.org/officeDocument/2006/relationships/hyperlink" Target="http://www.sec.gov/Archives/edgar/data/1590895/000119312520196232/d940333dex101.htm" TargetMode="External"/><Relationship Id="rId126" Type="http://schemas.openxmlformats.org/officeDocument/2006/relationships/hyperlink" Target="http://www.sec.gov/Archives/edgar/data/1590895/000119312520196232/d940333dex102.htm" TargetMode="External"/><Relationship Id="rId127" Type="http://schemas.openxmlformats.org/officeDocument/2006/relationships/hyperlink" Target="http://www.sec.gov/Archives/edgar/data/858339/000119312517377212/d470148dex101.htm" TargetMode="External"/><Relationship Id="rId128" Type="http://schemas.openxmlformats.org/officeDocument/2006/relationships/hyperlink" Target="http://www.sec.gov/Archives/edgar/data/858339/000119312520169592/d942609dex101.htm" TargetMode="External"/><Relationship Id="rId129" Type="http://schemas.openxmlformats.org/officeDocument/2006/relationships/hyperlink" Target="http://www.sec.gov/Archives/edgar/data/1590895/000119312520196232/d940333dex103.htm" TargetMode="External"/><Relationship Id="rId130" Type="http://schemas.openxmlformats.org/officeDocument/2006/relationships/hyperlink" Target="http://www.sec.gov/Archives/edgar/data/1590895/000119312520196232/d940333dex104.htm" TargetMode="External"/><Relationship Id="rId131" Type="http://schemas.openxmlformats.org/officeDocument/2006/relationships/hyperlink" Target="http://www.sec.gov/Archives/edgar/data/858339/000119312517309911/d474419dex1019.htm" TargetMode="External"/><Relationship Id="rId132" Type="http://schemas.openxmlformats.org/officeDocument/2006/relationships/hyperlink" Target="http://www.sec.gov/Archives/edgar/data/858339/000119312507175934/dex1069.htm" TargetMode="External"/><Relationship Id="rId135" Type="http://schemas.openxmlformats.org/officeDocument/2006/relationships/hyperlink" Target="http://www.sec.gov/Archives/edgar/data/858339/000119312507175934/dex1071.htm" TargetMode="External"/><Relationship Id="rId136" Type="http://schemas.openxmlformats.org/officeDocument/2006/relationships/hyperlink" Target="http://www.sec.gov/Archives/edgar/data/858339/000119312507175934/dex1072.htm" TargetMode="External"/><Relationship Id="rId137" Type="http://schemas.openxmlformats.org/officeDocument/2006/relationships/hyperlink" Target="http://www.sec.gov/Archives/edgar/data/858339/000119312507175934/dex1073.htm" TargetMode="External"/><Relationship Id="rId138" Type="http://schemas.openxmlformats.org/officeDocument/2006/relationships/hyperlink" Target="http://www.sec.gov/Archives/edgar/data/858339/000119312509029283/dex102.htm" TargetMode="External"/><Relationship Id="rId139" Type="http://schemas.openxmlformats.org/officeDocument/2006/relationships/hyperlink" Target="http://www.sec.gov/Archives/edgar/data/858339/000085833915000055/a2014q4cecex1048-cecesspam.htm" TargetMode="External"/><Relationship Id="rId140" Type="http://schemas.openxmlformats.org/officeDocument/2006/relationships/hyperlink" Target="http://www.sec.gov/Archives/edgar/data/858339/000119312517309911/d474419dex1020.htm" TargetMode="External"/><Relationship Id="rId141" Type="http://schemas.openxmlformats.org/officeDocument/2006/relationships/hyperlink" Target="http://www.sec.gov/Archives/edgar/data/858339/000119312517309911/d474419dex104.htm" TargetMode="External"/><Relationship Id="rId142" Type="http://schemas.openxmlformats.org/officeDocument/2006/relationships/hyperlink" Target="http://www.sec.gov/Archives/edgar/data/858339/000156459020015547/czr-ex101_6.htm" TargetMode="External"/><Relationship Id="rId143" Type="http://schemas.openxmlformats.org/officeDocument/2006/relationships/hyperlink" Target="http://www.sec.gov/Archives/edgar/data/858339/000119312520107177/d911819dex104.htm" TargetMode="External"/><Relationship Id="rId144" Type="http://schemas.openxmlformats.org/officeDocument/2006/relationships/hyperlink" Target="http://www.sec.gov/Archives/edgar/data/858339/000119312512035526/d253153dex1089.htm" TargetMode="External"/><Relationship Id="rId145" Type="http://schemas.openxmlformats.org/officeDocument/2006/relationships/hyperlink" Target="http://www.sec.gov/Archives/edgar/data/858339/000119312512312928/d382681dex101.htm" TargetMode="External"/><Relationship Id="rId146" Type="http://schemas.openxmlformats.org/officeDocument/2006/relationships/hyperlink" Target="http://www.sec.gov/Archives/edgar/data/858339/000085833915000094/cec-8kexhibit101.htm" TargetMode="External"/><Relationship Id="rId147" Type="http://schemas.openxmlformats.org/officeDocument/2006/relationships/hyperlink" Target="http://www.sec.gov/Archives/edgar/data/858339/000085833916000339/exhibit101-cec2012pipamend.htm" TargetMode="External"/><Relationship Id="rId148" Type="http://schemas.openxmlformats.org/officeDocument/2006/relationships/hyperlink" Target="http://www.sec.gov/Archives/edgar/data/858339/000085833916000416/a2016q2cecex103amendmentto.htm" TargetMode="External"/><Relationship Id="rId149" Type="http://schemas.openxmlformats.org/officeDocument/2006/relationships/hyperlink" Target="https://www.sec.gov/Archives/edgar/data/834162/000104746910007224/a2199727zex-10_4.htm" TargetMode="External"/><Relationship Id="rId151" Type="http://schemas.openxmlformats.org/officeDocument/2006/relationships/hyperlink" Target="http://www.sec.gov/Archives/edgar/data/863015/000110465915070112/a15-20934_1ex10d1.htm" TargetMode="External"/><Relationship Id="rId152" Type="http://schemas.openxmlformats.org/officeDocument/2006/relationships/hyperlink" Target="https://www.sec.gov/Archives/edgar/data/863015/000104746915005507/a2225088zex-10_27.htm" TargetMode="External"/><Relationship Id="rId153" Type="http://schemas.openxmlformats.org/officeDocument/2006/relationships/hyperlink" Target="http://www.sec.gov/Archives/edgar/data/858339/000119312517306053/d449773dex46.htm" TargetMode="External"/><Relationship Id="rId155" Type="http://schemas.openxmlformats.org/officeDocument/2006/relationships/hyperlink" Target="http://www.sec.gov/Archives/edgar/data/858339/000119312518110095/d565076dex101.htm" TargetMode="External"/><Relationship Id="rId156" Type="http://schemas.openxmlformats.org/officeDocument/2006/relationships/hyperlink" Target="http://www.sec.gov/Archives/edgar/data/858339/000119312518348970/d655600dex41.htm" TargetMode="External"/><Relationship Id="rId157" Type="http://schemas.openxmlformats.org/officeDocument/2006/relationships/hyperlink" Target="http://www.sec.gov/Archives/edgar/data/858339/000119312518348970/d655600dex42.htm" TargetMode="External"/><Relationship Id="rId158" Type="http://schemas.openxmlformats.org/officeDocument/2006/relationships/hyperlink" Target="http://www.sec.gov/Archives/edgar/data/1575879/000157587914000030/exhibit10_1.htm" TargetMode="External"/><Relationship Id="rId159" Type="http://schemas.openxmlformats.org/officeDocument/2006/relationships/hyperlink" Target="http://www.sec.gov/Archives/edgar/data/1590895/000119312519182266/d769492dex42.htm" TargetMode="External"/><Relationship Id="rId160" Type="http://schemas.openxmlformats.org/officeDocument/2006/relationships/hyperlink" Target="http://www.sec.gov/Archives/edgar/data/1590895/000159089520000039/ceiindemnificationagre.htm" TargetMode="External"/><Relationship Id="rId161" Type="http://schemas.openxmlformats.org/officeDocument/2006/relationships/hyperlink" Target="http://www.sec.gov/Archives/edgar/data/1590895/000156459020007599/eri-ex1021_88.htm" TargetMode="External"/><Relationship Id="rId162" Type="http://schemas.openxmlformats.org/officeDocument/2006/relationships/hyperlink" Target="https://www.sec.gov/Archives/edgar/data/1590895/000156459020007599/eri-ex1022_87.htm" TargetMode="External"/><Relationship Id="rId163" Type="http://schemas.openxmlformats.org/officeDocument/2006/relationships/hyperlink" Target="https://www.sec.gov/Archives/edgar/data/1590895/000104746915006100/a2225323zex-10_28.htm" TargetMode="External"/><Relationship Id="rId164" Type="http://schemas.openxmlformats.org/officeDocument/2006/relationships/hyperlink" Target="https://www.sec.gov/Archives/edgar/data/1590895/000156459019005640/eri-ex1019_598.htm" TargetMode="External"/><Relationship Id="rId165" Type="http://schemas.openxmlformats.org/officeDocument/2006/relationships/hyperlink" Target="https://www.sec.gov/Archives/edgar/data/1590895/000119312517152208/d377572dex45.htm" TargetMode="External"/><Relationship Id="rId166" Type="http://schemas.openxmlformats.org/officeDocument/2006/relationships/hyperlink" Target="https://www.sec.gov/Archives/edgar/data/1590895/000119312519028377/d658708dex101.htm" TargetMode="External"/><Relationship Id="rId167" Type="http://schemas.openxmlformats.org/officeDocument/2006/relationships/hyperlink" Target="http://www.sec.gov/Archives/edgar/data/1590895/000119312518016157/d427842dex101.htm" TargetMode="External"/><Relationship Id="rId168" Type="http://schemas.openxmlformats.org/officeDocument/2006/relationships/hyperlink" Target="http://www.sec.gov/Archives/edgar/data/1590895/000119312518289591/d625611dex104.htm" TargetMode="External"/><Relationship Id="rId169" Type="http://schemas.openxmlformats.org/officeDocument/2006/relationships/hyperlink" Target="http://www.sec.gov/Archives/edgar/data/1590895/000119312518016157/d427842dex102.htm" TargetMode="External"/><Relationship Id="rId170" Type="http://schemas.openxmlformats.org/officeDocument/2006/relationships/hyperlink" Target="http://www.sec.gov/Archives/edgar/data/1590895/000119312518289591/d625611dex103.htm" TargetMode="External"/><Relationship Id="rId171" Type="http://schemas.openxmlformats.org/officeDocument/2006/relationships/hyperlink" Target="http://www.sec.gov/Archives/edgar/data/1590895/000119312518016157/d427842dex103.htm" TargetMode="External"/><Relationship Id="rId172" Type="http://schemas.openxmlformats.org/officeDocument/2006/relationships/hyperlink" Target="http://www.sec.gov/Archives/edgar/data/1590895/000119312518289591/d625611dex105.htm" TargetMode="External"/><Relationship Id="rId173" Type="http://schemas.openxmlformats.org/officeDocument/2006/relationships/hyperlink" Target="http://www.sec.gov/Archives/edgar/data/1590895/000156459018003554/eri-ex107_425.htm" TargetMode="External"/><Relationship Id="rId174" Type="http://schemas.openxmlformats.org/officeDocument/2006/relationships/hyperlink" Target="http://www.sec.gov/Archives/edgar/data/1590895/000159089520000039/amendedandrestatedomni.htm" TargetMode="External"/><Relationship Id="rId177" Type="http://schemas.openxmlformats.org/officeDocument/2006/relationships/hyperlink" Target="http://www.sec.gov/Archives/edgar/data/1590895/000119312520169324/d943694dex104.htm" TargetMode="External"/><Relationship Id="rId178" Type="http://schemas.openxmlformats.org/officeDocument/2006/relationships/hyperlink" Target="http://www.sec.gov/Archives/edgar/data/1590895/000119312520266403/d4028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2021-03-01T06:53:10Z</dcterms:created>
  <dcterms:modified xsi:type="dcterms:W3CDTF">2021-03-01T06:53:10Z</dcterms:modified>
</cp:coreProperties>
</file>