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pPr>
      <w:r>
        <w:rPr>
          <w:rFonts w:ascii="Times New Roman;sans-serif" w:hAnsi="Times New Roman;sans-serif"/>
          <w:b/>
          <w:color w:val="000000"/>
          <w:sz w:val="20"/>
        </w:rPr>
        <w:t>Commission File No. 001</w:t>
      </w:r>
      <w:r>
        <w:rPr>
          <w:rFonts w:ascii="Arial;sans-serif" w:hAnsi="Arial;sans-serif"/>
          <w:b w:val="false"/>
          <w:color w:val="000000"/>
          <w:sz w:val="18"/>
        </w:rPr>
        <w:t>-</w:t>
      </w:r>
      <w:r>
        <w:rPr>
          <w:rFonts w:ascii="Times New Roman;sans-serif" w:hAnsi="Times New Roman;sans-serif"/>
          <w:b/>
          <w:color w:val="000000"/>
          <w:sz w:val="20"/>
        </w:rPr>
        <w:t xml:space="preserve">36629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CAESARS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46-3657681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100 West Liberty Street, 12th Floor, Reno, Nevada 89501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and zip code of principal executive offices)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(775) 328-0100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40" w:after="283"/>
        <w:ind w:left="0" w:right="0" w:firstLine="90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722" w:type="dxa"/>
        <w:jc w:val="left"/>
        <w:tblInd w:w="0" w:type="dxa"/>
        <w:tblLayout w:type="fixed"/>
        <w:tblCellMar>
          <w:top w:w="28" w:type="dxa"/>
          <w:left w:w="28" w:type="dxa"/>
          <w:bottom w:w="28" w:type="dxa"/>
          <w:right w:w="28" w:type="dxa"/>
        </w:tblCellMar>
      </w:tblPr>
      <w:tblGrid>
        <w:gridCol w:w="1030"/>
        <w:gridCol w:w="903"/>
        <w:gridCol w:w="916"/>
        <w:gridCol w:w="519"/>
        <w:gridCol w:w="519"/>
        <w:gridCol w:w="521"/>
        <w:gridCol w:w="970"/>
        <w:gridCol w:w="970"/>
        <w:gridCol w:w="1374"/>
      </w:tblGrid>
      <w:tr>
        <w:trPr/>
        <w:tc>
          <w:tcPr>
            <w:tcW w:w="10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Common Stock, $0.00001 par value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CZR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NASDAQ Stock Market</w:t>
            </w:r>
          </w:p>
        </w:tc>
      </w:tr>
    </w:tbl>
    <w:p>
      <w:pPr>
        <w:pStyle w:val="TextBody"/>
        <w:bidi w:val="0"/>
        <w:spacing w:lineRule="auto" w:line="288" w:before="0" w:after="0"/>
        <w:ind w:left="0" w:right="0" w:firstLine="90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0"/>
        <w:jc w:val="both"/>
        <w:rPr/>
      </w:pPr>
      <w:r>
        <w:rPr>
          <w:rFonts w:ascii="Times New Roman;sans-serif" w:hAnsi="Times New Roman;sans-serif"/>
          <w:b w:val="false"/>
          <w:color w:val="000000"/>
          <w:sz w:val="18"/>
        </w:rPr>
        <w:t>If</w:t>
      </w:r>
      <w:r>
        <w:rPr>
          <w:color w:val="000000"/>
        </w:rPr>
        <w:t xml:space="preserve"> </w:t>
      </w:r>
      <w:r>
        <w:rPr>
          <w:rFonts w:ascii="Times New Roman;sans-serif" w:hAnsi="Times New Roman;sans-serif"/>
          <w:b w:val="false"/>
          <w:color w:val="000000"/>
          <w:sz w:val="20"/>
        </w:rPr>
        <w:t>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40" w:after="283"/>
        <w:ind w:left="0" w:right="0" w:firstLine="900"/>
        <w:jc w:val="both"/>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ans-serif" w:hAnsi="Times New Roman;sans-serif"/>
          <w:b w:val="false"/>
          <w:color w:val="000000"/>
          <w:sz w:val="18"/>
        </w:rPr>
        <w:t>The</w:t>
      </w:r>
      <w:r>
        <w:rPr>
          <w:color w:val="000000"/>
        </w:rPr>
        <w:t xml:space="preserve"> </w:t>
      </w:r>
      <w:r>
        <w:rPr>
          <w:rFonts w:ascii="Times New Roman;sans-serif" w:hAnsi="Times New Roman;sans-serif"/>
          <w:b w:val="false"/>
          <w:color w:val="000000"/>
          <w:sz w:val="20"/>
        </w:rPr>
        <w:t>number of shares of the Registrant’s Common Stock, $0.00001 par value per share, outstanding as of April 24, 2025 was 207,968,119.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609" w:type="dxa"/>
        <w:jc w:val="left"/>
        <w:tblInd w:w="0" w:type="dxa"/>
        <w:tblLayout w:type="fixed"/>
        <w:tblCellMar>
          <w:top w:w="28" w:type="dxa"/>
          <w:left w:w="28" w:type="dxa"/>
          <w:bottom w:w="28" w:type="dxa"/>
          <w:right w:w="28" w:type="dxa"/>
        </w:tblCellMar>
      </w:tblPr>
      <w:tblGrid>
        <w:gridCol w:w="630"/>
        <w:gridCol w:w="552"/>
        <w:gridCol w:w="552"/>
        <w:gridCol w:w="2438"/>
        <w:gridCol w:w="2438"/>
        <w:gridCol w:w="2488"/>
        <w:gridCol w:w="149"/>
        <w:gridCol w:w="149"/>
        <w:gridCol w:w="213"/>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3">
              <w:r>
                <w:rPr>
                  <w:rStyle w:val="InternetLink"/>
                  <w:rFonts w:ascii="Times New Roman;sans-serif" w:hAnsi="Times New Roman;sans-serif"/>
                  <w:b/>
                  <w:color w:val="0000FF"/>
                  <w:sz w:val="20"/>
                  <w:u w:val="singl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82047a1ba7b84538888910c468702195_13">
              <w:r>
                <w:rPr>
                  <w:rStyle w:val="InternetLink"/>
                  <w:rFonts w:ascii="Times New Roman;sans-serif" w:hAnsi="Times New Roman;sans-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3">
              <w:r>
                <w:rPr>
                  <w:rStyle w:val="InternetLink"/>
                  <w:rFonts w:ascii="Times New Roman;sans-serif" w:hAnsi="Times New Roman;sans-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3">
              <w:r>
                <w:rPr>
                  <w:rStyle w:val="InternetLink"/>
                  <w:rFonts w:ascii="Times New Roman;sans-serif" w:hAnsi="Times New Roman;sans-serif"/>
                  <w:b w:val="false"/>
                  <w:color w:val="0000FF"/>
                  <w:sz w:val="20"/>
                  <w:u w:val="single"/>
                </w:rPr>
                <w:t>Unaudited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3">
              <w:r>
                <w:rPr>
                  <w:rStyle w:val="InternetLink"/>
                  <w:rFonts w:ascii="Times New Roman;sans-serif" w:hAnsi="Times New Roman;sans-serif"/>
                  <w:b w:val="false"/>
                  <w:strike w:val="false"/>
                  <w:dstrike w:val="false"/>
                  <w:color w:val="0000FF"/>
                  <w:sz w:val="20"/>
                  <w:u w:val="none"/>
                  <w:effect w:val="none"/>
                </w:rPr>
                <w:t>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6">
              <w:r>
                <w:rPr>
                  <w:rStyle w:val="InternetLink"/>
                  <w:rFonts w:ascii="Times New Roman;sans-serif" w:hAnsi="Times New Roman;sans-serif"/>
                  <w:b w:val="false"/>
                  <w:color w:val="0000FF"/>
                  <w:sz w:val="20"/>
                  <w:u w:val="single"/>
                </w:rPr>
                <w:t>Consolidated Condensed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6">
              <w:r>
                <w:rPr>
                  <w:rStyle w:val="InternetLink"/>
                  <w:rFonts w:ascii="Times New Roman;sans-serif" w:hAnsi="Times New Roman;sans-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9">
              <w:r>
                <w:rPr>
                  <w:rStyle w:val="InternetLink"/>
                  <w:rFonts w:ascii="Times New Roman;sans-serif" w:hAnsi="Times New Roman;sans-serif"/>
                  <w:b w:val="false"/>
                  <w:color w:val="0000FF"/>
                  <w:sz w:val="20"/>
                  <w:u w:val="single"/>
                </w:rPr>
                <w:t>Consolidated Condensed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9">
              <w:r>
                <w:rPr>
                  <w:rStyle w:val="InternetLink"/>
                  <w:rFonts w:ascii="Times New Roman;sans-serif" w:hAnsi="Times New Roman;sans-serif"/>
                  <w:b w:val="false"/>
                  <w:strike w:val="false"/>
                  <w:dstrike w:val="false"/>
                  <w:color w:val="0000FF"/>
                  <w:sz w:val="20"/>
                  <w:u w:val="none"/>
                  <w:effect w:val="none"/>
                </w:rPr>
                <w:t>3</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22">
              <w:r>
                <w:rPr>
                  <w:rStyle w:val="InternetLink"/>
                  <w:rFonts w:ascii="Times New Roman;sans-serif" w:hAnsi="Times New Roman;sans-serif"/>
                  <w:b w:val="false"/>
                  <w:color w:val="0000FF"/>
                  <w:sz w:val="20"/>
                  <w:u w:val="single"/>
                </w:rPr>
                <w:t>Consolidated Condensed Statements of Comprehensive Income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22">
              <w:r>
                <w:rPr>
                  <w:rStyle w:val="InternetLink"/>
                  <w:rFonts w:ascii="Times New Roman;sans-serif" w:hAnsi="Times New Roman;sans-serif"/>
                  <w:b w:val="false"/>
                  <w:strike w:val="false"/>
                  <w:dstrike w:val="false"/>
                  <w:color w:val="0000FF"/>
                  <w:sz w:val="20"/>
                  <w:u w:val="none"/>
                  <w:effect w:val="none"/>
                </w:rPr>
                <w:t>4</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25">
              <w:r>
                <w:rPr>
                  <w:rStyle w:val="InternetLink"/>
                  <w:rFonts w:ascii="Times New Roman;sans-serif" w:hAnsi="Times New Roman;sans-serif"/>
                  <w:b w:val="false"/>
                  <w:color w:val="0000FF"/>
                  <w:sz w:val="20"/>
                  <w:u w:val="single"/>
                </w:rPr>
                <w:t>Consolidated Condensed 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25">
              <w:r>
                <w:rPr>
                  <w:rStyle w:val="InternetLink"/>
                  <w:rFonts w:ascii="Times New Roman;sans-serif" w:hAnsi="Times New Roman;sans-serif"/>
                  <w:b w:val="false"/>
                  <w:strike w:val="false"/>
                  <w:dstrike w:val="false"/>
                  <w:color w:val="0000FF"/>
                  <w:sz w:val="20"/>
                  <w:u w:val="none"/>
                  <w:effect w:val="none"/>
                </w:rPr>
                <w:t>5</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28">
              <w:r>
                <w:rPr>
                  <w:rStyle w:val="InternetLink"/>
                  <w:rFonts w:ascii="Times New Roman;sans-serif" w:hAnsi="Times New Roman;sans-serif"/>
                  <w:b w:val="false"/>
                  <w:color w:val="0000FF"/>
                  <w:sz w:val="20"/>
                  <w:u w:val="single"/>
                </w:rPr>
                <w:t>Consolidated Condensed Statements of Cash Flows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28">
              <w:r>
                <w:rPr>
                  <w:rStyle w:val="InternetLink"/>
                  <w:rFonts w:ascii="Times New Roman;sans-serif" w:hAnsi="Times New Roman;sans-serif"/>
                  <w:b w:val="false"/>
                  <w:strike w:val="false"/>
                  <w:dstrike w:val="false"/>
                  <w:color w:val="0000FF"/>
                  <w:sz w:val="20"/>
                  <w:u w:val="none"/>
                  <w:effect w:val="none"/>
                </w:rPr>
                <w:t>6</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34">
              <w:r>
                <w:rPr>
                  <w:rStyle w:val="InternetLink"/>
                  <w:rFonts w:ascii="Times New Roman;sans-serif" w:hAnsi="Times New Roman;sans-serif"/>
                  <w:b w:val="false"/>
                  <w:color w:val="0000FF"/>
                  <w:sz w:val="20"/>
                  <w:u w:val="single"/>
                </w:rPr>
                <w:t>Notes to Consolidated Condensed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2047a1ba7b84538888910c468702195_34">
              <w:r>
                <w:rPr>
                  <w:rStyle w:val="InternetLink"/>
                  <w:rFonts w:ascii="Times New Roman;sans-serif" w:hAnsi="Times New Roman;sans-serif"/>
                  <w:b w:val="false"/>
                  <w:strike w:val="false"/>
                  <w:dstrike w:val="false"/>
                  <w:color w:val="0000FF"/>
                  <w:sz w:val="20"/>
                  <w:u w:val="none"/>
                  <w:effect w:val="none"/>
                </w:rPr>
                <w:t>8</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82">
              <w:r>
                <w:rPr>
                  <w:rStyle w:val="InternetLink"/>
                  <w:rFonts w:ascii="Times New Roman;sans-serif" w:hAnsi="Times New Roman;sans-serif"/>
                  <w:b w:val="false"/>
                  <w:strike w:val="false"/>
                  <w:dstrike w:val="false"/>
                  <w:color w:val="0000FF"/>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2047a1ba7b84538888910c468702195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82">
              <w:r>
                <w:rPr>
                  <w:rStyle w:val="InternetLink"/>
                  <w:rFonts w:ascii="Times New Roman;sans-serif" w:hAnsi="Times New Roman;sans-serif"/>
                  <w:b w:val="false"/>
                  <w:strike w:val="false"/>
                  <w:dstrike w:val="false"/>
                  <w:color w:val="0000FF"/>
                  <w:sz w:val="20"/>
                  <w:u w:val="none"/>
                  <w:effect w:val="none"/>
                </w:rPr>
                <w:t>25</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09">
              <w:r>
                <w:rPr>
                  <w:rStyle w:val="InternetLink"/>
                  <w:rFonts w:ascii="Times New Roman;sans-serif" w:hAnsi="Times New Roman;sans-serif"/>
                  <w:b w:val="false"/>
                  <w:strike w:val="false"/>
                  <w:dstrike w:val="false"/>
                  <w:color w:val="0000FF"/>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2047a1ba7b84538888910c468702195_109">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09">
              <w:r>
                <w:rPr>
                  <w:rStyle w:val="InternetLink"/>
                  <w:rFonts w:ascii="Times New Roman;sans-serif" w:hAnsi="Times New Roman;sans-serif"/>
                  <w:b w:val="false"/>
                  <w:strike w:val="false"/>
                  <w:dstrike w:val="false"/>
                  <w:color w:val="0000FF"/>
                  <w:sz w:val="20"/>
                  <w:u w:val="none"/>
                  <w:effect w:val="none"/>
                </w:rPr>
                <w:t>37</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12">
              <w:r>
                <w:rPr>
                  <w:rStyle w:val="InternetLink"/>
                  <w:rFonts w:ascii="Times New Roman;sans-serif" w:hAnsi="Times New Roman;sans-serif"/>
                  <w:b w:val="false"/>
                  <w:strike w:val="false"/>
                  <w:dstrike w:val="false"/>
                  <w:color w:val="0000FF"/>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12">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12">
              <w:r>
                <w:rPr>
                  <w:rStyle w:val="InternetLink"/>
                  <w:rFonts w:ascii="Times New Roman;sans-serif" w:hAnsi="Times New Roman;sans-serif"/>
                  <w:b w:val="false"/>
                  <w:strike w:val="false"/>
                  <w:dstrike w:val="false"/>
                  <w:color w:val="0000FF"/>
                  <w:sz w:val="20"/>
                  <w:u w:val="none"/>
                  <w:effect w:val="none"/>
                </w:rPr>
                <w:t>37</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15">
              <w:r>
                <w:rPr>
                  <w:rStyle w:val="InternetLink"/>
                  <w:rFonts w:ascii="Times New Roman;sans-serif" w:hAnsi="Times New Roman;sans-serif"/>
                  <w:b/>
                  <w:color w:val="0000FF"/>
                  <w:sz w:val="20"/>
                  <w:u w:val="single"/>
                </w:rPr>
                <w:t>PART II.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15">
              <w:r>
                <w:rPr>
                  <w:rStyle w:val="InternetLink"/>
                  <w:rFonts w:ascii="Times New Roman;sans-serif" w:hAnsi="Times New Roman;sans-serif"/>
                  <w:b w:val="false"/>
                  <w:strike w:val="false"/>
                  <w:dstrike w:val="false"/>
                  <w:color w:val="0000FF"/>
                  <w:sz w:val="20"/>
                  <w:u w:val="none"/>
                  <w:effect w:val="none"/>
                </w:rPr>
                <w:t>38</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18">
              <w:r>
                <w:rPr>
                  <w:rStyle w:val="InternetLink"/>
                  <w:rFonts w:ascii="Times New Roman;sans-serif" w:hAnsi="Times New Roman;sans-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18">
              <w:r>
                <w:rPr>
                  <w:rStyle w:val="InternetLink"/>
                  <w:rFonts w:ascii="Times New Roman;sans-serif" w:hAnsi="Times New Roman;sans-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18">
              <w:r>
                <w:rPr>
                  <w:rStyle w:val="InternetLink"/>
                  <w:rFonts w:ascii="Times New Roman;sans-serif" w:hAnsi="Times New Roman;sans-serif"/>
                  <w:b w:val="false"/>
                  <w:strike w:val="false"/>
                  <w:dstrike w:val="false"/>
                  <w:color w:val="0000FF"/>
                  <w:sz w:val="20"/>
                  <w:u w:val="none"/>
                  <w:effect w:val="none"/>
                </w:rPr>
                <w:t>38</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24">
              <w:r>
                <w:rPr>
                  <w:rStyle w:val="InternetLink"/>
                  <w:rFonts w:ascii="Times New Roman;sans-serif" w:hAnsi="Times New Roman;sans-serif"/>
                  <w:b w:val="false"/>
                  <w:strike w:val="false"/>
                  <w:dstrike w:val="false"/>
                  <w:color w:val="0000FF"/>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24">
              <w:r>
                <w:rPr>
                  <w:rStyle w:val="InternetLink"/>
                  <w:rFonts w:ascii="Times New Roman;sans-serif" w:hAnsi="Times New Roman;sans-serif"/>
                  <w:b w:val="false"/>
                  <w:color w:val="0000FF"/>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24">
              <w:r>
                <w:rPr>
                  <w:rStyle w:val="InternetLink"/>
                  <w:rFonts w:ascii="Times New Roman;sans-serif" w:hAnsi="Times New Roman;sans-serif"/>
                  <w:b w:val="false"/>
                  <w:strike w:val="false"/>
                  <w:dstrike w:val="false"/>
                  <w:color w:val="0000FF"/>
                  <w:sz w:val="20"/>
                  <w:u w:val="none"/>
                  <w:effect w:val="none"/>
                </w:rPr>
                <w:t>40</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27">
              <w:r>
                <w:rPr>
                  <w:rStyle w:val="InternetLink"/>
                  <w:rFonts w:ascii="Times New Roman;sans-serif" w:hAnsi="Times New Roman;sans-serif"/>
                  <w:b w:val="false"/>
                  <w:strike w:val="false"/>
                  <w:dstrike w:val="false"/>
                  <w:color w:val="0000FF"/>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27">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27">
              <w:r>
                <w:rPr>
                  <w:rStyle w:val="InternetLink"/>
                  <w:rFonts w:ascii="Times New Roman;sans-serif" w:hAnsi="Times New Roman;sans-serif"/>
                  <w:b w:val="false"/>
                  <w:strike w:val="false"/>
                  <w:dstrike w:val="false"/>
                  <w:color w:val="0000FF"/>
                  <w:sz w:val="20"/>
                  <w:u w:val="none"/>
                  <w:effect w:val="none"/>
                </w:rPr>
                <w:t>40</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30">
              <w:r>
                <w:rPr>
                  <w:rStyle w:val="InternetLink"/>
                  <w:rFonts w:ascii="Times New Roman;sans-serif" w:hAnsi="Times New Roman;sans-serif"/>
                  <w:b w:val="false"/>
                  <w:strike w:val="false"/>
                  <w:dstrike w:val="false"/>
                  <w:color w:val="0000FF"/>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30">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30">
              <w:r>
                <w:rPr>
                  <w:rStyle w:val="InternetLink"/>
                  <w:rFonts w:ascii="Times New Roman;sans-serif" w:hAnsi="Times New Roman;sans-serif"/>
                  <w:b w:val="false"/>
                  <w:strike w:val="false"/>
                  <w:dstrike w:val="false"/>
                  <w:color w:val="0000FF"/>
                  <w:sz w:val="20"/>
                  <w:u w:val="none"/>
                  <w:effect w:val="none"/>
                </w:rPr>
                <w:t>40</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33">
              <w:r>
                <w:rPr>
                  <w:rStyle w:val="InternetLink"/>
                  <w:rFonts w:ascii="Times New Roman;sans-serif" w:hAnsi="Times New Roman;sans-serif"/>
                  <w:b w:val="false"/>
                  <w:strike w:val="false"/>
                  <w:dstrike w:val="false"/>
                  <w:color w:val="0000FF"/>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33">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33">
              <w:r>
                <w:rPr>
                  <w:rStyle w:val="InternetLink"/>
                  <w:rFonts w:ascii="Times New Roman;sans-serif" w:hAnsi="Times New Roman;sans-serif"/>
                  <w:b w:val="false"/>
                  <w:strike w:val="false"/>
                  <w:dstrike w:val="false"/>
                  <w:color w:val="0000FF"/>
                  <w:sz w:val="20"/>
                  <w:u w:val="none"/>
                  <w:effect w:val="none"/>
                </w:rPr>
                <w:t>40</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36">
              <w:r>
                <w:rPr>
                  <w:rStyle w:val="InternetLink"/>
                  <w:rFonts w:ascii="Times New Roman;sans-serif" w:hAnsi="Times New Roman;sans-serif"/>
                  <w:b w:val="false"/>
                  <w:strike w:val="false"/>
                  <w:dstrike w:val="false"/>
                  <w:color w:val="0000FF"/>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36">
              <w:r>
                <w:rPr>
                  <w:rStyle w:val="InternetLink"/>
                  <w:rFonts w:ascii="Times New Roman;sans-serif" w:hAnsi="Times New Roman;sans-serif"/>
                  <w:b w:val="false"/>
                  <w:color w:val="0000FF"/>
                  <w:sz w:val="20"/>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36">
              <w:r>
                <w:rPr>
                  <w:rStyle w:val="InternetLink"/>
                  <w:rFonts w:ascii="Times New Roman;sans-serif" w:hAnsi="Times New Roman;sans-serif"/>
                  <w:b w:val="false"/>
                  <w:strike w:val="false"/>
                  <w:dstrike w:val="false"/>
                  <w:color w:val="0000FF"/>
                  <w:sz w:val="20"/>
                  <w:u w:val="none"/>
                  <w:effect w:val="none"/>
                </w:rPr>
                <w:t>40</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2047a1ba7b84538888910c468702195_142">
              <w:r>
                <w:rPr>
                  <w:rStyle w:val="InternetLink"/>
                  <w:rFonts w:ascii="Times New Roman;sans-serif" w:hAnsi="Times New Roman;sans-serif"/>
                  <w:b w:val="false"/>
                  <w:strike w:val="false"/>
                  <w:dstrike w:val="false"/>
                  <w:color w:val="0000FF"/>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2047a1ba7b84538888910c468702195_142">
              <w:r>
                <w:rPr>
                  <w:rStyle w:val="InternetLink"/>
                  <w:rFonts w:ascii="Times New Roman;sans-serif" w:hAnsi="Times New Roman;sans-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2047a1ba7b84538888910c468702195_142">
              <w:r>
                <w:rPr>
                  <w:rStyle w:val="InternetLink"/>
                  <w:rFonts w:ascii="Times New Roman;sans-serif" w:hAnsi="Times New Roman;sans-serif"/>
                  <w:b w:val="false"/>
                  <w:strike w:val="false"/>
                  <w:dstrike w:val="false"/>
                  <w:color w:val="0000FF"/>
                  <w:sz w:val="20"/>
                  <w:u w:val="none"/>
                  <w:effect w:val="none"/>
                </w:rPr>
                <w:t>41</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2047a1ba7b84538888910c468702195_148">
              <w:r>
                <w:rPr>
                  <w:rStyle w:val="InternetLink"/>
                  <w:rFonts w:ascii="Times New Roman;sans-serif" w:hAnsi="Times New Roman;sans-serif"/>
                  <w:b/>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2047a1ba7b84538888910c468702195_148">
              <w:r>
                <w:rPr>
                  <w:rStyle w:val="InternetLink"/>
                  <w:rFonts w:ascii="Times New Roman;sans-serif" w:hAnsi="Times New Roman;sans-serif"/>
                  <w:b w:val="false"/>
                  <w:strike w:val="false"/>
                  <w:dstrike w:val="false"/>
                  <w:color w:val="0000FF"/>
                  <w:sz w:val="20"/>
                  <w:u w:val="none"/>
                  <w:effect w:val="none"/>
                </w:rPr>
                <w:t>42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80" w:after="283"/>
        <w:jc w:val="center"/>
        <w:rPr>
          <w:rFonts w:ascii="Times New Roman;sans-serif" w:hAnsi="Times New Roman;sans-serif"/>
          <w:b/>
          <w:color w:val="BF2115"/>
          <w:sz w:val="24"/>
        </w:rPr>
      </w:pPr>
      <w:r>
        <w:rPr>
          <w:rFonts w:ascii="Times New Roman;sans-serif" w:hAnsi="Times New Roman;sans-serif"/>
          <w:b/>
          <w:color w:val="BF2115"/>
          <w:sz w:val="24"/>
        </w:rPr>
        <w:t>PART I - FINANCIAL INFORMATION</w:t>
      </w: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300" w:type="dxa"/>
        <w:jc w:val="left"/>
        <w:tblInd w:w="0" w:type="dxa"/>
        <w:tblLayout w:type="fixed"/>
        <w:tblCellMar>
          <w:top w:w="28" w:type="dxa"/>
          <w:left w:w="28" w:type="dxa"/>
          <w:bottom w:w="28" w:type="dxa"/>
          <w:right w:w="28" w:type="dxa"/>
        </w:tblCellMar>
      </w:tblPr>
      <w:tblGrid>
        <w:gridCol w:w="1485"/>
        <w:gridCol w:w="1303"/>
        <w:gridCol w:w="1307"/>
        <w:gridCol w:w="266"/>
        <w:gridCol w:w="876"/>
        <w:gridCol w:w="147"/>
        <w:gridCol w:w="109"/>
        <w:gridCol w:w="109"/>
        <w:gridCol w:w="109"/>
        <w:gridCol w:w="313"/>
        <w:gridCol w:w="1031"/>
        <w:gridCol w:w="245"/>
      </w:tblGrid>
      <w:tr>
        <w:trPr/>
        <w:tc>
          <w:tcPr>
            <w:tcW w:w="14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and advances to unconsolidated affiliates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other than goodwill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financing obligations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Commitments and contingencies (</w:t>
            </w:r>
            <w:hyperlink w:anchor="i82047a1ba7b84538888910c468702195_49">
              <w:r>
                <w:rPr>
                  <w:rStyle w:val="InternetLink"/>
                  <w:rFonts w:ascii="Times New Roman;sans-serif" w:hAnsi="Times New Roman;sans-serif"/>
                  <w:b w:val="false"/>
                  <w:color w:val="0000FF"/>
                  <w:sz w:val="18"/>
                  <w:u w:val="single"/>
                </w:rPr>
                <w:t>Note 5</w:t>
              </w:r>
            </w:hyperlink>
            <w:r>
              <w:rPr>
                <w:rFonts w:ascii="Times New Roman;sans-serif" w:hAnsi="Times New Roman;sans-serif"/>
                <w:b w:val="false"/>
                <w:color w:val="000000"/>
                <w:sz w:val="18"/>
              </w:rPr>
              <w:t>)</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stockholders’ equity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32,590 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04165"/>
                <wp:effectExtent l="0" t="0" r="0" b="0"/>
                <wp:wrapNone/>
                <wp:docPr id="3" name="Frame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672" w:type="dxa"/>
        <w:jc w:val="left"/>
        <w:tblInd w:w="0" w:type="dxa"/>
        <w:tblLayout w:type="fixed"/>
        <w:tblCellMar>
          <w:top w:w="28" w:type="dxa"/>
          <w:left w:w="28" w:type="dxa"/>
          <w:bottom w:w="28" w:type="dxa"/>
          <w:right w:w="28" w:type="dxa"/>
        </w:tblCellMar>
      </w:tblPr>
      <w:tblGrid>
        <w:gridCol w:w="1320"/>
        <w:gridCol w:w="1157"/>
        <w:gridCol w:w="1167"/>
        <w:gridCol w:w="109"/>
        <w:gridCol w:w="109"/>
        <w:gridCol w:w="260"/>
        <w:gridCol w:w="260"/>
        <w:gridCol w:w="468"/>
        <w:gridCol w:w="1329"/>
        <w:gridCol w:w="260"/>
        <w:gridCol w:w="109"/>
        <w:gridCol w:w="109"/>
        <w:gridCol w:w="109"/>
        <w:gridCol w:w="196"/>
        <w:gridCol w:w="556"/>
        <w:gridCol w:w="154"/>
      </w:tblGrid>
      <w:tr>
        <w:trPr/>
        <w:tc>
          <w:tcPr>
            <w:tcW w:w="132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Caesars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Net loss per share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basic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diluted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4165"/>
                <wp:effectExtent l="0" t="0" r="0" b="0"/>
                <wp:wrapNone/>
                <wp:docPr id="4" name="Frame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70" w:type="dxa"/>
        <w:jc w:val="left"/>
        <w:tblInd w:w="0" w:type="dxa"/>
        <w:tblLayout w:type="fixed"/>
        <w:tblCellMar>
          <w:top w:w="28" w:type="dxa"/>
          <w:left w:w="28" w:type="dxa"/>
          <w:bottom w:w="28" w:type="dxa"/>
          <w:right w:w="28" w:type="dxa"/>
        </w:tblCellMar>
      </w:tblPr>
      <w:tblGrid>
        <w:gridCol w:w="1627"/>
        <w:gridCol w:w="1430"/>
        <w:gridCol w:w="1442"/>
        <w:gridCol w:w="109"/>
        <w:gridCol w:w="109"/>
        <w:gridCol w:w="276"/>
        <w:gridCol w:w="276"/>
        <w:gridCol w:w="496"/>
        <w:gridCol w:w="1256"/>
        <w:gridCol w:w="276"/>
        <w:gridCol w:w="109"/>
        <w:gridCol w:w="109"/>
        <w:gridCol w:w="109"/>
        <w:gridCol w:w="196"/>
        <w:gridCol w:w="496"/>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73" w:type="dxa"/>
            <w:gridSpan w:val="6"/>
            <w:tcBorders/>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Caesars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4165"/>
                <wp:effectExtent l="0" t="0" r="0" b="0"/>
                <wp:wrapNone/>
                <wp:docPr id="5" name="Frame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475" w:type="dxa"/>
        <w:jc w:val="left"/>
        <w:tblInd w:w="0" w:type="dxa"/>
        <w:tblLayout w:type="fixed"/>
        <w:tblCellMar>
          <w:top w:w="28" w:type="dxa"/>
          <w:left w:w="28" w:type="dxa"/>
          <w:bottom w:w="28" w:type="dxa"/>
          <w:right w:w="28" w:type="dxa"/>
        </w:tblCellMar>
      </w:tblPr>
      <w:tblGrid>
        <w:gridCol w:w="755"/>
        <w:gridCol w:w="215"/>
        <w:gridCol w:w="216"/>
        <w:gridCol w:w="210"/>
        <w:gridCol w:w="210"/>
        <w:gridCol w:w="211"/>
        <w:gridCol w:w="109"/>
        <w:gridCol w:w="109"/>
        <w:gridCol w:w="109"/>
        <w:gridCol w:w="207"/>
        <w:gridCol w:w="428"/>
        <w:gridCol w:w="116"/>
        <w:gridCol w:w="109"/>
        <w:gridCol w:w="109"/>
        <w:gridCol w:w="109"/>
        <w:gridCol w:w="210"/>
        <w:gridCol w:w="211"/>
        <w:gridCol w:w="211"/>
        <w:gridCol w:w="109"/>
        <w:gridCol w:w="109"/>
        <w:gridCol w:w="109"/>
        <w:gridCol w:w="207"/>
        <w:gridCol w:w="428"/>
        <w:gridCol w:w="116"/>
        <w:gridCol w:w="109"/>
        <w:gridCol w:w="109"/>
        <w:gridCol w:w="109"/>
        <w:gridCol w:w="196"/>
        <w:gridCol w:w="556"/>
        <w:gridCol w:w="109"/>
        <w:gridCol w:w="109"/>
        <w:gridCol w:w="109"/>
        <w:gridCol w:w="109"/>
        <w:gridCol w:w="251"/>
        <w:gridCol w:w="733"/>
        <w:gridCol w:w="142"/>
        <w:gridCol w:w="109"/>
        <w:gridCol w:w="109"/>
        <w:gridCol w:w="109"/>
        <w:gridCol w:w="402"/>
        <w:gridCol w:w="679"/>
        <w:gridCol w:w="225"/>
        <w:gridCol w:w="109"/>
        <w:gridCol w:w="109"/>
        <w:gridCol w:w="109"/>
        <w:gridCol w:w="223"/>
        <w:gridCol w:w="463"/>
        <w:gridCol w:w="125"/>
        <w:gridCol w:w="109"/>
        <w:gridCol w:w="109"/>
        <w:gridCol w:w="109"/>
        <w:gridCol w:w="340"/>
        <w:gridCol w:w="731"/>
        <w:gridCol w:w="190"/>
        <w:gridCol w:w="109"/>
        <w:gridCol w:w="109"/>
        <w:gridCol w:w="109"/>
        <w:gridCol w:w="263"/>
        <w:gridCol w:w="746"/>
        <w:gridCol w:w="207"/>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2024</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2025</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2023</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4,720 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withheld related to net share settlement of stock awards </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2024</w:t>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4165"/>
                <wp:effectExtent l="0" t="0" r="0" b="0"/>
                <wp:wrapNone/>
                <wp:docPr id="6" name="Frame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15"/>
        <w:gridCol w:w="2431"/>
        <w:gridCol w:w="2458"/>
        <w:gridCol w:w="224"/>
        <w:gridCol w:w="637"/>
        <w:gridCol w:w="124"/>
        <w:gridCol w:w="124"/>
        <w:gridCol w:w="124"/>
        <w:gridCol w:w="124"/>
        <w:gridCol w:w="224"/>
        <w:gridCol w:w="538"/>
        <w:gridCol w:w="182"/>
      </w:tblGrid>
      <w:tr>
        <w:trPr/>
        <w:tc>
          <w:tcPr>
            <w:tcW w:w="3015"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 and discounts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amortization</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and disposal of property and equipment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adjustments to net loss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 and payable, net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from unconsolidated affiliate</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revolving credit facilities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and revolving credit facilities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 payments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and extinguishment costs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 owners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cash, cash equivalents and restricted cash</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AMOUNTS REPORTED WITHIN THE CONSOLIDATED CONDENSED BALANCE SHEETS:</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and escrow cash included in other long-term assets, net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7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4165"/>
                <wp:effectExtent l="0" t="0" r="0" b="0"/>
                <wp:wrapNone/>
                <wp:docPr id="7" name="Frame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80" w:after="283"/>
        <w:jc w:val="left"/>
        <w:rPr/>
      </w:pPr>
      <w:r>
        <w:rPr/>
      </w:r>
    </w:p>
    <w:tbl>
      <w:tblPr>
        <w:tblW w:w="8081" w:type="dxa"/>
        <w:jc w:val="center"/>
        <w:tblInd w:w="0" w:type="dxa"/>
        <w:tblLayout w:type="fixed"/>
        <w:tblCellMar>
          <w:top w:w="28" w:type="dxa"/>
          <w:left w:w="28" w:type="dxa"/>
          <w:bottom w:w="28" w:type="dxa"/>
          <w:right w:w="28" w:type="dxa"/>
        </w:tblCellMar>
      </w:tblPr>
      <w:tblGrid>
        <w:gridCol w:w="1976"/>
        <w:gridCol w:w="1733"/>
        <w:gridCol w:w="1751"/>
        <w:gridCol w:w="282"/>
        <w:gridCol w:w="606"/>
        <w:gridCol w:w="156"/>
        <w:gridCol w:w="156"/>
        <w:gridCol w:w="156"/>
        <w:gridCol w:w="156"/>
        <w:gridCol w:w="282"/>
        <w:gridCol w:w="606"/>
        <w:gridCol w:w="221"/>
      </w:tblGrid>
      <w:tr>
        <w:trPr/>
        <w:tc>
          <w:tcPr>
            <w:tcW w:w="197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interest paid for debt</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interest paid for rent related to financing obligations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for capital expenditures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4165"/>
                <wp:effectExtent l="0" t="0" r="0" b="0"/>
                <wp:wrapNone/>
                <wp:docPr id="8" name="Frame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Form 10-Q should be read in conjunction with our Annual Report on Form 10-K for the year ended December 31, 2024 (the “2024 Annual Report”). Capitalized terms used but not defined in this Form 10-Q have the same meanings as in the 2024 Annual Report.</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pStyle w:val="TextBody"/>
        <w:bidi w:val="0"/>
        <w:spacing w:lineRule="auto" w:line="288" w:before="0" w:after="0"/>
        <w:jc w:val="both"/>
        <w:rPr>
          <w:rFonts w:ascii="Times New Roman;sans-serif" w:hAnsi="Times New Roman;sans-serif"/>
          <w:b/>
          <w:color w:val="BF2115"/>
          <w:sz w:val="24"/>
        </w:rPr>
      </w:pPr>
      <w:r>
        <w:rPr>
          <w:rFonts w:ascii="Times New Roman;sans-serif" w:hAnsi="Times New Roman;sans-serif"/>
          <w:b/>
          <w:color w:val="BF2115"/>
          <w:sz w:val="24"/>
        </w:rPr>
        <w:t>Note 1. Organization and Description of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in 2021. The Company’s ticker symbol on the NASDAQ Stock Market is “CZR.”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leases, brands or manages an aggregate of 53 domestic properties in 18 states with approximately 51,300 slot machines, video lottery terminals and e-tables, approximately 2,800 table games and approximately 45,900 hotel rooms as of March 31, 2025. In addition, the Company has other properties in North America that are authorized to use the brands and marks of Caesars Entertainment, Inc., as well as other non-gaming properties. The Company’s primary source of revenue is generated by its gaming operations, which includes retail and online sports betting and online gaming. Additionally, the Company utilizes its hotels, restaurants, bars, entertainment, racing, retail shops and other services to attract customers to its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operations for retail and online sports betting, iGaming, horse racing and online poker are included under the Caesars Digital segment. The Company operates retail and online sports wagering in 32 jurisdictions in North America, 26 of which offer online sports betting, and operates iGaming in five jurisdictions in North America as of March 31, 2025. The Company operates the Caesars Sportsbook app, the Caesars Racebook app, the Caesars Palace Online Casino app and the Horseshoe Online Casino app which initially launched in October 2024. The Company also expects to continue to grow its operations in the Caesars Digital segment as new jurisdictions legalize retail and online sports betting and iGaming.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Divestiture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divests assets that it may not consider core to its business to raise capital or, in some cases, to comply with conditions, terms, obligations or restrictions imposed by antitrust, gaming and other regulatory entities.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2024, the Company closed the sale of the LINQ Promenade to a joint venture between TPG Real Estate and the Investment Management Platform of Acadia Realty Trust for $275 million. The LINQ Promenade was reported within the Las Vegas segment. For the three months ended March 31, 2024, the operations of the LINQ Promenade resulted in $6 million of net revenues and $4 million of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2. Basis of Presentation and Significant Accounting Policies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4165"/>
                <wp:effectExtent l="0" t="0" r="0" b="0"/>
                <wp:wrapNone/>
                <wp:docPr id="9" name="Frame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pPr>
      <w:r>
        <w:rPr>
          <w:rFonts w:ascii="Times New Roman;sans-serif" w:hAnsi="Times New Roman;sans-serif"/>
          <w:b w:val="false"/>
          <w:color w:val="000000"/>
          <w:sz w:val="20"/>
        </w:rPr>
        <w:t xml:space="preserve">The presentation of financial information herein for the periods after divestiture of the LINQ Promenade is not fully comparable to the periods prior to such divestiture. See </w:t>
      </w:r>
      <w:hyperlink w:anchor="i82047a1ba7b84538888910c468702195_34">
        <w:r>
          <w:rPr>
            <w:rStyle w:val="InternetLink"/>
          </w:rPr>
          <w:t>Note </w:t>
        </w:r>
      </w:hyperlink>
      <w:hyperlink w:anchor="i82047a1ba7b84538888910c468702195_34">
        <w:r>
          <w:rPr>
            <w:rStyle w:val="InternetLink"/>
          </w:rPr>
          <w:t>1</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include the accounts of Caesars Entertainment, Inc. and its subsidiaries after elimination of all intercompany accounts and transactions.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Consolidation of Subsidiaries and Variable Interest Entities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of its financial assets and liabilities at fair value, on a recurring basis, which is the price that would be received to sell an asset or paid to transfer a liability in an orderly transaction between market participants. Levels of the hierarchy prioritize the inputs used to measure fair value and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Observable inputs such as quoted prices in active markets.</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color w:val="000000"/>
          <w:sz w:val="20"/>
        </w:rPr>
        <w:t>Level 2: Inputs other than quoted prices in active markets that are either directly or indirectly observable.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3: Unobservable inputs that reflect the Company’s own assumptions, as there is little, if any, related market activity.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 Cash and cash equivalents also include cash maintained for gaming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includes cash or cash equivalents held in certificates of deposit accounts or money market type funds, that are not subject to remeasurement on a recurring basis, which are restricted under certain operating agreements or restricted for future capital expenditures in the normal course of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Marketable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Marketable securities consist primarily of trading securities held by the Company’s deferred compensation plans. The estimated fair values of the Company’s marketable securities are determined on an individual asset basis based upon quoted prices of identical assets available in active markets (Level 1) and represent the amounts the Company would expect to receive if the Company sold these marketable securities. As of both March 31, 2025 and December 31, 2024, the Company held $2 million in Level 1 securities.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enter into derivative instruments to hedge the risk of fluctuations in interest rates, foreign exchange rates or pricing for other commodities. These agreements are designated as cash flow hedges. As of March 31, 2025 and December 31, 2024, the Company did not hold any cash flow hedges or any derivative financial instruments for trading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4165"/>
                <wp:effectExtent l="0" t="0" r="0" b="0"/>
                <wp:wrapNone/>
                <wp:docPr id="10" name="Frame1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Advertising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in the period the advertising first occurs. Advertising costs for the three months ended March 31, 2025 and 2024 totaled $60 million and $64 million, respectively, and are included within operating expenses. Advertising costs related to the Caesars Digital segment are primarily recorded in Casino expense.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5845" w:type="dxa"/>
        <w:jc w:val="left"/>
        <w:tblInd w:w="0" w:type="dxa"/>
        <w:tblLayout w:type="fixed"/>
        <w:tblCellMar>
          <w:top w:w="28" w:type="dxa"/>
          <w:left w:w="28" w:type="dxa"/>
          <w:bottom w:w="28" w:type="dxa"/>
          <w:right w:w="28" w:type="dxa"/>
        </w:tblCellMar>
      </w:tblPr>
      <w:tblGrid>
        <w:gridCol w:w="707"/>
        <w:gridCol w:w="620"/>
        <w:gridCol w:w="622"/>
        <w:gridCol w:w="109"/>
        <w:gridCol w:w="109"/>
        <w:gridCol w:w="298"/>
        <w:gridCol w:w="298"/>
        <w:gridCol w:w="535"/>
        <w:gridCol w:w="1151"/>
        <w:gridCol w:w="298"/>
        <w:gridCol w:w="109"/>
        <w:gridCol w:w="109"/>
        <w:gridCol w:w="109"/>
        <w:gridCol w:w="196"/>
        <w:gridCol w:w="421"/>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Pronouncements to Be Implemented in Future Periods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(as clarified in January 2025 by ASU 2025-01), the Financial Accounting Standards Board (“FASB”) issued Accounting Standards Update (“ASU”) 2024-03, “Income Statement—Reporting Comprehensive Income—Expense Disaggregation Disclosures,” which requires additional disclosure about specific expense categories in the notes to financial statements. This information is generally not presented in the financial statements today. This update applies to all public business entities and will be effective for annual reporting periods beginning after December 15, 2026, and interim reporting periods within annual reporting periods beginning after December 15, 2027. Early adoption is permitted. We do not expect the amendments in this update to have a material impact on our Financial Statements.</w:t>
      </w:r>
    </w:p>
    <w:p>
      <w:pPr>
        <w:pStyle w:val="TextBody"/>
        <w:bidi w:val="0"/>
        <w:spacing w:lineRule="auto" w:line="288" w:before="180" w:after="283"/>
        <w:jc w:val="both"/>
        <w:rPr/>
      </w:pPr>
      <w:r>
        <w:rPr>
          <w:rFonts w:ascii="Times New Roman;sans-serif" w:hAnsi="Times New Roman;sans-serif"/>
          <w:b w:val="false"/>
          <w:color w:val="000000"/>
          <w:sz w:val="20"/>
        </w:rPr>
        <w:t>In December 2023, the FASB issued ASU 2023-09, “</w:t>
      </w:r>
      <w:r>
        <w:rPr>
          <w:rFonts w:ascii="Times New Roman;sans-serif" w:hAnsi="Times New Roman;sans-serif"/>
          <w:b w:val="false"/>
          <w:i/>
          <w:color w:val="000000"/>
          <w:sz w:val="20"/>
        </w:rPr>
        <w:t>Income Taxes: Improvements to Income Tax Disclosures,</w:t>
      </w:r>
      <w:r>
        <w:rPr>
          <w:color w:val="000000"/>
        </w:rPr>
        <w:t xml:space="preserve">” </w:t>
      </w:r>
      <w:r>
        <w:rPr>
          <w:rFonts w:ascii="Times New Roman;sans-serif" w:hAnsi="Times New Roman;sans-serif"/>
          <w:b w:val="false"/>
          <w:color w:val="000000"/>
          <w:sz w:val="20"/>
        </w:rPr>
        <w:t>which requires disaggregated information about an entity’s effective tax rate reconciliation as well as information on income taxes paid. These updates apply to all entities subject to income taxes and will be effective for annual periods beginning after December 15, 2024. Early adoption is permitted. Updates are to be applied on a prospective basis with the option to apply the standard retrospectively. We do not expect the amendments in this update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3. Property and Equipment</w:t>
      </w:r>
    </w:p>
    <w:tbl>
      <w:tblPr>
        <w:tblW w:w="7555" w:type="dxa"/>
        <w:jc w:val="left"/>
        <w:tblInd w:w="0" w:type="dxa"/>
        <w:tblLayout w:type="fixed"/>
        <w:tblCellMar>
          <w:top w:w="28" w:type="dxa"/>
          <w:left w:w="28" w:type="dxa"/>
          <w:bottom w:w="28" w:type="dxa"/>
          <w:right w:w="28" w:type="dxa"/>
        </w:tblCellMar>
      </w:tblPr>
      <w:tblGrid>
        <w:gridCol w:w="1576"/>
        <w:gridCol w:w="1383"/>
        <w:gridCol w:w="1391"/>
        <w:gridCol w:w="266"/>
        <w:gridCol w:w="876"/>
        <w:gridCol w:w="147"/>
        <w:gridCol w:w="109"/>
        <w:gridCol w:w="109"/>
        <w:gridCol w:w="109"/>
        <w:gridCol w:w="313"/>
        <w:gridCol w:w="1031"/>
        <w:gridCol w:w="245"/>
      </w:tblGrid>
      <w:tr>
        <w:trPr/>
        <w:tc>
          <w:tcPr>
            <w:tcW w:w="15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riverboats, and leasehold and land improvements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fixtures, and equipment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14,812 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property and equipment is subject to various operating leases for which we are the lessor. Leased property includes our hotel rooms, convention space and retail space through various short-term and long-term operating leases.</w:t>
      </w:r>
    </w:p>
    <w:tbl>
      <w:tblPr>
        <w:tblW w:w="4979" w:type="dxa"/>
        <w:jc w:val="left"/>
        <w:tblInd w:w="0" w:type="dxa"/>
        <w:tblLayout w:type="fixed"/>
        <w:tblCellMar>
          <w:top w:w="28" w:type="dxa"/>
          <w:left w:w="28" w:type="dxa"/>
          <w:bottom w:w="28" w:type="dxa"/>
          <w:right w:w="28" w:type="dxa"/>
        </w:tblCellMar>
      </w:tblPr>
      <w:tblGrid>
        <w:gridCol w:w="695"/>
        <w:gridCol w:w="611"/>
        <w:gridCol w:w="614"/>
        <w:gridCol w:w="284"/>
        <w:gridCol w:w="610"/>
        <w:gridCol w:w="158"/>
        <w:gridCol w:w="158"/>
        <w:gridCol w:w="158"/>
        <w:gridCol w:w="158"/>
        <w:gridCol w:w="284"/>
        <w:gridCol w:w="610"/>
        <w:gridCol w:w="158"/>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Depreciation Expense</w:t>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4165"/>
                <wp:effectExtent l="0" t="0" r="0" b="0"/>
                <wp:wrapNone/>
                <wp:docPr id="11" name="Frame1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calculated using the straight-line method over the shorter of the estimated useful life of the asset or the related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4. Goodwill and Intangible Assets, net</w:t>
      </w:r>
    </w:p>
    <w:tbl>
      <w:tblPr>
        <w:tblW w:w="10205" w:type="dxa"/>
        <w:jc w:val="left"/>
        <w:tblInd w:w="0" w:type="dxa"/>
        <w:tblLayout w:type="fixed"/>
        <w:tblCellMar>
          <w:top w:w="28" w:type="dxa"/>
          <w:left w:w="28" w:type="dxa"/>
          <w:bottom w:w="28" w:type="dxa"/>
          <w:right w:w="28" w:type="dxa"/>
        </w:tblCellMar>
      </w:tblPr>
      <w:tblGrid>
        <w:gridCol w:w="1830"/>
        <w:gridCol w:w="1595"/>
        <w:gridCol w:w="1600"/>
        <w:gridCol w:w="579"/>
        <w:gridCol w:w="1246"/>
        <w:gridCol w:w="326"/>
        <w:gridCol w:w="109"/>
        <w:gridCol w:w="109"/>
        <w:gridCol w:w="109"/>
        <w:gridCol w:w="242"/>
        <w:gridCol w:w="798"/>
        <w:gridCol w:w="134"/>
        <w:gridCol w:w="134"/>
        <w:gridCol w:w="134"/>
        <w:gridCol w:w="134"/>
        <w:gridCol w:w="242"/>
        <w:gridCol w:w="687"/>
        <w:gridCol w:w="197"/>
      </w:tblGrid>
      <w:tr>
        <w:trPr/>
        <w:tc>
          <w:tcPr>
            <w:tcW w:w="183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Changes in Carrying Value of Goodwill and Other Intangible Assets</w:t>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Non-Amortizing Intangible Assets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Amortizing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Goodwill</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2024</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2025</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
        <w:gridCol w:w="269"/>
        <w:gridCol w:w="270"/>
        <w:gridCol w:w="215"/>
        <w:gridCol w:w="215"/>
        <w:gridCol w:w="216"/>
        <w:gridCol w:w="111"/>
        <w:gridCol w:w="111"/>
        <w:gridCol w:w="111"/>
        <w:gridCol w:w="223"/>
        <w:gridCol w:w="634"/>
        <w:gridCol w:w="124"/>
        <w:gridCol w:w="111"/>
        <w:gridCol w:w="111"/>
        <w:gridCol w:w="111"/>
        <w:gridCol w:w="327"/>
        <w:gridCol w:w="729"/>
        <w:gridCol w:w="183"/>
        <w:gridCol w:w="111"/>
        <w:gridCol w:w="111"/>
        <w:gridCol w:w="111"/>
        <w:gridCol w:w="219"/>
        <w:gridCol w:w="622"/>
        <w:gridCol w:w="121"/>
        <w:gridCol w:w="111"/>
        <w:gridCol w:w="111"/>
        <w:gridCol w:w="111"/>
        <w:gridCol w:w="223"/>
        <w:gridCol w:w="634"/>
        <w:gridCol w:w="124"/>
        <w:gridCol w:w="111"/>
        <w:gridCol w:w="111"/>
        <w:gridCol w:w="111"/>
        <w:gridCol w:w="327"/>
        <w:gridCol w:w="729"/>
        <w:gridCol w:w="183"/>
        <w:gridCol w:w="109"/>
        <w:gridCol w:w="109"/>
        <w:gridCol w:w="109"/>
        <w:gridCol w:w="218"/>
        <w:gridCol w:w="618"/>
        <w:gridCol w:w="190"/>
      </w:tblGrid>
      <w:tr>
        <w:trPr/>
        <w:tc>
          <w:tcPr>
            <w:tcW w:w="6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852"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Gross Carrying Value and Accumulated Amortization of Intangible Assets Other Than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 Life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w:t>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3 - 7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rights and other</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10 - 34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Reacquired rights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3 - 6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Non-amortizing intangible assets other than Goodwill</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rights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Rewards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amortizing and non-amortizing intangible assets other than Goodwill,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with respect to intangible assets for the three months ended March 31, 2025 and 2024 totaled $33 million and $36 million, which is included in Depreciation and amortization in the Statements of Operations.</w:t>
      </w:r>
    </w:p>
    <w:tbl>
      <w:tblPr>
        <w:tblW w:w="9178" w:type="dxa"/>
        <w:jc w:val="left"/>
        <w:tblInd w:w="0" w:type="dxa"/>
        <w:tblLayout w:type="fixed"/>
        <w:tblCellMar>
          <w:top w:w="28" w:type="dxa"/>
          <w:left w:w="28" w:type="dxa"/>
          <w:bottom w:w="28" w:type="dxa"/>
          <w:right w:w="28" w:type="dxa"/>
        </w:tblCellMar>
      </w:tblPr>
      <w:tblGrid>
        <w:gridCol w:w="1044"/>
        <w:gridCol w:w="915"/>
        <w:gridCol w:w="920"/>
        <w:gridCol w:w="415"/>
        <w:gridCol w:w="702"/>
        <w:gridCol w:w="232"/>
        <w:gridCol w:w="109"/>
        <w:gridCol w:w="109"/>
        <w:gridCol w:w="109"/>
        <w:gridCol w:w="196"/>
        <w:gridCol w:w="42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Estimated Five-Year Amortization</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2030</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Estimated amortization expense</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 xml:space="preserve">Note 5. Litigation, Commitments and Contingencies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General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legal proceedings, which have arisen in the normal course of our business. Such proceedings can be costly, time consuming,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4165"/>
                <wp:effectExtent l="0" t="0" r="0" b="0"/>
                <wp:wrapNone/>
                <wp:docPr id="12" name="Frame1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Commitments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Sports Sponsorship/Partnership Obligations</w:t>
      </w:r>
    </w:p>
    <w:p>
      <w:pPr>
        <w:pStyle w:val="TextBody"/>
        <w:bidi w:val="0"/>
        <w:spacing w:lineRule="auto" w:line="288" w:before="180" w:after="283"/>
        <w:jc w:val="both"/>
        <w:rPr/>
      </w:pPr>
      <w:r>
        <w:rPr>
          <w:rFonts w:ascii="Times New Roman;sans-serif" w:hAnsi="Times New Roman;sans-serif"/>
          <w:b w:val="false"/>
          <w:color w:val="222222"/>
          <w:sz w:val="20"/>
        </w:rPr>
        <w:t xml:space="preserve">The Company has agreements with certain professional sports leagues and teams, sporting event facilities and media companies for tickets, suites, advertising, marketing, promotional and sponsorship opportunities including communication with partner customer databases. Some of the agreements provide Caesars with exclusivity to access the aforementioned rights within the casino and/or sports betting category. As of </w:t>
      </w:r>
      <w:r>
        <w:rPr>
          <w:rFonts w:ascii="Times New Roman;sans-serif" w:hAnsi="Times New Roman;sans-serif"/>
          <w:b w:val="false"/>
          <w:color w:val="000000"/>
          <w:sz w:val="20"/>
        </w:rPr>
        <w:t>March 31, 2025 and December 31, 2024</w:t>
      </w:r>
      <w:r>
        <w:rPr>
          <w:rFonts w:ascii="Times New Roman;sans-serif" w:hAnsi="Times New Roman;sans-serif"/>
          <w:b w:val="false"/>
          <w:color w:val="222222"/>
          <w:sz w:val="20"/>
        </w:rPr>
        <w:t>, obligations related to these agreements were $398 million and $421 million, respectively, with contracts extending through 2040. These obligations are composed of various third-party agreements which have been entered into by the Company for certain of our Las Vegas and Regional properties, or our Caesars Digital segment. The agreements include leasing of event suites that are generally considered short-term leases for which the Company does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Self-Insurance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self-insured for workers compensation and other risk insurance, as well as health insurance and general liability. The Company’s total estimated self-insurance liability was $208 million and $204 million as of March 31, 2025 and December 31, 2024, respectively, which is included in Accrued other liabilities in our Balance Sheets.</w:t>
      </w:r>
    </w:p>
    <w:p>
      <w:pPr>
        <w:pStyle w:val="TextBody"/>
        <w:bidi w:val="0"/>
        <w:spacing w:lineRule="auto" w:line="288" w:before="180" w:after="283"/>
        <w:jc w:val="both"/>
        <w:rPr>
          <w:rFonts w:ascii="Times New Roman;sans-serif" w:hAnsi="Times New Roman;sans-serif"/>
          <w:b w:val="false"/>
          <w:color w:val="222222"/>
          <w:sz w:val="20"/>
        </w:rPr>
      </w:pPr>
      <w:r>
        <w:rPr>
          <w:rFonts w:ascii="Times New Roman;sans-serif" w:hAnsi="Times New Roman;sans-serif"/>
          <w:b w:val="false"/>
          <w:color w:val="222222"/>
          <w:sz w:val="20"/>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6. Long-Term Debt</w:t>
      </w:r>
    </w:p>
    <w:tbl>
      <w:tblPr>
        <w:tblW w:w="9951" w:type="dxa"/>
        <w:jc w:val="left"/>
        <w:tblInd w:w="0" w:type="dxa"/>
        <w:tblLayout w:type="fixed"/>
        <w:tblCellMar>
          <w:top w:w="28" w:type="dxa"/>
          <w:left w:w="28" w:type="dxa"/>
          <w:bottom w:w="28" w:type="dxa"/>
          <w:right w:w="28" w:type="dxa"/>
        </w:tblCellMar>
      </w:tblPr>
      <w:tblGrid>
        <w:gridCol w:w="1078"/>
        <w:gridCol w:w="950"/>
        <w:gridCol w:w="953"/>
        <w:gridCol w:w="451"/>
        <w:gridCol w:w="451"/>
        <w:gridCol w:w="454"/>
        <w:gridCol w:w="120"/>
        <w:gridCol w:w="120"/>
        <w:gridCol w:w="120"/>
        <w:gridCol w:w="241"/>
        <w:gridCol w:w="241"/>
        <w:gridCol w:w="246"/>
        <w:gridCol w:w="109"/>
        <w:gridCol w:w="109"/>
        <w:gridCol w:w="109"/>
        <w:gridCol w:w="196"/>
        <w:gridCol w:w="646"/>
        <w:gridCol w:w="109"/>
        <w:gridCol w:w="109"/>
        <w:gridCol w:w="109"/>
        <w:gridCol w:w="109"/>
        <w:gridCol w:w="207"/>
        <w:gridCol w:w="683"/>
        <w:gridCol w:w="115"/>
        <w:gridCol w:w="109"/>
        <w:gridCol w:w="109"/>
        <w:gridCol w:w="109"/>
        <w:gridCol w:w="313"/>
        <w:gridCol w:w="1031"/>
        <w:gridCol w:w="245"/>
      </w:tblGrid>
      <w:tr>
        <w:trPr/>
        <w:tc>
          <w:tcPr>
            <w:tcW w:w="10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Final Maturity</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Debt</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Revolving Credit Facility</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A</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CVA Revolving Credit Facility</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CVA Delayed Draw Term Loan</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B</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B-1</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Secured Notes due 2030</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Secured Notes due 2032</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Debt</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Notes due 2027</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Notes due 2029</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Notes due 2032</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Improvement District Bonds</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notes and other payables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finance charges associated with the CEI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discounts and deferred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4165"/>
                <wp:effectExtent l="0" t="0" r="0" b="0"/>
                <wp:wrapNone/>
                <wp:docPr id="13" name="Frame1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65"/>
        <w:gridCol w:w="640"/>
        <w:gridCol w:w="635"/>
        <w:gridCol w:w="255"/>
        <w:gridCol w:w="548"/>
        <w:gridCol w:w="143"/>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03"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Annual Estimated Debt Service Requirements 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maturities of long-term debt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interest payments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debt service obligation </w:t>
            </w:r>
            <w:r>
              <w:rPr>
                <w:rFonts w:ascii="Times New Roman;sans-serif" w:hAnsi="Times New Roman;sans-serif"/>
                <w:b w:val="false"/>
                <w:i/>
                <w:color w:val="000000"/>
                <w:sz w:val="12"/>
              </w:rPr>
              <w:t>(a)</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Debt principal payments are estimated amounts based on contractual maturity and scheduled repayment dates. Interest payments are estimated based on the forward-looking SOFR curve, where applicable. Actual payments may differ from these estimates.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Current Portion of Long-Term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 of long-term debt as of March 31, 2025 includes the principal payments on the term loans, special improvement district bonds, and other unsecured borrowings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Debt Discounts or Premiums and Deferred Finance Charges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amortization of the debt issuance costs and the discount and/or premium associated with the Company’s indebtedness totaled $6 million and $8 million for the three months ended March 31, 2025 and 2024, respectively, and is included in interest expense.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debt has been calculated primarily based on the borrowing rates available as of March 31, 2025 and based on market quotes of our publicly traded debt. We classify the fair value of debt within Level 1 and Level 2 in the fair value hierarchy.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Terms of Outstanding Debt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Term Loans and CEI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and will mature on January 31, 2028, subject to a springing maturity in the event certain other long-term debt of Caesars is not extended or repaid. The CEI Revolving Credit Facility includes a letter of credit sub-facility of $388 million and contains reserves of $40 million which are available only for certain permitted uses.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2022, Caesars entered into an amendment to the CEI Credit Agreement pursuant to which the Company incurred a senior secured term loan in an aggregate principal amount of $750 million (the “CEI Term Loan A”) as a new term loan under the credit agreement and made certain other amendments to the CEI Credit Agreement. The CEI Term Loan A will mature on January 31, 2028, subject to a springing maturity in the event certain other long-term debt of Caesars is not extended or repaid. The CEI Term Loan A requires scheduled quarterly payments in amounts equal to 1.25% of the original aggregate principal amount of the CEI Term Loan A, with the balance payable at maturity.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CEI Revolving Credit Facility and the CEI Term Loan A bear interest, paid at least quarterly, at a rate equal to, at the Company’s option, either (a) a forward-looking term rate based on the Secured Overnight Financing Rate (“Term SOFR”) for the applicable interest period plus an adjustment of 0.10% per annum (the “Term SOFR Adjustment” and Term SOFR as so adjusted,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Term SOFR plus 1.00% per annum, plus, in the case of the CEI Revolving Credit Facility and the CEI Term Loan A only, the Term SOFR Adjustment, in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4165"/>
                <wp:effectExtent l="0" t="0" r="0" b="0"/>
                <wp:wrapNone/>
                <wp:docPr id="14" name="Frame1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CEI Revolving Credit Facility a commitment fee in respect of any unused commitments under the CEI Revolving Credit Facility in the amount of 0.35% per annum of the principal amount of the unused commitments of such lender, subject to three 0.05% step-downs based on the Company’s net total leverage ratio.</w:t>
      </w:r>
    </w:p>
    <w:p>
      <w:pPr>
        <w:pStyle w:val="TextBody"/>
        <w:bidi w:val="0"/>
        <w:spacing w:lineRule="auto" w:line="288" w:before="180" w:after="283"/>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On February 6, 2023, the Company entered into an Incremental Assumption Agreement No. 2 pursuant to which the Company incurred a new senior secured incremental term loan in an aggregate principal amount of $2.5 billion (the “CEI Term Loan B”) under the CEI Credit Agreement. The CEI Term Loan B requires scheduled quarterly principal payments in amounts equal to 0.25% of the original aggregate principal amount of the CEI Term Loan B, with the balance payable at maturity. Borrowings under the CEI Term Loan B, as amended, bear interest, paid at least quarterly, 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 will mature on February 6, 2030. </w:t>
      </w:r>
    </w:p>
    <w:p>
      <w:pPr>
        <w:pStyle w:val="TextBody"/>
        <w:bidi w:val="0"/>
        <w:spacing w:lineRule="auto" w:line="288" w:before="180" w:after="283"/>
        <w:jc w:val="both"/>
        <w:rPr/>
      </w:pPr>
      <w:r>
        <w:rPr>
          <w:rFonts w:ascii="Times New Roman;sans-serif" w:hAnsi="Times New Roman;sans-serif"/>
          <w:b w:val="false"/>
          <w:color w:val="212529"/>
          <w:sz w:val="20"/>
        </w:rPr>
        <w:t>On February 6, 2024, the Company entered into an Incremental Assumption Agreement No. 3 pursuant to which the Company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as amended in November 2024, bear interest</w:t>
      </w:r>
      <w:r>
        <w:rPr>
          <w:rFonts w:ascii="Times New Roman;sans-serif" w:hAnsi="Times New Roman;sans-serif"/>
          <w:b w:val="false"/>
          <w:color w:val="000000"/>
          <w:sz w:val="20"/>
        </w:rPr>
        <w:t>, paid at least quarterly,</w:t>
      </w:r>
      <w:r>
        <w:rPr>
          <w:color w:val="212529"/>
        </w:rPr>
        <w:t xml:space="preserve"> </w:t>
      </w:r>
      <w:r>
        <w:rPr>
          <w:rFonts w:ascii="Times New Roman;sans-serif" w:hAnsi="Times New Roman;sans-serif"/>
          <w:b w:val="false"/>
          <w:color w:val="212529"/>
          <w:sz w:val="20"/>
        </w:rPr>
        <w:t>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B-1 will mature on February 6, 2031.</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Company utilized and fully repaid the CEI Revolving Credit Facility. Such activity is presented in the financing section in the Statements of Cash Flows. As of March 31, 2025, the Company had $2.1 billion of available borrowing capacity under the CEI Revolving Credit Facility, after consideration of $79 million in outstanding letters of credit, $46 million committed for regulatory purposes, and the reserves described above.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Caesars Virginia Credit Facility due 2029</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2024, Caesars Virginia, LLC entered into a credit agreement with Wells Fargo Bank, N.A., as administrative agent and collateral agent, and certain banks and other financial institutions and lenders party thereto, which provides for a senior secured first lien multi-draw term loan facility up to an aggregate principal amount of $400 million (the “CVA Delayed Draw Term Loan”) and a senior secured first lien revolving credit facility in an aggregate principal amount of $25 million (the “CVA Revolving Credit Facility”), both maturing on April 26, 2029.</w:t>
      </w:r>
    </w:p>
    <w:p>
      <w:pPr>
        <w:pStyle w:val="TextBody"/>
        <w:bidi w:val="0"/>
        <w:spacing w:lineRule="auto" w:line="288" w:before="180" w:after="283"/>
        <w:jc w:val="both"/>
        <w:rPr/>
      </w:pPr>
      <w:r>
        <w:rPr>
          <w:rFonts w:ascii="Times New Roman;sans-serif" w:hAnsi="Times New Roman;sans-serif"/>
          <w:b w:val="false"/>
          <w:color w:val="212529"/>
          <w:sz w:val="20"/>
        </w:rPr>
        <w:t xml:space="preserve">The CVA Delayed Draw Term Loan requires quarterly principal payments commencing on June 30, 2025. </w:t>
      </w:r>
      <w:r>
        <w:rPr>
          <w:rFonts w:ascii="Times New Roman;sans-serif" w:hAnsi="Times New Roman;sans-serif"/>
          <w:b w:val="false"/>
          <w:color w:val="000000"/>
          <w:sz w:val="20"/>
        </w:rPr>
        <w:t>The CVA Revolving Credit Facility and the CVA Delayed Draw Term Loan are subject to a variable rate of interest based on</w:t>
      </w:r>
      <w:r>
        <w:rPr>
          <w:color w:val="212529"/>
        </w:rPr>
        <w:t xml:space="preserve"> </w:t>
      </w:r>
      <w:r>
        <w:rPr>
          <w:rFonts w:ascii="Times New Roman;sans-serif" w:hAnsi="Times New Roman;sans-serif"/>
          <w:b w:val="false"/>
          <w:color w:val="212529"/>
          <w:sz w:val="20"/>
        </w:rPr>
        <w:t xml:space="preserve">Term SOFR plus an applicable margin. </w:t>
      </w:r>
      <w:r>
        <w:rPr>
          <w:rFonts w:ascii="Times New Roman;sans-serif" w:hAnsi="Times New Roman;sans-serif"/>
          <w:b w:val="false"/>
          <w:color w:val="000000"/>
          <w:sz w:val="20"/>
        </w:rPr>
        <w:t xml:space="preserve">The CVA Revolving Credit Facility includes a $10 million letter of credit sub-facility. As of March 31, 2025, there was $325 million utilized under the </w:t>
      </w:r>
      <w:r>
        <w:rPr>
          <w:rFonts w:ascii="Times New Roman;sans-serif" w:hAnsi="Times New Roman;sans-serif"/>
          <w:b w:val="false"/>
          <w:color w:val="212529"/>
          <w:sz w:val="20"/>
        </w:rPr>
        <w:t>CVA Delayed Draw Term Loan</w:t>
      </w:r>
      <w:r>
        <w:rPr>
          <w:color w:val="000000"/>
        </w:rPr>
        <w:t xml:space="preserve"> </w:t>
      </w:r>
      <w:r>
        <w:rPr>
          <w:rFonts w:ascii="Times New Roman;sans-serif" w:hAnsi="Times New Roman;sans-serif"/>
          <w:b w:val="false"/>
          <w:color w:val="000000"/>
          <w:sz w:val="20"/>
        </w:rPr>
        <w:t>and $25 million of available borrowing capacity under the CVA Revolving Credit Facility.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2030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on February 15, 2030, with interest payable semi-annually on February 15 and August 15 of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4165"/>
                <wp:effectExtent l="0" t="0" r="0" b="0"/>
                <wp:wrapNone/>
                <wp:docPr id="15" name="Frame1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2032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2024, the Company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2027</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6, 2020, Colt Merger Sub, Inc. (the “Escrow Issuer”) issued $1.8 billion in aggregate principal amount of 8.125% Senior Notes due 2027 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on January 1 and July 1 of each year.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2029</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semi-annually on April 15 and October 15 of each year.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2032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2024, the Company issued $1.1 billion in aggregate principal amount of 6.00% Senior Notes due 2032 (the “CEI Senior Notes due 2032”) pursuant to an indenture dated as of October 17, 2024, by and among the Company, the subsidiary guarantors party thereto, and U.S. Bank Trust Company, National Association, as trustee. The CEI Senior Notes due 2032 rank equally with all existing and future senior unsecured indebtedness of the Company and the subsidiary guarantors. The CEI Senior Notes due 2032 will mature on October 15, 2032, with interest payable semi-annually on April 15 and October 15 of each year, commencing April 15, 2025.</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Covenant Compliance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CEI Revolving Credit Facility, the CEI Term Loan A, the CEI Term Loan B, the CEI Term Loan B-1 and the indentures governing the CEI Senior Secured Notes due 2030, the CEI Senior Secured Notes due 2032, the CEI Senior Notes due 2027, the CEI Senior Notes due 2029 and the CEI Senior Notes due 2032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document.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was in compliance with all of the applicable financial covenants described above.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CVA Revolving Credit Facility and the CVA Delayed Draw Term Loan contain covenants, applicable to the operations of Caesars Virginia, which are standard and customary for this type of agreement, including a maximum net total leverage ratio financial covenant of 4:1 and a minimum fixed charge coverage ratio financial covenant of 1.05:1. Caesars Virginia LLC’s compliance requirements commence starting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4165"/>
                <wp:effectExtent l="0" t="0" r="0" b="0"/>
                <wp:wrapNone/>
                <wp:docPr id="16" name="Frame1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Guarantees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CEI Revolving Credit Facility, the CEI Term Loan A, the CEI Term Loan B, the CEI Term Loan B-1, the CEI Senior Secured Notes due 2030 and the CEI Senior Secured Notes due 2032 are guaranteed on a senior secured basis by each existing and future material wholly-owned domestic subsidiary of the Company and are secured by substantially all of the existing and future property and assets of the Company and its subsidiary guarantors (subject to certain exceptions). The CEI Senior Notes due 2027, the CEI Senior Notes due 2029 and the CEI Senior Notes due 2032 are guaranteed on a senior unsecured basis by such subsidiaries.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CVA Revolving Credit Facility and the CVA Delayed Draw Term Loan are secured by substantially all material assets of Caesars Virginia, LLC and any newly formed wholly-owned subsidiary of Caesars Virginia, LLC. CEI does not provide a guarantee of these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7. Revenue Recognition</w:t>
      </w:r>
    </w:p>
    <w:p>
      <w:pPr>
        <w:pStyle w:val="TextBody"/>
        <w:bidi w:val="0"/>
        <w:spacing w:lineRule="auto" w:line="288" w:before="180" w:after="283"/>
        <w:jc w:val="both"/>
        <w:rPr/>
      </w:pPr>
      <w:r>
        <w:rPr>
          <w:rFonts w:ascii="Times New Roman;sans-serif" w:hAnsi="Times New Roman;sans-serif"/>
          <w:b w:val="false"/>
          <w:color w:val="000000"/>
          <w:sz w:val="20"/>
        </w:rPr>
        <w:t xml:space="preserve">The Company’s Statements of Operations present net revenue disaggregated by type or nature of the good or service. A summary of net revenues disaggregated by type of revenue and reportable segment is presented below. Refer to </w:t>
      </w:r>
      <w:hyperlink w:anchor="i82047a1ba7b84538888910c468702195_73">
        <w:r>
          <w:rPr>
            <w:rStyle w:val="InternetLink"/>
            <w:rFonts w:ascii="Times New Roman;sans-serif" w:hAnsi="Times New Roman;sans-serif"/>
            <w:b w:val="false"/>
            <w:color w:val="0000FF"/>
            <w:sz w:val="20"/>
            <w:u w:val="single"/>
          </w:rPr>
          <w:t>Note 12</w:t>
        </w:r>
      </w:hyperlink>
      <w:r>
        <w:rPr>
          <w:color w:val="000000"/>
        </w:rPr>
        <w:t xml:space="preserve"> </w:t>
      </w:r>
      <w:r>
        <w:rPr>
          <w:rFonts w:ascii="Times New Roman;sans-serif" w:hAnsi="Times New Roman;sans-serif"/>
          <w:b w:val="false"/>
          <w:color w:val="000000"/>
          <w:sz w:val="20"/>
        </w:rPr>
        <w:t>for additional information on the Company’s reportable segments.</w:t>
      </w:r>
    </w:p>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563"/>
        <w:gridCol w:w="737"/>
        <w:gridCol w:w="315"/>
        <w:gridCol w:w="109"/>
        <w:gridCol w:w="109"/>
        <w:gridCol w:w="109"/>
        <w:gridCol w:w="196"/>
        <w:gridCol w:w="556"/>
        <w:gridCol w:w="163"/>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563"/>
        <w:gridCol w:w="737"/>
        <w:gridCol w:w="315"/>
        <w:gridCol w:w="109"/>
        <w:gridCol w:w="109"/>
        <w:gridCol w:w="109"/>
        <w:gridCol w:w="196"/>
        <w:gridCol w:w="556"/>
        <w:gridCol w:w="163"/>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94" w:type="dxa"/>
        <w:jc w:val="left"/>
        <w:tblInd w:w="0" w:type="dxa"/>
        <w:tblLayout w:type="fixed"/>
        <w:tblCellMar>
          <w:top w:w="28" w:type="dxa"/>
          <w:left w:w="28" w:type="dxa"/>
          <w:bottom w:w="28" w:type="dxa"/>
          <w:right w:w="28" w:type="dxa"/>
        </w:tblCellMar>
      </w:tblPr>
      <w:tblGrid>
        <w:gridCol w:w="793"/>
        <w:gridCol w:w="696"/>
        <w:gridCol w:w="700"/>
        <w:gridCol w:w="348"/>
        <w:gridCol w:w="748"/>
        <w:gridCol w:w="193"/>
        <w:gridCol w:w="109"/>
        <w:gridCol w:w="109"/>
        <w:gridCol w:w="109"/>
        <w:gridCol w:w="402"/>
        <w:gridCol w:w="868"/>
        <w:gridCol w:w="319"/>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Accounts Receivable, Net</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and hotel</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 and Contract Related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contract or contract 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4165"/>
                <wp:effectExtent l="0" t="0" r="0" b="0"/>
                <wp:wrapNone/>
                <wp:docPr id="17" name="Frame1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contract and contract related liabilities:</w:t>
      </w:r>
    </w:p>
    <w:tbl>
      <w:tblPr>
        <w:tblW w:w="9912" w:type="dxa"/>
        <w:jc w:val="left"/>
        <w:tblInd w:w="0" w:type="dxa"/>
        <w:tblLayout w:type="fixed"/>
        <w:tblCellMar>
          <w:top w:w="28" w:type="dxa"/>
          <w:left w:w="28" w:type="dxa"/>
          <w:bottom w:w="28" w:type="dxa"/>
          <w:right w:w="28" w:type="dxa"/>
        </w:tblCellMar>
      </w:tblPr>
      <w:tblGrid>
        <w:gridCol w:w="571"/>
        <w:gridCol w:w="501"/>
        <w:gridCol w:w="503"/>
        <w:gridCol w:w="258"/>
        <w:gridCol w:w="535"/>
        <w:gridCol w:w="143"/>
        <w:gridCol w:w="143"/>
        <w:gridCol w:w="143"/>
        <w:gridCol w:w="143"/>
        <w:gridCol w:w="258"/>
        <w:gridCol w:w="436"/>
        <w:gridCol w:w="143"/>
        <w:gridCol w:w="109"/>
        <w:gridCol w:w="109"/>
        <w:gridCol w:w="109"/>
        <w:gridCol w:w="196"/>
        <w:gridCol w:w="331"/>
        <w:gridCol w:w="109"/>
        <w:gridCol w:w="109"/>
        <w:gridCol w:w="109"/>
        <w:gridCol w:w="109"/>
        <w:gridCol w:w="196"/>
        <w:gridCol w:w="331"/>
        <w:gridCol w:w="109"/>
        <w:gridCol w:w="109"/>
        <w:gridCol w:w="109"/>
        <w:gridCol w:w="109"/>
        <w:gridCol w:w="417"/>
        <w:gridCol w:w="896"/>
        <w:gridCol w:w="232"/>
        <w:gridCol w:w="232"/>
        <w:gridCol w:w="232"/>
        <w:gridCol w:w="232"/>
        <w:gridCol w:w="417"/>
        <w:gridCol w:w="896"/>
        <w:gridCol w:w="32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Chip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Customer Deposits and Other Deferred Revenue</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 (decrease)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Revenue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Lodging Arrangements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March 31, 2025 and 2024, we recognized lease revenue of approximately $482 million and $493 million, respectively, which is included in Hotel revenues in the Statements of Operations.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Conventions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Food and beverage revenue in the Statements of Operations and during the three months ended March 31, 2025 and 2024, lease revenue related to conventions was approximately $15 million and $13 million, respectively.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Real Estate Operating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lease revenue is included in Other revenue in the Statements of Operations. During the three months ended March 31, 2025 and 2024, we recognized approximately $29 million and $35 million, respectively, of real estate lease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lease revenue includes $14 million and $13 million of variable rental income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8. Earnings per Share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reconciliation of the numerators and denominators of the basic and diluted net income (loss) per share computations for the three months ended March 31, 2025 and 2024:</w:t>
      </w:r>
    </w:p>
    <w:tbl>
      <w:tblPr>
        <w:tblW w:w="8427" w:type="dxa"/>
        <w:jc w:val="left"/>
        <w:tblInd w:w="0" w:type="dxa"/>
        <w:tblLayout w:type="fixed"/>
        <w:tblCellMar>
          <w:top w:w="28" w:type="dxa"/>
          <w:left w:w="28" w:type="dxa"/>
          <w:bottom w:w="28" w:type="dxa"/>
          <w:right w:w="28" w:type="dxa"/>
        </w:tblCellMar>
      </w:tblPr>
      <w:tblGrid>
        <w:gridCol w:w="1945"/>
        <w:gridCol w:w="1705"/>
        <w:gridCol w:w="1719"/>
        <w:gridCol w:w="250"/>
        <w:gridCol w:w="691"/>
        <w:gridCol w:w="139"/>
        <w:gridCol w:w="139"/>
        <w:gridCol w:w="139"/>
        <w:gridCol w:w="139"/>
        <w:gridCol w:w="250"/>
        <w:gridCol w:w="691"/>
        <w:gridCol w:w="139"/>
        <w:gridCol w:w="109"/>
        <w:gridCol w:w="109"/>
        <w:gridCol w:w="109"/>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per share data)</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Caesars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outstanding:</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basic</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diluted</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 attributable to common stockholders – basic:</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 attributable to common stockholders – diluted:</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period in which the Company generated a net loss attributable to Caesars, the weighted average shares outstanding - basic was used in calculating diluted loss per share because using diluted shares would have been anti-dilutive to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4165"/>
                <wp:effectExtent l="0" t="0" r="0" b="0"/>
                <wp:wrapNone/>
                <wp:docPr id="18" name="Frame1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465" w:type="dxa"/>
        <w:jc w:val="left"/>
        <w:tblInd w:w="0" w:type="dxa"/>
        <w:tblLayout w:type="fixed"/>
        <w:tblCellMar>
          <w:top w:w="28" w:type="dxa"/>
          <w:left w:w="28" w:type="dxa"/>
          <w:bottom w:w="28" w:type="dxa"/>
          <w:right w:w="28" w:type="dxa"/>
        </w:tblCellMar>
      </w:tblPr>
      <w:tblGrid>
        <w:gridCol w:w="932"/>
        <w:gridCol w:w="816"/>
        <w:gridCol w:w="816"/>
        <w:gridCol w:w="708"/>
        <w:gridCol w:w="708"/>
        <w:gridCol w:w="708"/>
        <w:gridCol w:w="708"/>
        <w:gridCol w:w="708"/>
        <w:gridCol w:w="708"/>
        <w:gridCol w:w="708"/>
        <w:gridCol w:w="708"/>
        <w:gridCol w:w="756"/>
        <w:gridCol w:w="109"/>
        <w:gridCol w:w="109"/>
        <w:gridCol w:w="109"/>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8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Weighted-Average Number of Anti-Dilutive Shares Excluded from the Calculation of Earnings per Share</w:t>
            </w:r>
          </w:p>
        </w:tc>
        <w:tc>
          <w:tcPr>
            <w:tcW w:w="481" w:type="dxa"/>
            <w:gridSpan w:val="4"/>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2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awards</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anti-dilutive common stock</w:t>
            </w:r>
          </w:p>
        </w:tc>
        <w:tc>
          <w:tcPr>
            <w:tcW w:w="14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9. Stock-Based Compensation and Stockholders’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Stock-Based Awards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long-term incentive plan, adopted by the Board of Directors (“Board”) and approved by the Company’s stockholders, which allows for granting stock-based compensation awards to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in the accompanying Statements of Operations totaled $26 million and $25 million during the three months ended March 31, 2025 and 2024, respectively. These amounts are included in Corporate expense in the Company’s Statements of Operations.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2015 Equity Incentive Plan (the “2015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as part of the annual incentive program, the Company granted 2.2 million RSUs to eligible participants with an aggregate fair value of $75 million and generally vest ratably on each anniversary over three years from the grant date. Each RSU represents the right to receive payment in respect of one share of the Company’s Common Stock.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Company also granted 232 thousand PSUs to eligible participants with an aggregate fair value of $6 million that are primarily scheduled to cliff vest after three years from the date of grant. On the vesting date, recipients will receive between 0% and 200% of the target number of PSUs granted, in the form of Company Common Stock, based on the achievement of specified performance and service conditions and terms of the underlying award granted. The fair value of the PSUs is based on the market price of our common stock when a mutual understanding of the key terms and conditions of the awards between the Company and recipient is achieved. The awards are remeasured each period until such an understanding is reached.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three months ended March 31, 2025, the Company granted 348 thousand MSUs to eligible participants with an aggregate fair value of $16 million that are primarily scheduled to cliff vest after three years from the date of grant. On the vesting date, recipients will receive between 0% and 200% of the target number of MSUs granted, in the form of Company Common Stock, based on the achievement of specified market and service conditions and terms of the underlying award granted.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1.1 million, 80 thousand and 107 thousand of RSUs, PSUs and MSUs, respectively, vested under the 2015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4165"/>
                <wp:effectExtent l="0" t="0" r="0" b="0"/>
                <wp:wrapNone/>
                <wp:docPr id="19" name="Frame1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Outstanding at End of Period</w:t>
      </w:r>
    </w:p>
    <w:tbl>
      <w:tblPr>
        <w:tblW w:w="6627" w:type="dxa"/>
        <w:jc w:val="left"/>
        <w:tblInd w:w="0" w:type="dxa"/>
        <w:tblLayout w:type="fixed"/>
        <w:tblCellMar>
          <w:top w:w="28" w:type="dxa"/>
          <w:left w:w="28" w:type="dxa"/>
          <w:bottom w:w="28" w:type="dxa"/>
          <w:right w:w="28" w:type="dxa"/>
        </w:tblCellMar>
      </w:tblPr>
      <w:tblGrid>
        <w:gridCol w:w="690"/>
        <w:gridCol w:w="606"/>
        <w:gridCol w:w="608"/>
        <w:gridCol w:w="274"/>
        <w:gridCol w:w="274"/>
        <w:gridCol w:w="278"/>
        <w:gridCol w:w="109"/>
        <w:gridCol w:w="109"/>
        <w:gridCol w:w="109"/>
        <w:gridCol w:w="232"/>
        <w:gridCol w:w="659"/>
        <w:gridCol w:w="129"/>
        <w:gridCol w:w="109"/>
        <w:gridCol w:w="109"/>
        <w:gridCol w:w="109"/>
        <w:gridCol w:w="274"/>
        <w:gridCol w:w="274"/>
        <w:gridCol w:w="278"/>
        <w:gridCol w:w="111"/>
        <w:gridCol w:w="111"/>
        <w:gridCol w:w="111"/>
        <w:gridCol w:w="229"/>
        <w:gridCol w:w="654"/>
        <w:gridCol w:w="181"/>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Quantity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Wtd-Avg </w:t>
            </w:r>
            <w:r>
              <w:rPr>
                <w:rFonts w:ascii="Times New Roman;sans-serif" w:hAnsi="Times New Roman;sans-serif"/>
                <w:b/>
                <w:i/>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Quantity</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Wtd-Avg </w:t>
            </w:r>
            <w:r>
              <w:rPr>
                <w:rFonts w:ascii="Times New Roman;sans-serif" w:hAnsi="Times New Roman;sans-serif"/>
                <w:b/>
                <w:i/>
                <w:color w:val="000000"/>
                <w:sz w:val="12"/>
              </w:rPr>
              <w:t>(a)</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3,658,169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2,668,811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Performance stock units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397,156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Market-based stock units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1,096,104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Represents the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income (loss) by component, net of tax, for the periods through March 31, 2025 and 2024 are shown below.</w:t>
      </w:r>
    </w:p>
    <w:tbl>
      <w:tblPr>
        <w:tblW w:w="8453" w:type="dxa"/>
        <w:jc w:val="left"/>
        <w:tblInd w:w="0" w:type="dxa"/>
        <w:tblLayout w:type="fixed"/>
        <w:tblCellMar>
          <w:top w:w="28" w:type="dxa"/>
          <w:left w:w="28" w:type="dxa"/>
          <w:bottom w:w="28" w:type="dxa"/>
          <w:right w:w="28" w:type="dxa"/>
        </w:tblCellMar>
      </w:tblPr>
      <w:tblGrid>
        <w:gridCol w:w="1356"/>
        <w:gridCol w:w="1192"/>
        <w:gridCol w:w="1201"/>
        <w:gridCol w:w="109"/>
        <w:gridCol w:w="109"/>
        <w:gridCol w:w="109"/>
        <w:gridCol w:w="109"/>
        <w:gridCol w:w="109"/>
        <w:gridCol w:w="109"/>
        <w:gridCol w:w="1163"/>
        <w:gridCol w:w="1967"/>
        <w:gridCol w:w="920"/>
      </w:tblGrid>
      <w:tr>
        <w:trPr/>
        <w:tc>
          <w:tcPr>
            <w:tcW w:w="135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currency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 2024, the Company announced that its Board authorized a $500 million common stock repurchase program (the “2024 Share Repurchase Program”). Under the 2024 Share Repurchase Program, the Company may, from time to time, repurchase shares of common stock on the open market (either with or without a 10b5-1 plan) or through privately negotiated transactions. The 2024 Share Repurchase Program has no time limit and may be suspended or discontinued at any time without notice. There is no minimum number of shares of common stock that the Company is required to repurchase under the 2024 Share Repurchase Program. All share repurchases under the 2024 Share Repurchase Program will be retired. During the three months ended March 31, 2025, there were no share repurchases made under the 2024 Share Repurchase Program. Subsequently, during April 2025, the Company repurchased approximately 4.2 million shares of our common stock for a total cost of approximately $100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10. Income Taxes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utilized a discrete effective tax rate method, as allowed by ASC 740-270 “Income Taxes, Interim Reporting,” to calculate taxes for the three months ended March 31, 2025 and 2024. The Company determined that small changes in estimated “ordinary” income would result in significant changes in the estimated annual effective tax rate (“AETR”), and therefore, the AETR method would not provide a reliable estimate.</w:t>
      </w:r>
    </w:p>
    <w:tbl>
      <w:tblPr>
        <w:tblW w:w="6141" w:type="dxa"/>
        <w:jc w:val="left"/>
        <w:tblInd w:w="0" w:type="dxa"/>
        <w:tblLayout w:type="fixed"/>
        <w:tblCellMar>
          <w:top w:w="28" w:type="dxa"/>
          <w:left w:w="28" w:type="dxa"/>
          <w:bottom w:w="28" w:type="dxa"/>
          <w:right w:w="28" w:type="dxa"/>
        </w:tblCellMar>
      </w:tblPr>
      <w:tblGrid>
        <w:gridCol w:w="734"/>
        <w:gridCol w:w="643"/>
        <w:gridCol w:w="647"/>
        <w:gridCol w:w="109"/>
        <w:gridCol w:w="109"/>
        <w:gridCol w:w="261"/>
        <w:gridCol w:w="261"/>
        <w:gridCol w:w="470"/>
        <w:gridCol w:w="973"/>
        <w:gridCol w:w="614"/>
        <w:gridCol w:w="109"/>
        <w:gridCol w:w="109"/>
        <w:gridCol w:w="109"/>
        <w:gridCol w:w="196"/>
        <w:gridCol w:w="496"/>
        <w:gridCol w:w="301"/>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 Allocation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0" w:type="dxa"/>
            <w:gridSpan w:val="6"/>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4165"/>
                <wp:effectExtent l="0" t="0" r="0" b="0"/>
                <wp:wrapNone/>
                <wp:docPr id="20" name="Frame2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assesses the available positive and negative evidence to estimate if sufficient future taxable income will be generated to use existing deferred tax assets. The Company is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for the three months ended March 31, 2025 and 2024 differed from the expected income tax provision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2021, and it is possible that the amount of the liability for unrecognized tax benefits could change during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11. Related Party and Affiliate Transactions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 S. &amp; Y. Associates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the entire parcel on which Eldorado Resort Casino Reno is located, except for approximately 30,000 square feet which is leased from C. S. &amp; Y. Associates (“CSY”) (the “CSY Lease”). CSY is a general partnership in which a trust has an approximate 27% interest. The Company’s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the Company approximately 27% of the rent paid by the Company. As of March 31, 2025 and December 31, 2024, there were no amounts due to or from CSY.</w:t>
      </w:r>
    </w:p>
    <w:p>
      <w:pPr>
        <w:pStyle w:val="TextBody"/>
        <w:bidi w:val="0"/>
        <w:spacing w:lineRule="auto" w:line="288" w:before="180" w:after="283"/>
        <w:jc w:val="both"/>
        <w:rPr/>
      </w:pPr>
      <w:r>
        <w:rPr>
          <w:rFonts w:ascii="Times New Roman;sans-serif" w:hAnsi="Times New Roman;sans-serif"/>
          <w:b/>
          <w:color w:val="000000"/>
          <w:sz w:val="20"/>
        </w:rPr>
        <w:t>C</w:t>
      </w:r>
      <w:r>
        <w:rPr>
          <w:rFonts w:ascii="Times New Roman;sans-serif" w:hAnsi="Times New Roman;sans-serif"/>
          <w:b/>
          <w:i/>
          <w:color w:val="000000"/>
          <w:sz w:val="20"/>
        </w:rPr>
        <w:t>VA Holdco, LLC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the Company entered into a joint venture, CVA Holdco, LLC, with the Eastern Band of Cherokee Indians (“EBCI”) and an additional minority partner, to construct, own and operate a gaming facility in Danville, Virginia (“Caesars Virginia”). Caesars Virginia opened in a temporary facility on May 15, 2023 followed by the completion of construction and opening of the permanent facility on December 17, 2024. As the managing member, the Company operates the business and has managed the development, construction, financing, marketing, leasing, maintenance and day-to-day operation of the various phases of the project. The Company holds a 50.0% variable interest in the joint venture and is the primary beneficiary; as such, the joint venture’s operations are included in the Financial Statements, with a minority interest recorded reflecting the operations attributed to the other partner. The Company participates ratably, based on ownership percentage, in the profits and losses of the joint venture. During the three months ended March 31, 2025, the Company made distributions totaling $10 million to the partner.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Pompano Joint Venture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the Company entered into a joint venture with Cordish Companies (“Cordish”) to plan and develop a mixed-use entertainment and hospitality destination expected to be located on unused land adjacent to the casino at the Company’s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the Company’s input and will submit it for the Company’s review and approval. While the Company holds a 50% variable interest in the joint venture, it is not the primary beneficiary; as such, the investment in the joint venture is accounted for using the equity method and is recorded in Investments in and advances to unconsolidated affiliates on the Balance Sheets. The Company participates evenly with Cordish in the profits and losses of the joint venture, which are included in Transaction and other costs, net on the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4165"/>
                <wp:effectExtent l="0" t="0" r="0" b="0"/>
                <wp:wrapNone/>
                <wp:docPr id="21" name="Frame2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3951" w:type="dxa"/>
        <w:jc w:val="left"/>
        <w:tblInd w:w="0" w:type="dxa"/>
        <w:tblLayout w:type="fixed"/>
        <w:tblCellMar>
          <w:top w:w="28" w:type="dxa"/>
          <w:left w:w="28" w:type="dxa"/>
          <w:bottom w:w="28" w:type="dxa"/>
          <w:right w:w="28" w:type="dxa"/>
        </w:tblCellMar>
      </w:tblPr>
      <w:tblGrid>
        <w:gridCol w:w="1152"/>
        <w:gridCol w:w="1011"/>
        <w:gridCol w:w="1017"/>
        <w:gridCol w:w="196"/>
        <w:gridCol w:w="42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Investment in Pompano Joint Venture</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12. Segment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properties (listed by segment in which each property is reported) as of March 31, 2025:</w:t>
      </w:r>
    </w:p>
    <w:tbl>
      <w:tblPr>
        <w:tblW w:w="10205" w:type="dxa"/>
        <w:jc w:val="left"/>
        <w:tblInd w:w="0" w:type="dxa"/>
        <w:tblLayout w:type="fixed"/>
        <w:tblCellMar>
          <w:top w:w="28" w:type="dxa"/>
          <w:left w:w="28" w:type="dxa"/>
          <w:bottom w:w="28" w:type="dxa"/>
          <w:right w:w="28" w:type="dxa"/>
        </w:tblCellMar>
      </w:tblPr>
      <w:tblGrid>
        <w:gridCol w:w="858"/>
        <w:gridCol w:w="677"/>
        <w:gridCol w:w="685"/>
        <w:gridCol w:w="109"/>
        <w:gridCol w:w="109"/>
        <w:gridCol w:w="109"/>
        <w:gridCol w:w="881"/>
        <w:gridCol w:w="804"/>
        <w:gridCol w:w="807"/>
        <w:gridCol w:w="109"/>
        <w:gridCol w:w="109"/>
        <w:gridCol w:w="109"/>
        <w:gridCol w:w="787"/>
        <w:gridCol w:w="721"/>
        <w:gridCol w:w="723"/>
        <w:gridCol w:w="109"/>
        <w:gridCol w:w="109"/>
        <w:gridCol w:w="109"/>
        <w:gridCol w:w="665"/>
        <w:gridCol w:w="665"/>
        <w:gridCol w:w="951"/>
      </w:tblGrid>
      <w:tr>
        <w:trPr/>
        <w:tc>
          <w:tcPr>
            <w:tcW w:w="8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Caesars Palace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Atlantic City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Harveys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Managed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The Cromwell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Caesars New Orleans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Horseshoe Baltimore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Ak-Chin</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Flamingo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Cherokee</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Circus Circus Reno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Bossier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Cherokee Valley River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Horseshoe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Eldorado Gaming Scioto Downs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Resort Southern California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The LINQ Hotel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Eldorado Resort Casino Reno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Hammond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Caesars Windsor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Paris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Grand Victoria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Horseshoe Indianapolis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Branded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Planet Hollywood Resort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Republic Scottsdale</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Columbus Nebraska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St. Louis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Caesars Southern Indiana </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Council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Horseshoe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Northern California</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Gulf Coast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Casino Bettendorf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Hoosier Park Racing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of Capri Casino Boonville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Joliet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of Capri Casino Lula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Lake Tahoe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Casino Waterloo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Laughlin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Lady Luck Casino -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Metropolis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Silver Legacy Resort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North Kansas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 Casino Greenville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Philadelphia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Pompano Beach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Laughlin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properties operate off-track betting locations, including Harrah’s Hoosier Park Racing &amp; Casino, which operates Winner’s Circle Indianapolis and Winner’s Circle New Haven, and Horseshoe Indianapolis, which operates Winner’s Circle Clarksville. On December 12, 2024, we sold the LINQ Promenade, which is an open-air dining, entertainment, and retail promenade next to The LINQ Hotel &amp; Casino (the “LINQ”). We continue to operate the High Roller, a 550-foot observation wheel, and the Fly LINQ Zipline attraction, located on the east side of the Las Vegas Strip next to the LINQ. The CAESARS FORUM is a 550,000 square feet conference center with 300,000 square feet of flexible meeting space, two of the largest pillarless ballrooms in the world and direct access to the LINQ.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certain unallocated corporate overhead costs and other adjustments, including eliminations of transactions among segments, to reconcile to the Company’s consolidated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4165"/>
                <wp:effectExtent l="0" t="0" r="0" b="0"/>
                <wp:wrapNone/>
                <wp:docPr id="22" name="Frame2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the Chief Executive Officer. The CODM assesses segment performance by using Adjusted EBITDA, which is defined and reconciled to net income (loss) below.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CODM uses Adjusted EBITDA during the annual budgeting process and evaluates budget-to-actual variances on a regular basis to make decisions about the allocation of operating and capital resources. Annual incentive awards have historically been based on the achievement of Adjusted EBITDA as a primary metric as the Company believes it most accurately reflects our results and represents a key metric in our industry.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certain operating data for the Company’s four reportable segments, in addition to Corporate and Other:</w:t>
      </w:r>
    </w:p>
    <w:tbl>
      <w:tblPr>
        <w:tblW w:w="4888" w:type="dxa"/>
        <w:jc w:val="left"/>
        <w:tblInd w:w="0" w:type="dxa"/>
        <w:tblLayout w:type="fixed"/>
        <w:tblCellMar>
          <w:top w:w="28" w:type="dxa"/>
          <w:left w:w="28" w:type="dxa"/>
          <w:bottom w:w="28" w:type="dxa"/>
          <w:right w:w="28" w:type="dxa"/>
        </w:tblCellMar>
      </w:tblPr>
      <w:tblGrid>
        <w:gridCol w:w="664"/>
        <w:gridCol w:w="582"/>
        <w:gridCol w:w="584"/>
        <w:gridCol w:w="246"/>
        <w:gridCol w:w="700"/>
        <w:gridCol w:w="137"/>
        <w:gridCol w:w="137"/>
        <w:gridCol w:w="137"/>
        <w:gridCol w:w="137"/>
        <w:gridCol w:w="246"/>
        <w:gridCol w:w="700"/>
        <w:gridCol w:w="137"/>
        <w:gridCol w:w="109"/>
        <w:gridCol w:w="109"/>
        <w:gridCol w:w="109"/>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Las Vegas: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Regional:</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Caesars Digital:</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Managed and Branded:</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Corporate and Other:</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Disaggregation of Certain Significant Expenses by Segment</w:t>
      </w:r>
    </w:p>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90"/>
        <w:gridCol w:w="828"/>
        <w:gridCol w:w="275"/>
        <w:gridCol w:w="109"/>
        <w:gridCol w:w="109"/>
        <w:gridCol w:w="109"/>
        <w:gridCol w:w="453"/>
        <w:gridCol w:w="799"/>
        <w:gridCol w:w="253"/>
        <w:gridCol w:w="109"/>
        <w:gridCol w:w="109"/>
        <w:gridCol w:w="109"/>
        <w:gridCol w:w="196"/>
        <w:gridCol w:w="556"/>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segment expenses </w:t>
            </w:r>
            <w:r>
              <w:rPr>
                <w:rFonts w:ascii="Times New Roman;sans-serif" w:hAnsi="Times New Roman;sans-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4165"/>
                <wp:effectExtent l="0" t="0" r="0" b="0"/>
                <wp:wrapNone/>
                <wp:docPr id="23" name="Frame2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90"/>
        <w:gridCol w:w="828"/>
        <w:gridCol w:w="275"/>
        <w:gridCol w:w="109"/>
        <w:gridCol w:w="109"/>
        <w:gridCol w:w="109"/>
        <w:gridCol w:w="453"/>
        <w:gridCol w:w="799"/>
        <w:gridCol w:w="253"/>
        <w:gridCol w:w="109"/>
        <w:gridCol w:w="109"/>
        <w:gridCol w:w="109"/>
        <w:gridCol w:w="196"/>
        <w:gridCol w:w="556"/>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segment expenses </w:t>
            </w:r>
            <w:r>
              <w:rPr>
                <w:rFonts w:ascii="Times New Roman;sans-serif" w:hAnsi="Times New Roman;sans-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The ‘Other segment expenses’ category for each of our reportable segments primarily includes: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i/>
          <w:color w:val="000000"/>
          <w:sz w:val="16"/>
        </w:rPr>
        <w:t>Las Vegas and Regional Segments</w:t>
      </w:r>
      <w:r>
        <w:rPr>
          <w:color w:val="000000"/>
        </w:rPr>
        <w:t xml:space="preserve"> </w:t>
      </w:r>
      <w:r>
        <w:rPr>
          <w:rFonts w:ascii="Times New Roman;sans-serif" w:hAnsi="Times New Roman;sans-serif"/>
          <w:b w:val="false"/>
          <w:i/>
          <w:color w:val="000000"/>
          <w:sz w:val="16"/>
        </w:rPr>
        <w:t>- Cost of sales associated with food, beverage and retail offerings; commission fees, talent fees and ticketing expenses associated with entertainment offerings; utility costs; costs of supplies; repairs and maintenance charges; professional fees; marketing and advertising expenses; software and licensing expenses; rental costs; and insurance expense.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i/>
          <w:color w:val="000000"/>
          <w:sz w:val="16"/>
        </w:rPr>
        <w:t>Caesars Digital</w:t>
      </w:r>
      <w:r>
        <w:rPr>
          <w:color w:val="000000"/>
        </w:rPr>
        <w:t xml:space="preserve"> </w:t>
      </w:r>
      <w:r>
        <w:rPr>
          <w:rFonts w:ascii="Times New Roman;sans-serif" w:hAnsi="Times New Roman;sans-serif"/>
          <w:b w:val="false"/>
          <w:i/>
          <w:color w:val="000000"/>
          <w:sz w:val="16"/>
        </w:rPr>
        <w:t>- Labor costs directly associated with the operation and maintenance of the digital platforms; professional fees; marketing and advertising expenses; and software and licenses expenses.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i/>
          <w:color w:val="000000"/>
          <w:sz w:val="16"/>
        </w:rPr>
        <w:t xml:space="preserve">Managed and Branded </w:t>
      </w:r>
      <w:r>
        <w:rPr>
          <w:rFonts w:ascii="Times New Roman;sans-serif" w:hAnsi="Times New Roman;sans-serif"/>
          <w:b w:val="false"/>
          <w:i/>
          <w:color w:val="000000"/>
          <w:sz w:val="16"/>
        </w:rPr>
        <w:t>- Reimbursable expenses which are primarily payroll costs associated with our managed properties.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i/>
          <w:color w:val="000000"/>
          <w:sz w:val="16"/>
        </w:rPr>
        <w:t xml:space="preserve">Corporate and Other </w:t>
      </w:r>
      <w:r>
        <w:rPr>
          <w:rFonts w:ascii="Times New Roman;sans-serif" w:hAnsi="Times New Roman;sans-serif"/>
          <w:b w:val="false"/>
          <w:i/>
          <w:color w:val="000000"/>
          <w:sz w:val="16"/>
        </w:rPr>
        <w:t>- Unallocated corporate payroll and overhead costs.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Net Income (Loss) Attributable to Caesars to Adjusted EBITDA by Segment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financial measure commonly used in our industry and should not be construed as an alternative to net income (loss) as an indicator of operating performance or as an alternative to cash flows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4165"/>
                <wp:effectExtent l="0" t="0" r="0" b="0"/>
                <wp:wrapNone/>
                <wp:docPr id="24" name="Frame2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6701" w:type="dxa"/>
        <w:jc w:val="left"/>
        <w:tblInd w:w="0" w:type="dxa"/>
        <w:tblLayout w:type="fixed"/>
        <w:tblCellMar>
          <w:top w:w="28" w:type="dxa"/>
          <w:left w:w="28" w:type="dxa"/>
          <w:bottom w:w="28" w:type="dxa"/>
          <w:right w:w="28" w:type="dxa"/>
        </w:tblCellMar>
      </w:tblPr>
      <w:tblGrid>
        <w:gridCol w:w="1322"/>
        <w:gridCol w:w="1160"/>
        <w:gridCol w:w="1163"/>
        <w:gridCol w:w="262"/>
        <w:gridCol w:w="663"/>
        <w:gridCol w:w="145"/>
        <w:gridCol w:w="145"/>
        <w:gridCol w:w="145"/>
        <w:gridCol w:w="145"/>
        <w:gridCol w:w="262"/>
        <w:gridCol w:w="663"/>
        <w:gridCol w:w="145"/>
        <w:gridCol w:w="109"/>
        <w:gridCol w:w="109"/>
        <w:gridCol w:w="109"/>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Caesars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(income) loss </w:t>
            </w:r>
            <w:r>
              <w:rPr>
                <w:rFonts w:ascii="Times New Roman;sans-serif" w:hAnsi="Times New Roman;sans-serif"/>
                <w:b w:val="false"/>
                <w:i/>
                <w:color w:val="000000"/>
                <w:sz w:val="12"/>
              </w:rPr>
              <w:t>(a)</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 and other, net</w:t>
            </w:r>
            <w:r>
              <w:rPr>
                <w:color w:val="000000"/>
              </w:rPr>
              <w:t xml:space="preserve"> </w:t>
            </w:r>
            <w:r>
              <w:rPr>
                <w:rFonts w:ascii="Times New Roman;sans-serif" w:hAnsi="Times New Roman;sans-serif"/>
                <w:b w:val="false"/>
                <w:i/>
                <w:color w:val="000000"/>
                <w:sz w:val="12"/>
              </w:rPr>
              <w:t>(b)</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by Segment:</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 xml:space="preserve">Other (income) loss for the three months ended March 31, 2024 primarily represents a change in estimate of our disputed claims liability. </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 xml:space="preserve">Transaction costs and other, net primarily includes costs related to non-cash losses on the write down and disposal of assets, professional services for transaction and integration costs, various contract exit or termination costs, pre-opening costs in connection with new property openings and non-cash changes in equity method investments. </w:t>
      </w:r>
    </w:p>
    <w:tbl>
      <w:tblPr>
        <w:tblW w:w="5966" w:type="dxa"/>
        <w:jc w:val="left"/>
        <w:tblInd w:w="0" w:type="dxa"/>
        <w:tblLayout w:type="fixed"/>
        <w:tblCellMar>
          <w:top w:w="28" w:type="dxa"/>
          <w:left w:w="28" w:type="dxa"/>
          <w:bottom w:w="28" w:type="dxa"/>
          <w:right w:w="28" w:type="dxa"/>
        </w:tblCellMar>
      </w:tblPr>
      <w:tblGrid>
        <w:gridCol w:w="1211"/>
        <w:gridCol w:w="1066"/>
        <w:gridCol w:w="1068"/>
        <w:gridCol w:w="282"/>
        <w:gridCol w:w="606"/>
        <w:gridCol w:w="156"/>
        <w:gridCol w:w="156"/>
        <w:gridCol w:w="156"/>
        <w:gridCol w:w="156"/>
        <w:gridCol w:w="282"/>
        <w:gridCol w:w="606"/>
        <w:gridCol w:w="221"/>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Expenditures, Net - By Segment</w:t>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95" w:type="dxa"/>
        <w:jc w:val="left"/>
        <w:tblInd w:w="0" w:type="dxa"/>
        <w:tblLayout w:type="fixed"/>
        <w:tblCellMar>
          <w:top w:w="28" w:type="dxa"/>
          <w:left w:w="28" w:type="dxa"/>
          <w:bottom w:w="28" w:type="dxa"/>
          <w:right w:w="28" w:type="dxa"/>
        </w:tblCellMar>
      </w:tblPr>
      <w:tblGrid>
        <w:gridCol w:w="794"/>
        <w:gridCol w:w="697"/>
        <w:gridCol w:w="699"/>
        <w:gridCol w:w="266"/>
        <w:gridCol w:w="876"/>
        <w:gridCol w:w="147"/>
        <w:gridCol w:w="109"/>
        <w:gridCol w:w="109"/>
        <w:gridCol w:w="109"/>
        <w:gridCol w:w="313"/>
        <w:gridCol w:w="1031"/>
        <w:gridCol w:w="245"/>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Total Assets - By Segment</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Managed and Branded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32,398 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32,590 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Includes eliminations of transactions among segments, to reconcile to the Company’s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4165"/>
                <wp:effectExtent l="0" t="0" r="0" b="0"/>
                <wp:wrapNone/>
                <wp:docPr id="25" name="Frame2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2. Management’s Discussion and Analysis of Financial Condition and Results of Operations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the financial condition and operating results of Caesars Entertainment, Inc., a Delaware corporation, and its consolidated subsidiaries, which may be referred to as the “Company,” “CEI,” “Caesars,” “we,” “our,” or “us,” for the three months ended March 31, 2025 and 2024 should be read in conjunction with the unaudited consolidated condensed financial statements and the notes thereto and other financial information included elsewhere in this Form 10-Q as well as our Annual Report on Form 10-K for the fiscal year ended December 31, 2024 (the “2024 Annual Report”). Capitalized terms used but not defined in this Form 10-Q have the same meanings as in the 2024 Annual Report.</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 unless otherwise noted.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Objective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in 2021. Our ticker symbol on the NASDAQ Stock Market is “CZR.”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lease or manage an aggregate of 53 domestic properties in 18 states with approximately 51,300 slot machines, video lottery terminals and e-tables, approximately 2,800 table games and approximately 45,900 hotel rooms as of March 31, 2025. In addition, we have other properties in North America that are authorized to use the brands and marks of Caesars Entertainment, Inc., as well as other non-gaming properties. Our primary source of revenue is generated by our gaming operations, which includes retail and online sports betting and online gaming. Additionally, we utilize our hotels, restaurants, bars, entertainment, racing, retail shops and other services to attract customers to our properties.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owned 22 of our casinos and leased 24 casinos in the U.S. We lease 18 casinos from VICI Properties L.P., a Delaware limited partnership (“VICI”), pursuant to a regional lease, a Las Vegas lease and a Joliet lease (the “VICI Leases”). In addition, we lease six casinos from GLP Capital, L.P., the operating partnership of Gaming and Leisure Properties, Inc. (“GLPI”) pursuant to a Master Lease (as amended, the “GLPI Master Lease”) and a Lumière lease associated with our Horseshoe St. Louis property (together with the GLPI Master Lease, the “GLPI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4165"/>
                <wp:effectExtent l="0" t="0" r="0" b="0"/>
                <wp:wrapNone/>
                <wp:docPr id="26" name="Frame2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and conduct retail and online sports wagering across 32 jurisdictions in North America, 26 of which offer online sports betting. Additionally, we operate iGaming in five jurisdictions in North America. The map below illustrates Caesars Digital’s presence as of March 31, 2025:</w:t>
      </w:r>
    </w:p>
    <w:p>
      <w:pPr>
        <w:pStyle w:val="TextBody"/>
        <w:bidi w:val="0"/>
        <w:spacing w:before="180" w:after="283"/>
        <w:jc w:val="center"/>
        <w:rPr/>
      </w:pPr>
      <w:r>
        <w:rPr/>
        <w:drawing>
          <wp:inline distT="0" distB="0" distL="0" distR="0">
            <wp:extent cx="6515100" cy="5191125"/>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515100" cy="5191125"/>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 partnership with NYRABets LLC, the official online wagering platform of the New York Racing Association, Inc., and operate the Caesars Racebook app in 22 states as of March 31, 2025.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expand our Caesars Digital footprint into other states with the Caesars Sportsbook, Caesars Racebook and iGaming mobile apps as jurisdictions legalize or provide necessary approvals. No customers under 21 years old are allowed to wager on any of the Caesars Sportsbook, Caesars Racebook or iGaming mobile apps.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divest assets to raise capital or, in previous cases, to comply with conditions, terms, obligations or restrictions imposed by antitrust, gaming and other regulatory entities. The following is a summary of divestitures recently completed as of March 31, 2025:</w:t>
      </w:r>
    </w:p>
    <w:tbl>
      <w:tblPr>
        <w:tblW w:w="8059" w:type="dxa"/>
        <w:jc w:val="left"/>
        <w:tblInd w:w="0" w:type="dxa"/>
        <w:tblLayout w:type="fixed"/>
        <w:tblCellMar>
          <w:top w:w="28" w:type="dxa"/>
          <w:left w:w="28" w:type="dxa"/>
          <w:bottom w:w="28" w:type="dxa"/>
          <w:right w:w="28" w:type="dxa"/>
        </w:tblCellMar>
      </w:tblPr>
      <w:tblGrid>
        <w:gridCol w:w="435"/>
        <w:gridCol w:w="381"/>
        <w:gridCol w:w="384"/>
        <w:gridCol w:w="109"/>
        <w:gridCol w:w="109"/>
        <w:gridCol w:w="109"/>
        <w:gridCol w:w="1108"/>
        <w:gridCol w:w="1108"/>
        <w:gridCol w:w="1113"/>
        <w:gridCol w:w="109"/>
        <w:gridCol w:w="109"/>
        <w:gridCol w:w="109"/>
        <w:gridCol w:w="499"/>
        <w:gridCol w:w="499"/>
        <w:gridCol w:w="502"/>
        <w:gridCol w:w="109"/>
        <w:gridCol w:w="109"/>
        <w:gridCol w:w="109"/>
        <w:gridCol w:w="306"/>
        <w:gridCol w:w="306"/>
        <w:gridCol w:w="437"/>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 Price</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World Series of Poker (“WSOP”) Trademark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 million</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LINQ Promenade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$275 million</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376" w:type="dxa"/>
            <w:gridSpan w:val="6"/>
            <w:tcBorders/>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4165"/>
                <wp:effectExtent l="0" t="0" r="0" b="0"/>
                <wp:wrapNone/>
                <wp:docPr id="28" name="Frame2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and Partnerships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investments in unconsolidated affiliates accounted for under the equity method which are recorded in Investments in and advances to unconsolidated affiliates on the Balance Sheets.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Pompano Joint Venture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2018, we entered into a joint venture with Cordish Companies (“Cordish”) to plan and develop a mixed-use entertainment and hospitality destination expected to be located on unused land adjacent to our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our input and will submit it for our review and approval. 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costs, net on the Statements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received distributions totaling $23 million from the joint venture. As of March 31, 2025 and December 31, 2024, our investment in the joint venture was $96 million and $119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Presentation of Financial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 of financial information herein for the periods after our completed divestitures, described above, is not fully comparable to the periods prior to such divestitures.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MD&amp;A is intended to provide information to assist in better understanding and evaluating our financial condition and results of operations. Our historical operating results may not be indicative of our future results of operations because of the factor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Key Performance Metrics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revenue is generated by our gaming operations, which includes retail and online sports betting, and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horse racing and iGaming applications. </w:t>
      </w:r>
    </w:p>
    <w:p>
      <w:pPr>
        <w:pStyle w:val="TextBody"/>
        <w:bidi w:val="0"/>
        <w:spacing w:lineRule="auto" w:line="288" w:before="180" w:after="283"/>
        <w:jc w:val="both"/>
        <w:rPr/>
      </w:pPr>
      <w:r>
        <w:rPr>
          <w:rFonts w:ascii="Times New Roman;sans-serif" w:hAnsi="Times New Roman;sans-serif"/>
          <w:b w:val="false"/>
          <w:color w:val="000000"/>
          <w:sz w:val="20"/>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Table games hold percentage is typically in the range of approximately 16% to 23% of table games drop. Sports betting hold is typically in the range of 7% to 11% and iGaming hold typically ranges from 3% to 5%. In addition, hotel occupancy, which is the average percentage of available hotel rooms occupied during a period, is a key indicator for our hotel business in the Las Vegas segment. Complimentary and discounted rooms are treated as occupied rooms in our calculation of hotel occupancy. The key metrics we utilize to measure our profitability and performance are Adjusted EBITDA and Adjusted EBITDA margin. See “</w:t>
      </w:r>
      <w:hyperlink w:anchor="i82047a1ba7b84538888910c468702195_94">
        <w:r>
          <w:rPr>
            <w:rStyle w:val="InternetLink"/>
            <w:rFonts w:ascii="Times New Roman;sans-serif" w:hAnsi="Times New Roman;sans-serif"/>
            <w:b w:val="false"/>
            <w:color w:val="0000FF"/>
            <w:sz w:val="20"/>
            <w:u w:val="single"/>
          </w:rPr>
          <w:t>Results of Operations</w:t>
        </w:r>
      </w:hyperlink>
      <w:r>
        <w:rPr>
          <w:color w:val="000000"/>
        </w:rPr>
        <w:t xml:space="preserve">” </w:t>
      </w:r>
      <w:r>
        <w:rPr>
          <w:rFonts w:ascii="Times New Roman;sans-serif" w:hAnsi="Times New Roman;sans-serif"/>
          <w:b w:val="false"/>
          <w:color w:val="000000"/>
          <w:sz w:val="20"/>
        </w:rPr>
        <w:t xml:space="preserve">section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4165"/>
                <wp:effectExtent l="0" t="0" r="0" b="0"/>
                <wp:wrapNone/>
                <wp:docPr id="29" name="Frame2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Significant Factors Impacting Financial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highlights the significant factors impacting our financial results for the three months ended March 31, 2025 and 2024:</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 xml:space="preserve">Economic Factors Impacting Discretionary Spending – </w:t>
      </w:r>
      <w:r>
        <w:rPr>
          <w:rFonts w:ascii="Times New Roman;sans-serif" w:hAnsi="Times New Roman;sans-serif"/>
          <w:b w:val="false"/>
          <w:color w:val="212529"/>
          <w:sz w:val="20"/>
        </w:rPr>
        <w:t>Gaming and other leisure activities we offer represent discretionary expenditures which may be sensitive to economic downturns which impacts the behavior among the components of our customer mix differently. W</w:t>
      </w:r>
      <w:r>
        <w:rPr>
          <w:rFonts w:ascii="Times New Roman;sans-serif" w:hAnsi="Times New Roman;sans-serif"/>
          <w:b w:val="false"/>
          <w:color w:val="000000"/>
          <w:sz w:val="20"/>
        </w:rPr>
        <w:t>e monitor current and recent trends, including inflation, interest rates, global hostilities, trade tension and related actions, such as the imposition of tariffs between the United States and other countries, and the associated effects, if any, on travel, our customers, and our operations.</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Debt Transactions –</w:t>
      </w:r>
      <w:r>
        <w:rPr>
          <w:color w:val="000000"/>
        </w:rPr>
        <w:t xml:space="preserve"> </w:t>
      </w:r>
      <w:r>
        <w:rPr>
          <w:rFonts w:ascii="Times New Roman;sans-serif" w:hAnsi="Times New Roman;sans-serif"/>
          <w:b w:val="false"/>
          <w:color w:val="000000"/>
          <w:sz w:val="20"/>
        </w:rPr>
        <w:t>During the three months ended March 31, 2024, we refinanced $4.4 billion of debt and we recorded loss on extinguishment of debt on the Statements of Operations of $48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highlights the results of our operations:</w:t>
      </w:r>
    </w:p>
    <w:tbl>
      <w:tblPr>
        <w:tblW w:w="5069" w:type="dxa"/>
        <w:jc w:val="left"/>
        <w:tblInd w:w="0" w:type="dxa"/>
        <w:tblLayout w:type="fixed"/>
        <w:tblCellMar>
          <w:top w:w="28" w:type="dxa"/>
          <w:left w:w="28" w:type="dxa"/>
          <w:bottom w:w="28" w:type="dxa"/>
          <w:right w:w="28" w:type="dxa"/>
        </w:tblCellMar>
      </w:tblPr>
      <w:tblGrid>
        <w:gridCol w:w="727"/>
        <w:gridCol w:w="640"/>
        <w:gridCol w:w="643"/>
        <w:gridCol w:w="215"/>
        <w:gridCol w:w="612"/>
        <w:gridCol w:w="282"/>
        <w:gridCol w:w="120"/>
        <w:gridCol w:w="120"/>
        <w:gridCol w:w="120"/>
        <w:gridCol w:w="215"/>
        <w:gridCol w:w="612"/>
        <w:gridCol w:w="282"/>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EBITDA </w:t>
            </w:r>
            <w:r>
              <w:rPr>
                <w:rFonts w:ascii="Times New Roman;sans-serif" w:hAnsi="Times New Roman;sans-serif"/>
                <w:b/>
                <w:i/>
                <w:color w:val="000000"/>
                <w:sz w:val="12"/>
              </w:rPr>
              <w:t>(b)</w:t>
            </w:r>
            <w:r>
              <w:rPr>
                <w:rFonts w:ascii="Times New Roman;sans-serif" w:hAnsi="Times New Roman;sans-serif"/>
                <w:b/>
                <w:color w:val="000000"/>
                <w:sz w:val="18"/>
              </w:rPr>
              <w:t>:</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Corporate and Other includes revenues related to certain licensing arrangements and various revenue sharing agreements and includes eliminations of transactions among segments to reconcile to the Company’s consolidated results. Corporate and Other Adjusted EBITDA includes corporate overhead costs, which consist of certain expenses, such as: payroll, professional fees, cybersecurity costs and other general and administrative expenses.</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See the “Supplemental Unaudited Presentation of Consolidated Adjusted Earnings Before Interest, Taxes, Depreciation and Amortization (“Adjusted EBITDA”) for the three months ended March 31, 2025 and 2024” discussion later in this MD&amp;A for a description of Adjusted EBITDA and a reconciliation of net income (loss) attributable to Caesars to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4165"/>
                <wp:effectExtent l="0" t="0" r="0" b="0"/>
                <wp:wrapNone/>
                <wp:docPr id="30" name="Frame2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Consolidated comparison of the three months ended March 31, 2025 and 2024</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Revenues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 were as follows:</w:t>
      </w:r>
    </w:p>
    <w:tbl>
      <w:tblPr>
        <w:tblW w:w="7793" w:type="dxa"/>
        <w:jc w:val="left"/>
        <w:tblInd w:w="0" w:type="dxa"/>
        <w:tblLayout w:type="fixed"/>
        <w:tblCellMar>
          <w:top w:w="28" w:type="dxa"/>
          <w:left w:w="28" w:type="dxa"/>
          <w:bottom w:w="28" w:type="dxa"/>
          <w:right w:w="28" w:type="dxa"/>
        </w:tblCellMar>
      </w:tblPr>
      <w:tblGrid>
        <w:gridCol w:w="553"/>
        <w:gridCol w:w="487"/>
        <w:gridCol w:w="489"/>
        <w:gridCol w:w="246"/>
        <w:gridCol w:w="700"/>
        <w:gridCol w:w="137"/>
        <w:gridCol w:w="137"/>
        <w:gridCol w:w="137"/>
        <w:gridCol w:w="137"/>
        <w:gridCol w:w="246"/>
        <w:gridCol w:w="700"/>
        <w:gridCol w:w="137"/>
        <w:gridCol w:w="109"/>
        <w:gridCol w:w="109"/>
        <w:gridCol w:w="109"/>
        <w:gridCol w:w="245"/>
        <w:gridCol w:w="414"/>
        <w:gridCol w:w="137"/>
        <w:gridCol w:w="109"/>
        <w:gridCol w:w="109"/>
        <w:gridCol w:w="109"/>
        <w:gridCol w:w="303"/>
        <w:gridCol w:w="303"/>
        <w:gridCol w:w="714"/>
        <w:gridCol w:w="109"/>
        <w:gridCol w:w="109"/>
        <w:gridCol w:w="109"/>
        <w:gridCol w:w="109"/>
        <w:gridCol w:w="109"/>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net revenues increased for the three months ended March 31, 2025, as compared to the same prior year period, due to a significant increase in iGaming handle coupled with improved iGaming hold and higher hold in sports betting in our Caesars Digital segment. Net revenues in the Las Vegas segment were down slightly primarily due to lower hotel occupancy and room rates resulting from Las Vegas hosting the Super Bowl in 2024. Net revenues in the Regional segment increased primarily due to opening expanded gaming and non-gaming amenities at our recently completed development projects of Caesars Virginia and Caesars New Orleans.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were as follows:</w:t>
      </w:r>
    </w:p>
    <w:tbl>
      <w:tblPr>
        <w:tblW w:w="8619" w:type="dxa"/>
        <w:jc w:val="left"/>
        <w:tblInd w:w="0" w:type="dxa"/>
        <w:tblLayout w:type="fixed"/>
        <w:tblCellMar>
          <w:top w:w="28" w:type="dxa"/>
          <w:left w:w="28" w:type="dxa"/>
          <w:bottom w:w="28" w:type="dxa"/>
          <w:right w:w="28" w:type="dxa"/>
        </w:tblCellMar>
      </w:tblPr>
      <w:tblGrid>
        <w:gridCol w:w="852"/>
        <w:gridCol w:w="749"/>
        <w:gridCol w:w="754"/>
        <w:gridCol w:w="246"/>
        <w:gridCol w:w="700"/>
        <w:gridCol w:w="137"/>
        <w:gridCol w:w="137"/>
        <w:gridCol w:w="137"/>
        <w:gridCol w:w="137"/>
        <w:gridCol w:w="246"/>
        <w:gridCol w:w="700"/>
        <w:gridCol w:w="137"/>
        <w:gridCol w:w="109"/>
        <w:gridCol w:w="109"/>
        <w:gridCol w:w="109"/>
        <w:gridCol w:w="245"/>
        <w:gridCol w:w="414"/>
        <w:gridCol w:w="137"/>
        <w:gridCol w:w="109"/>
        <w:gridCol w:w="109"/>
        <w:gridCol w:w="109"/>
        <w:gridCol w:w="303"/>
        <w:gridCol w:w="303"/>
        <w:gridCol w:w="714"/>
        <w:gridCol w:w="109"/>
        <w:gridCol w:w="109"/>
        <w:gridCol w:w="109"/>
        <w:gridCol w:w="109"/>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expenses consist principally of salaries and wages associated with our gaming operations, gaming taxes and marketing and advertising costs attributable to our Caesars Digital segment. Food and beverage expenses consist principally of salaries and wages and costs of goods sold associated with our food and beverage operations. Hotel expenses consist principally of salaries, wages and supplies associated with our hotel operations. Other expenses consist principally of salaries and wages, costs of goods sold associated with our retail operations, entertainment costs, including professional talent fees, reimbursable management costs (described below) and other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Casino expenses were relatively flat for the three months ended March 31, 2025, as compared to the same prior year period. Casino expenses rose in connection with increased revenues in our Caesars Digital segment, and were partially offset by decreased promotional costs in our Las Vegas segment associated with the Super Bowl held in Las Vegas in the first quarter of 2024. Food and beverage and hotel expenses have increased due to incremental wages associated with the opening of Caesars Virginia’s permanent facility and the completion of the rebranding Caesars New Orleans as well as higher union and non-union wages. We continue to focus on labor efficiencies across the enterprise to manage increased labor costs.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include items such as information technology, facility maintenance, utilities, property and liability insurance, expenses for administrative departments such as accounting, compliance, purchasing, human resources, legal, internal audit, property taxes and marketing expenses indirectly related to our gaming and non-gaming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include unallocated expenses such as payroll, inclusive of the annual bonus, stock-based compensation, professional fees, cybersecurity costs and other various expenses not directly related to the Company’s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4165"/>
                <wp:effectExtent l="0" t="0" r="0" b="0"/>
                <wp:wrapNone/>
                <wp:docPr id="31" name="Frame3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increased for the three months ended March 31, 2025 as compared to the same prior year period, primarily related to recently completed construction projects.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and other costs, net primarily includes non-cash losses on the write down and disposal of assets, professional services for transaction and integration costs, various contract exit or termination costs, pre-opening costs in connection with our new property openings and non-cash changes in equity method investments.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income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(expenses) were as follows:</w:t>
      </w:r>
    </w:p>
    <w:tbl>
      <w:tblPr>
        <w:tblW w:w="8616" w:type="dxa"/>
        <w:jc w:val="left"/>
        <w:tblInd w:w="0" w:type="dxa"/>
        <w:tblLayout w:type="fixed"/>
        <w:tblCellMar>
          <w:top w:w="28" w:type="dxa"/>
          <w:left w:w="28" w:type="dxa"/>
          <w:bottom w:w="28" w:type="dxa"/>
          <w:right w:w="28" w:type="dxa"/>
        </w:tblCellMar>
      </w:tblPr>
      <w:tblGrid>
        <w:gridCol w:w="851"/>
        <w:gridCol w:w="750"/>
        <w:gridCol w:w="753"/>
        <w:gridCol w:w="262"/>
        <w:gridCol w:w="663"/>
        <w:gridCol w:w="145"/>
        <w:gridCol w:w="145"/>
        <w:gridCol w:w="145"/>
        <w:gridCol w:w="145"/>
        <w:gridCol w:w="262"/>
        <w:gridCol w:w="663"/>
        <w:gridCol w:w="145"/>
        <w:gridCol w:w="109"/>
        <w:gridCol w:w="109"/>
        <w:gridCol w:w="109"/>
        <w:gridCol w:w="245"/>
        <w:gridCol w:w="414"/>
        <w:gridCol w:w="137"/>
        <w:gridCol w:w="109"/>
        <w:gridCol w:w="109"/>
        <w:gridCol w:w="109"/>
        <w:gridCol w:w="303"/>
        <w:gridCol w:w="303"/>
        <w:gridCol w:w="714"/>
        <w:gridCol w:w="109"/>
        <w:gridCol w:w="109"/>
        <w:gridCol w:w="109"/>
        <w:gridCol w:w="109"/>
        <w:gridCol w:w="109"/>
        <w:gridCol w:w="109"/>
        <w:gridCol w:w="109"/>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for the three months ended March 31, 2025, as compared to the same prior year period, primarily due to our continuing efforts to reduce and refinance outstanding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loss on extinguishment of debt was primarily related to the prepayments of the CEI Senior Secured Notes due 2025 and the Caesars Resort Collection (“CRC”) Senior Secured Notes in conjunction with refinancing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(loss) for the three months ended March 31, 2024 primarily represents a change in estimate of our disputed claims liability.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for the three months ended March 31, 2025 and 2024 differed from the expected income tax provision based on the federal tax rate of 21% primarily due to an increase in federal and state valuation allowances against the deferred tax assets for excess business interest expense.</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4165"/>
                <wp:effectExtent l="0" t="0" r="0" b="0"/>
                <wp:wrapNone/>
                <wp:docPr id="32" name="Frame3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Segment comparison of the three months ended March 31, 2025 and 2024</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Las Vegas Segment</w:t>
      </w:r>
    </w:p>
    <w:tbl>
      <w:tblPr>
        <w:tblW w:w="8800" w:type="dxa"/>
        <w:jc w:val="left"/>
        <w:tblInd w:w="0" w:type="dxa"/>
        <w:tblLayout w:type="fixed"/>
        <w:tblCellMar>
          <w:top w:w="28" w:type="dxa"/>
          <w:left w:w="28" w:type="dxa"/>
          <w:bottom w:w="28" w:type="dxa"/>
          <w:right w:w="28" w:type="dxa"/>
        </w:tblCellMar>
      </w:tblPr>
      <w:tblGrid>
        <w:gridCol w:w="917"/>
        <w:gridCol w:w="807"/>
        <w:gridCol w:w="811"/>
        <w:gridCol w:w="215"/>
        <w:gridCol w:w="612"/>
        <w:gridCol w:w="282"/>
        <w:gridCol w:w="120"/>
        <w:gridCol w:w="120"/>
        <w:gridCol w:w="120"/>
        <w:gridCol w:w="215"/>
        <w:gridCol w:w="612"/>
        <w:gridCol w:w="282"/>
        <w:gridCol w:w="109"/>
        <w:gridCol w:w="109"/>
        <w:gridCol w:w="109"/>
        <w:gridCol w:w="239"/>
        <w:gridCol w:w="423"/>
        <w:gridCol w:w="134"/>
        <w:gridCol w:w="109"/>
        <w:gridCol w:w="109"/>
        <w:gridCol w:w="109"/>
        <w:gridCol w:w="303"/>
        <w:gridCol w:w="303"/>
        <w:gridCol w:w="714"/>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drop</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hold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handle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 occupancy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Caesars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Las Vegas segment’s net revenues, net income and Adjusted EBITDA decreased slightly for the three months ended March 31, 2025, as compared to the same prior year period, primarily due to lower hotel occupancy and room rates as a result of Las Vegas hosting the Super Bowl in the first quarter of 2024. While table games volume was also negatively impacted by the timing of this significant event, casino revenues benefited from improved table games hold, despite remaining below the midpoint of our typical range for the three months ended March 31, 2025. In addition, other revenue declined as compared to the same prior year period primarily due to the variance in comparable revenues driven by the sale of the LINQ Promenade during the fourth quarter of 2024. Adjusted EBITDA margin improved over the same prior year period due to our continued focus on efficiencies to effectively manage 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Slot win percentage in the Las Vegas segment for the three months ended March 31, 2025 was within our typical range.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Regional Segment</w:t>
      </w:r>
    </w:p>
    <w:tbl>
      <w:tblPr>
        <w:tblW w:w="8797" w:type="dxa"/>
        <w:jc w:val="left"/>
        <w:tblInd w:w="0" w:type="dxa"/>
        <w:tblLayout w:type="fixed"/>
        <w:tblCellMar>
          <w:top w:w="28" w:type="dxa"/>
          <w:left w:w="28" w:type="dxa"/>
          <w:bottom w:w="28" w:type="dxa"/>
          <w:right w:w="28" w:type="dxa"/>
        </w:tblCellMar>
      </w:tblPr>
      <w:tblGrid>
        <w:gridCol w:w="917"/>
        <w:gridCol w:w="807"/>
        <w:gridCol w:w="811"/>
        <w:gridCol w:w="200"/>
        <w:gridCol w:w="660"/>
        <w:gridCol w:w="261"/>
        <w:gridCol w:w="111"/>
        <w:gridCol w:w="111"/>
        <w:gridCol w:w="111"/>
        <w:gridCol w:w="200"/>
        <w:gridCol w:w="660"/>
        <w:gridCol w:w="261"/>
        <w:gridCol w:w="109"/>
        <w:gridCol w:w="109"/>
        <w:gridCol w:w="109"/>
        <w:gridCol w:w="214"/>
        <w:gridCol w:w="461"/>
        <w:gridCol w:w="121"/>
        <w:gridCol w:w="109"/>
        <w:gridCol w:w="109"/>
        <w:gridCol w:w="109"/>
        <w:gridCol w:w="303"/>
        <w:gridCol w:w="303"/>
        <w:gridCol w:w="714"/>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drop</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hold %</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handle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Caesars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4165"/>
                <wp:effectExtent l="0" t="0" r="0" b="0"/>
                <wp:wrapNone/>
                <wp:docPr id="33" name="Frame3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Regional segment’s net revenues and Adjusted EBITDA improved for the three months ended March 31, 2025, as compared to the same prior year period, primarily due to the positive results driven by our recently completed Caesars Virginia and Caesars New Orleans development projects. Increases in food and beverage revenues were attributable to the opening of new venues and upscaled offerings, particularly in our recently completed and rebranded properties. These increases partially were offset by the continued impact of competition associated with new casino resorts opening and inclement weather in several of our regional markets. Net income declined for the three months ended March 31, 2025, compared to the same prior year period, primarily due to increased depreciation expense associated with the completion of the construction projects mentioned above.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Slot win percentage in the Regional segment for the three months ended March 31, 2025 was within our typical range.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Caesars Digital Segment</w:t>
      </w:r>
    </w:p>
    <w:tbl>
      <w:tblPr>
        <w:tblW w:w="8580" w:type="dxa"/>
        <w:jc w:val="left"/>
        <w:tblInd w:w="0" w:type="dxa"/>
        <w:tblLayout w:type="fixed"/>
        <w:tblCellMar>
          <w:top w:w="28" w:type="dxa"/>
          <w:left w:w="28" w:type="dxa"/>
          <w:bottom w:w="28" w:type="dxa"/>
          <w:right w:w="28" w:type="dxa"/>
        </w:tblCellMar>
      </w:tblPr>
      <w:tblGrid>
        <w:gridCol w:w="836"/>
        <w:gridCol w:w="736"/>
        <w:gridCol w:w="738"/>
        <w:gridCol w:w="215"/>
        <w:gridCol w:w="612"/>
        <w:gridCol w:w="282"/>
        <w:gridCol w:w="120"/>
        <w:gridCol w:w="120"/>
        <w:gridCol w:w="120"/>
        <w:gridCol w:w="215"/>
        <w:gridCol w:w="612"/>
        <w:gridCol w:w="282"/>
        <w:gridCol w:w="109"/>
        <w:gridCol w:w="109"/>
        <w:gridCol w:w="109"/>
        <w:gridCol w:w="196"/>
        <w:gridCol w:w="496"/>
        <w:gridCol w:w="109"/>
        <w:gridCol w:w="109"/>
        <w:gridCol w:w="109"/>
        <w:gridCol w:w="109"/>
        <w:gridCol w:w="303"/>
        <w:gridCol w:w="303"/>
        <w:gridCol w:w="714"/>
        <w:gridCol w:w="109"/>
        <w:gridCol w:w="109"/>
        <w:gridCol w:w="109"/>
        <w:gridCol w:w="10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Casino </w:t>
            </w:r>
            <w:r>
              <w:rPr>
                <w:rFonts w:ascii="Times New Roman;sans-serif" w:hAnsi="Times New Roman;sans-serif"/>
                <w:b w:val="false"/>
                <w:i/>
                <w:color w:val="000000"/>
                <w:sz w:val="12"/>
              </w:rPr>
              <w:t>(a)</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Sports betting handle</w:t>
            </w:r>
            <w:r>
              <w:rPr>
                <w:color w:val="000000"/>
              </w:rPr>
              <w:t xml:space="preserve"> </w:t>
            </w:r>
            <w:r>
              <w:rPr>
                <w:rFonts w:ascii="Times New Roman;sans-serif" w:hAnsi="Times New Roman;sans-serif"/>
                <w:b w:val="false"/>
                <w:i/>
                <w:color w:val="000000"/>
                <w:sz w:val="12"/>
              </w:rPr>
              <w:t>(b)</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Sports betting hold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iGaming handle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iGaming hold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Caesars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Includes total promotional and complimentary incentives related to sports betting, iGaming, and online poker of $73 million and $86 million for the three months ended March 31, 2025 and 2024, respectively. Promotional and complimentary incentives for online poker were $3 million for both the three months ended March 31, 2025 and 2024.</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Caesars Digital generated an additional $269 million and $279 million of sports betting handle for the three months ended March 31, 2025 and 2024, respectively, which is not included in this table, for select wholly-owned and third-party operations for which Caesars Digital provides services and we receive all, or a share of, the net profits. Hold related to these operations was 11.0% and 9.8%, for the three months ended March 31, 2025 and 2024, respectively. Sports betting handle includes $10 million and $11 million for the three months ended March 31, 2025 and 2024, respectively, related to horse racing and pari-mutuel wagers.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Digital’s net revenues, net loss, Adjusted EBITDA, and Adjusted EBITDA margin improved significantly for the three months ended March 31, 2025, as compared to the same prior year period, primarily due to higher iGaming handle and iGaming hold coupled with improved sports betting hold. The improved sports betting hold reflects the benefit of the continued investment in our sports betting platform. Increases in both iGaming handle and iGaming hold have followed the launch of Caesars Palace Online Casino in August 2023 and Horseshoe Online Casino app in October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sports betting and online casinos expand through increased state or jurisdictional legalization, new product launches, and customer adoption, variations in hold percentages and increases in promotional and marketing expenses in highly competitive markets during promotional periods may negatively impact Caesars Digital’s net revenues, net income, Adjusted EBITDA and Adjusted EBITDA margin in comparison to current or prior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4165"/>
                <wp:effectExtent l="0" t="0" r="0" b="0"/>
                <wp:wrapNone/>
                <wp:docPr id="34" name="Frame3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Managed and Branded Segment</w:t>
      </w:r>
    </w:p>
    <w:tbl>
      <w:tblPr>
        <w:tblW w:w="8800" w:type="dxa"/>
        <w:jc w:val="left"/>
        <w:tblInd w:w="0" w:type="dxa"/>
        <w:tblLayout w:type="fixed"/>
        <w:tblCellMar>
          <w:top w:w="28" w:type="dxa"/>
          <w:left w:w="28" w:type="dxa"/>
          <w:bottom w:w="28" w:type="dxa"/>
          <w:right w:w="28" w:type="dxa"/>
        </w:tblCellMar>
      </w:tblPr>
      <w:tblGrid>
        <w:gridCol w:w="917"/>
        <w:gridCol w:w="807"/>
        <w:gridCol w:w="811"/>
        <w:gridCol w:w="267"/>
        <w:gridCol w:w="451"/>
        <w:gridCol w:w="349"/>
        <w:gridCol w:w="148"/>
        <w:gridCol w:w="148"/>
        <w:gridCol w:w="148"/>
        <w:gridCol w:w="267"/>
        <w:gridCol w:w="451"/>
        <w:gridCol w:w="349"/>
        <w:gridCol w:w="109"/>
        <w:gridCol w:w="109"/>
        <w:gridCol w:w="109"/>
        <w:gridCol w:w="278"/>
        <w:gridCol w:w="363"/>
        <w:gridCol w:w="155"/>
        <w:gridCol w:w="109"/>
        <w:gridCol w:w="109"/>
        <w:gridCol w:w="109"/>
        <w:gridCol w:w="303"/>
        <w:gridCol w:w="303"/>
        <w:gridCol w:w="714"/>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Caesars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tbl>
      <w:tblPr>
        <w:tblW w:w="8886" w:type="dxa"/>
        <w:jc w:val="left"/>
        <w:tblInd w:w="0" w:type="dxa"/>
        <w:tblLayout w:type="fixed"/>
        <w:tblCellMar>
          <w:top w:w="28" w:type="dxa"/>
          <w:left w:w="28" w:type="dxa"/>
          <w:bottom w:w="28" w:type="dxa"/>
          <w:right w:w="28" w:type="dxa"/>
        </w:tblCellMar>
      </w:tblPr>
      <w:tblGrid>
        <w:gridCol w:w="949"/>
        <w:gridCol w:w="836"/>
        <w:gridCol w:w="839"/>
        <w:gridCol w:w="316"/>
        <w:gridCol w:w="534"/>
        <w:gridCol w:w="175"/>
        <w:gridCol w:w="175"/>
        <w:gridCol w:w="175"/>
        <w:gridCol w:w="175"/>
        <w:gridCol w:w="316"/>
        <w:gridCol w:w="534"/>
        <w:gridCol w:w="175"/>
        <w:gridCol w:w="109"/>
        <w:gridCol w:w="109"/>
        <w:gridCol w:w="109"/>
        <w:gridCol w:w="285"/>
        <w:gridCol w:w="351"/>
        <w:gridCol w:w="160"/>
        <w:gridCol w:w="109"/>
        <w:gridCol w:w="109"/>
        <w:gridCol w:w="109"/>
        <w:gridCol w:w="303"/>
        <w:gridCol w:w="303"/>
        <w:gridCol w:w="714"/>
        <w:gridCol w:w="109"/>
        <w:gridCol w:w="109"/>
        <w:gridCol w:w="109"/>
        <w:gridCol w:w="109"/>
        <w:gridCol w:w="109"/>
        <w:gridCol w:w="109"/>
        <w:gridCol w:w="109"/>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Reimbursable management revenue</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Reimbursable management costs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Corporate &amp; Other</w:t>
      </w:r>
    </w:p>
    <w:tbl>
      <w:tblPr>
        <w:tblW w:w="7816" w:type="dxa"/>
        <w:jc w:val="left"/>
        <w:tblInd w:w="0" w:type="dxa"/>
        <w:tblLayout w:type="fixed"/>
        <w:tblCellMar>
          <w:top w:w="28" w:type="dxa"/>
          <w:left w:w="28" w:type="dxa"/>
          <w:bottom w:w="28" w:type="dxa"/>
          <w:right w:w="28" w:type="dxa"/>
        </w:tblCellMar>
      </w:tblPr>
      <w:tblGrid>
        <w:gridCol w:w="553"/>
        <w:gridCol w:w="487"/>
        <w:gridCol w:w="489"/>
        <w:gridCol w:w="289"/>
        <w:gridCol w:w="599"/>
        <w:gridCol w:w="160"/>
        <w:gridCol w:w="160"/>
        <w:gridCol w:w="160"/>
        <w:gridCol w:w="160"/>
        <w:gridCol w:w="289"/>
        <w:gridCol w:w="599"/>
        <w:gridCol w:w="160"/>
        <w:gridCol w:w="109"/>
        <w:gridCol w:w="109"/>
        <w:gridCol w:w="109"/>
        <w:gridCol w:w="278"/>
        <w:gridCol w:w="363"/>
        <w:gridCol w:w="155"/>
        <w:gridCol w:w="109"/>
        <w:gridCol w:w="109"/>
        <w:gridCol w:w="109"/>
        <w:gridCol w:w="315"/>
        <w:gridCol w:w="315"/>
        <w:gridCol w:w="714"/>
        <w:gridCol w:w="109"/>
        <w:gridCol w:w="109"/>
        <w:gridCol w:w="109"/>
        <w:gridCol w:w="109"/>
        <w:gridCol w:w="109"/>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Supplemental Unaudited Presentation of Consolidated Adjusted Earnings Before Interest, Taxes, Depreciation and Amortization (“Adjusted EBITDA”) for the Three Months Ended March 31, 2025 and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Adjusted EBITDA is unaudited and should not be considered an alternative to, or more meaningful than, net income (loss) as an indicator of our operating performance. Uses of cash flows that are not reflected in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4165"/>
                <wp:effectExtent l="0" t="0" r="0" b="0"/>
                <wp:wrapNone/>
                <wp:docPr id="35" name="Frame3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 capital expenditures, interest payments, income taxes, debt principal repayments, distributions to our noncontrolling interest owners and payments under our leases with affiliates of VICI Properties Inc. and GLPI, which can be significant. As a result, Adjusted EBITDA should not be considered as a measure of our liquidity. Other companies that provide Adjusted EBITDA information may calculate Adjusted EBITDA differently than we do. The definition of Adjusted EBITDA may not be the same as the definitions used in any of our debt agreements.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our Adjusted EBITDA for the three months ended March 31, 2025 and 2024, respectively, in addition to reconciling net income (loss) attributable to Caesars to Adjusted EBITDA in accordance with GAAP (unaudited):</w:t>
      </w:r>
    </w:p>
    <w:tbl>
      <w:tblPr>
        <w:tblW w:w="7616" w:type="dxa"/>
        <w:jc w:val="left"/>
        <w:tblInd w:w="0" w:type="dxa"/>
        <w:tblLayout w:type="fixed"/>
        <w:tblCellMar>
          <w:top w:w="28" w:type="dxa"/>
          <w:left w:w="28" w:type="dxa"/>
          <w:bottom w:w="28" w:type="dxa"/>
          <w:right w:w="28" w:type="dxa"/>
        </w:tblCellMar>
      </w:tblPr>
      <w:tblGrid>
        <w:gridCol w:w="1322"/>
        <w:gridCol w:w="1160"/>
        <w:gridCol w:w="1163"/>
        <w:gridCol w:w="109"/>
        <w:gridCol w:w="109"/>
        <w:gridCol w:w="276"/>
        <w:gridCol w:w="276"/>
        <w:gridCol w:w="496"/>
        <w:gridCol w:w="1256"/>
        <w:gridCol w:w="276"/>
        <w:gridCol w:w="109"/>
        <w:gridCol w:w="109"/>
        <w:gridCol w:w="109"/>
        <w:gridCol w:w="196"/>
        <w:gridCol w:w="496"/>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73" w:type="dxa"/>
            <w:gridSpan w:val="6"/>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Caesars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Other (income) loss </w:t>
            </w:r>
            <w:r>
              <w:rPr>
                <w:rFonts w:ascii="Times New Roman;sans-serif" w:hAnsi="Times New Roman;sans-serif"/>
                <w:b w:val="false"/>
                <w:i/>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 costs and other, net </w:t>
            </w:r>
            <w:r>
              <w:rPr>
                <w:rFonts w:ascii="Times New Roman;sans-serif" w:hAnsi="Times New Roman;sans-serif"/>
                <w:b w:val="false"/>
                <w:i/>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Pre-disposition Adjusted EBITDA </w:t>
            </w:r>
            <w:r>
              <w:rPr>
                <w:rFonts w:ascii="Times New Roman;sans-serif" w:hAnsi="Times New Roman;sans-serif"/>
                <w:b w:val="false"/>
                <w:i/>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212529"/>
          <w:sz w:val="10"/>
        </w:rPr>
        <w:t>(a)</w:t>
      </w:r>
      <w:r>
        <w:rPr>
          <w:rFonts w:ascii="Times New Roman;sans-serif" w:hAnsi="Times New Roman;sans-serif"/>
          <w:b w:val="false"/>
          <w:i/>
          <w:color w:val="000000"/>
          <w:sz w:val="16"/>
        </w:rPr>
        <w:t xml:space="preserve">Other (income) loss for the three months ended March 31, 2024 primarily represents a change in estimate of our disputed claims liability. </w:t>
      </w:r>
    </w:p>
    <w:p>
      <w:pPr>
        <w:pStyle w:val="TextBody"/>
        <w:bidi w:val="0"/>
        <w:spacing w:lineRule="auto" w:line="288" w:before="60" w:after="283"/>
        <w:ind w:left="0" w:right="0" w:hanging="360"/>
        <w:jc w:val="both"/>
        <w:rPr/>
      </w:pPr>
      <w:r>
        <w:rPr>
          <w:rFonts w:ascii="sans-serif" w:hAnsi="sans-serif"/>
          <w:b w:val="false"/>
          <w:i/>
          <w:color w:val="212529"/>
          <w:sz w:val="10"/>
        </w:rPr>
        <w:t>(b)</w:t>
      </w:r>
      <w:r>
        <w:rPr>
          <w:rFonts w:ascii="Times New Roman;sans-serif" w:hAnsi="Times New Roman;sans-serif"/>
          <w:b w:val="false"/>
          <w:i/>
          <w:color w:val="000000"/>
          <w:sz w:val="16"/>
        </w:rPr>
        <w:t>Transaction costs and other, net primarily includes costs related to non-cash losses on the write down and disposal of assets, professional services for transaction and integration costs, various contract exit or termination costs, pre-opening costs in connection with our new property openings, and non-cash changes in equity method investments.</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(c)</w:t>
      </w:r>
      <w:r>
        <w:rPr>
          <w:rFonts w:ascii="Times New Roman;sans-serif" w:hAnsi="Times New Roman;sans-serif"/>
          <w:b w:val="false"/>
          <w:i/>
          <w:color w:val="000000"/>
          <w:sz w:val="16"/>
        </w:rPr>
        <w:t>Adjustment for pre-disposition results of operations reflecting the subtraction of results of operations for the LINQ Promenade prior to divestiture, for the relevant periods. The additional financial information is included to enable the comparison of current results with results of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CEI Revolving Credit Facility and proceeds from the issuance of debt and equity securities. Our cash requirements may fluctuate significantly depending on our decisions with respect to business acquisitions or divestitures and strategic capital and marketing investments.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cash on hand and borrowing capacity was as follows:</w:t>
      </w:r>
    </w:p>
    <w:tbl>
      <w:tblPr>
        <w:tblW w:w="5340" w:type="dxa"/>
        <w:jc w:val="left"/>
        <w:tblInd w:w="0" w:type="dxa"/>
        <w:tblLayout w:type="fixed"/>
        <w:tblCellMar>
          <w:top w:w="28" w:type="dxa"/>
          <w:left w:w="28" w:type="dxa"/>
          <w:bottom w:w="28" w:type="dxa"/>
          <w:right w:w="28" w:type="dxa"/>
        </w:tblCellMar>
      </w:tblPr>
      <w:tblGrid>
        <w:gridCol w:w="1452"/>
        <w:gridCol w:w="1275"/>
        <w:gridCol w:w="1278"/>
        <w:gridCol w:w="289"/>
        <w:gridCol w:w="819"/>
        <w:gridCol w:w="227"/>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Revolver capacity </w:t>
            </w:r>
            <w:r>
              <w:rPr>
                <w:rFonts w:ascii="Times New Roman;sans-serif" w:hAnsi="Times New Roman;sans-serif"/>
                <w:b w:val="false"/>
                <w:i/>
                <w:color w:val="000000"/>
                <w:sz w:val="12"/>
              </w:rPr>
              <w:t>(a)</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 capacity committed to letters of credit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 capacity committed as regulatory requirement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w:t>
            </w:r>
            <w:r>
              <w:rPr>
                <w:rFonts w:ascii="Times New Roman;sans-serif" w:hAnsi="Times New Roman;sans-serif"/>
                <w:b w:val="false"/>
                <w:i/>
                <w:color w:val="000000"/>
                <w:sz w:val="12"/>
              </w:rPr>
              <w:t>(b)</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2,994 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Revolver capacity includes $2.25 billion under the CEI Revolving Credit Facility, maturing in January 2028 (subject to a springing maturity in the event certain other long-term debt of Caesars is not extended or repaid), and $25 million under the CVA Revolving Credit Facility, maturing on April 26, 2029, less $40 million reserved for specific purposes.</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Excludes approximately $75 million of additional borrowing available under the CVA Delayed Draw Term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our operating activities generated operating cash inflows of $218 million, as compared to operating cash inflows of $80 million during the three months ended March 31, 2024, primarily due to changes in working capital, coupled with the results of operations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4165"/>
                <wp:effectExtent l="0" t="0" r="0" b="0"/>
                <wp:wrapNone/>
                <wp:docPr id="36" name="Frame3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primary capital requirements going forward will relate to servicing our outstanding indebtedness, rent payments under our GLPI Leases and VICI Leases, and the expansion and maintenance of our properties. In addition, beginning in 2025 we expect additional cash uses for operating activities as a result of federal and certain state income taxes.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liquidity needs are for debt service and payments associated with our leases. Our estimated debt service (including principal and interest) is approximately $664 million for the remainder of 2025. We also lease certain real property assets from third parties, including VICI and GLPI. The VICI Leases are subject to annual escalations, that take effect in November of each year, based on the Consumer Price Index (“CPI”). In addition to the CPI escalator, our VICI leases are also subject to a variable rent adjustment based on certain historical net revenues of our leased properties which began in November 2024. The next such lease year with a variable rent adjustment begins November 2027. We estimate our lease payments to VICI and GLPI to be approximately $1.0 billion for the remainder of 2025.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capital expenditures and perform continuing refurbishment and maintenance at our properties to maintain our quality standards. Our capital expenditure requirements for the remainder of 2025 include the completion of expansion projects and hotel renovations. In addition, we anticipate continued investment in our Caesars Sportsbook and iGaming applications. </w:t>
      </w:r>
    </w:p>
    <w:p>
      <w:pPr>
        <w:pStyle w:val="TextBody"/>
        <w:bidi w:val="0"/>
        <w:spacing w:lineRule="auto" w:line="288" w:before="180" w:after="283"/>
        <w:jc w:val="both"/>
        <w:rPr/>
      </w:pPr>
      <w:r>
        <w:rPr>
          <w:rFonts w:ascii="Times New Roman;sans-serif" w:hAnsi="Times New Roman;sans-serif"/>
          <w:b w:val="false"/>
          <w:color w:val="212529"/>
          <w:sz w:val="20"/>
        </w:rPr>
        <w:t xml:space="preserve">Cash used for capital expenditures totaled </w:t>
      </w:r>
      <w:r>
        <w:rPr>
          <w:rFonts w:ascii="Times New Roman;sans-serif" w:hAnsi="Times New Roman;sans-serif"/>
          <w:b w:val="false"/>
          <w:color w:val="000000"/>
          <w:sz w:val="20"/>
        </w:rPr>
        <w:t xml:space="preserve">$223 million and $264 million </w:t>
      </w:r>
      <w:r>
        <w:rPr>
          <w:rFonts w:ascii="Times New Roman;sans-serif" w:hAnsi="Times New Roman;sans-serif"/>
          <w:b w:val="false"/>
          <w:color w:val="212529"/>
          <w:sz w:val="20"/>
        </w:rPr>
        <w:t xml:space="preserve">for the three months ended </w:t>
      </w:r>
      <w:r>
        <w:rPr>
          <w:rFonts w:ascii="Times New Roman;sans-serif" w:hAnsi="Times New Roman;sans-serif"/>
          <w:b w:val="false"/>
          <w:color w:val="000000"/>
          <w:sz w:val="20"/>
        </w:rPr>
        <w:t>March 31, 2025 and 2024</w:t>
      </w:r>
      <w:r>
        <w:rPr>
          <w:rFonts w:ascii="Times New Roman;sans-serif" w:hAnsi="Times New Roman;sans-serif"/>
          <w:b w:val="false"/>
          <w:color w:val="212529"/>
          <w:sz w:val="20"/>
        </w:rPr>
        <w:t xml:space="preserve">, respectively, related to our growth, renovation, maintenance, and other capital projects. The following table summarizes our capital expenditures for the three months ended March 31, 2025, and an estimated range of capital expenditures for the remainder of 2025. </w:t>
      </w:r>
    </w:p>
    <w:tbl>
      <w:tblPr>
        <w:tblW w:w="10205" w:type="dxa"/>
        <w:jc w:val="left"/>
        <w:tblInd w:w="0" w:type="dxa"/>
        <w:tblLayout w:type="fixed"/>
        <w:tblCellMar>
          <w:top w:w="28" w:type="dxa"/>
          <w:left w:w="28" w:type="dxa"/>
          <w:bottom w:w="28" w:type="dxa"/>
          <w:right w:w="28" w:type="dxa"/>
        </w:tblCellMar>
      </w:tblPr>
      <w:tblGrid>
        <w:gridCol w:w="1328"/>
        <w:gridCol w:w="1135"/>
        <w:gridCol w:w="1121"/>
        <w:gridCol w:w="681"/>
        <w:gridCol w:w="1463"/>
        <w:gridCol w:w="378"/>
        <w:gridCol w:w="109"/>
        <w:gridCol w:w="109"/>
        <w:gridCol w:w="109"/>
        <w:gridCol w:w="405"/>
        <w:gridCol w:w="870"/>
        <w:gridCol w:w="225"/>
        <w:gridCol w:w="225"/>
        <w:gridCol w:w="225"/>
        <w:gridCol w:w="225"/>
        <w:gridCol w:w="405"/>
        <w:gridCol w:w="870"/>
        <w:gridCol w:w="322"/>
      </w:tblGrid>
      <w:tr>
        <w:trPr/>
        <w:tc>
          <w:tcPr>
            <w:tcW w:w="132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Estimate of Remaining Capital Expenditures for </w:t>
            </w:r>
            <w:r>
              <w:rPr>
                <w:rFonts w:ascii="Times New Roman;sans-serif" w:hAnsi="Times New Roman;sans-serif"/>
                <w:b/>
                <w:color w:val="212529"/>
                <w:sz w:val="18"/>
              </w:rPr>
              <w:t>2025</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Growth and renovation projects</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Maintenance projects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32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estimated capital expenditures from unrestricted cash</w:t>
            </w:r>
          </w:p>
        </w:tc>
        <w:tc>
          <w:tcPr>
            <w:tcW w:w="2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Caesars Virginia</w:t>
            </w:r>
            <w:r>
              <w:rPr>
                <w:color w:val="000000"/>
              </w:rPr>
              <w:t xml:space="preserve"> </w:t>
            </w:r>
            <w:r>
              <w:rPr>
                <w:rFonts w:ascii="Times New Roman;sans-serif" w:hAnsi="Times New Roman;sans-serif"/>
                <w:b w:val="false"/>
                <w:i/>
                <w:color w:val="000000"/>
                <w:sz w:val="12"/>
              </w:rPr>
              <w:t>(a)</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 xml:space="preserve">Capital expenditures associated with Caesars Virginia are expected to be funded from cash on-hand generated from the operations of Caesars Virginia, or through the Caesars Virginia, LLC Credit Agreement. The Caesars Virginia delayed draw term loan has $75 million of undrawn capacity and the Caesars Virginia revolving credit facility has $25 million of undrawn capacity.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repurchase our common stock or prepay our outstanding indebtedness. Any such purchases or prepayments may be funded by existing cash balances or the incurrence of debt. The amount and timing of any repurchase of debt or common stock will be based on business and market conditions, capital availability, compliance with debt covenants and other considerations. In April 2025, we repurchased approximately $100 million of common stock.</w:t>
      </w:r>
    </w:p>
    <w:p>
      <w:pPr>
        <w:pStyle w:val="TextBody"/>
        <w:bidi w:val="0"/>
        <w:spacing w:lineRule="auto" w:line="288" w:before="180" w:after="283"/>
        <w:jc w:val="both"/>
        <w:rPr/>
      </w:pPr>
      <w:r>
        <w:rPr>
          <w:rFonts w:ascii="Times New Roman;sans-serif" w:hAnsi="Times New Roman;sans-serif"/>
          <w:b w:val="false"/>
          <w:color w:val="222222"/>
          <w:sz w:val="20"/>
        </w:rPr>
        <w:t xml:space="preserve">We have agreements with certain professional sports leagues and teams, sporting event facilities and media companies for tickets, suites, advertising, marketing, promotional and sponsorship opportunities including communication with partner customer databases. Some of the agreements provide us with exclusivity to access the aforementioned rights within the casino and/or sports betting category. As of </w:t>
      </w:r>
      <w:r>
        <w:rPr>
          <w:rFonts w:ascii="Times New Roman;sans-serif" w:hAnsi="Times New Roman;sans-serif"/>
          <w:b w:val="false"/>
          <w:color w:val="000000"/>
          <w:sz w:val="20"/>
        </w:rPr>
        <w:t>March 31, 2025 and December 31, 2024</w:t>
      </w:r>
      <w:r>
        <w:rPr>
          <w:rFonts w:ascii="Times New Roman;sans-serif" w:hAnsi="Times New Roman;sans-serif"/>
          <w:b w:val="false"/>
          <w:color w:val="222222"/>
          <w:sz w:val="20"/>
        </w:rPr>
        <w:t>, obligations related to these agreements were $398 million and $421 million, respectively, with contracts extending through 2040. These obligations are composed of various third-party agreements which have been entered into by us for certain of our Las Vegas and Regional properties, or our Caesars Digital segment. The agreements include leasing of event suites that are generally considered short-term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pStyle w:val="TextBody"/>
        <w:bidi w:val="0"/>
        <w:spacing w:lineRule="auto" w:line="288" w:before="180" w:after="283"/>
        <w:jc w:val="both"/>
        <w:rPr/>
      </w:pPr>
      <w:r>
        <w:rPr>
          <w:rFonts w:ascii="Times New Roman;sans-serif" w:hAnsi="Times New Roman;sans-serif"/>
          <w:b w:val="false"/>
          <w:color w:val="000000"/>
          <w:sz w:val="20"/>
        </w:rPr>
        <w:t xml:space="preserve">We have periodically divested assets to raise capital or, in previous cases, to comply with conditions, terms, obligations or restrictions imposed by antitrust, gaming and other regulatory entities. </w:t>
      </w:r>
      <w:r>
        <w:rPr>
          <w:rFonts w:ascii="Times New Roman;sans-serif" w:hAnsi="Times New Roman;sans-serif"/>
          <w:b w:val="false"/>
          <w:color w:val="212529"/>
          <w:sz w:val="20"/>
        </w:rPr>
        <w:t>If an agreed upon selling price for future divestitures does not exceed the carrying value of the assets, we may be required to record additional impairment charges in future periods which may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4165"/>
                <wp:effectExtent l="0" t="0" r="0" b="0"/>
                <wp:wrapNone/>
                <wp:docPr id="37" name="Frame3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pPr>
      <w:r>
        <w:rPr>
          <w:rFonts w:ascii="Times New Roman;sans-serif" w:hAnsi="Times New Roman;sans-serif"/>
          <w:b w:val="false"/>
          <w:color w:val="000000"/>
          <w:sz w:val="20"/>
        </w:rPr>
        <w:t>We</w:t>
      </w:r>
      <w:r>
        <w:rPr>
          <w:color w:val="212529"/>
        </w:rPr>
        <w:t xml:space="preserve"> </w:t>
      </w:r>
      <w:r>
        <w:rPr>
          <w:rFonts w:ascii="Times New Roman;sans-serif" w:hAnsi="Times New Roman;sans-serif"/>
          <w:b w:val="false"/>
          <w:color w:val="212529"/>
          <w:sz w:val="20"/>
        </w:rPr>
        <w:t>expect that our current liquidity, including availability of borrowings under our committed credit facility and cash flows from operations will be sufficient to fund our operations, capital requirements and service our outstanding indebtedness for the next twelve months and beyond.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Debt and Master Lease Covenant Compliance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CEI Revolving Credit Facility, the CEI Term Loan A, the CEI Term Loan B, the CEI Term Loan B-1 and the indentures governing the CEI Senior Secured Notes due 2030, the CEI Senior Secured Notes due 2032, the CEI Senior Notes due 2027, the CEI Senior Notes due 2029 and the CEI Senior Notes due 2032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document.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GLPI Leases and VICI Leases contain certain covenants requiring minimum capital expenditures based on a percentage of net revenues along with maintaining certain financial ratios. The GLPI Leases require the Company to maintain a minimum adjusted revenue to rent ratio of 1.20:1, applicable to the operations of the underlying leased properties..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CVA Revolving Credit Facility and the CVA Delayed Draw Term Loan contain covenants, applicable to the operations of Caesars Virginia, which are standard and customary for this type of agreement, including a maximum net total leverage ratio financial covenant of 4:1 and a minimum fixed charge coverage ratio financial covenant of 1.05:1. Caesars Virginia LLC’s compliance requirements commence starting June 30,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were in compliance with all of the applicable financial covenants described above.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 2024, we announced that our Board of Directors authorized a $500 million common stock repurchase program (the “2024 Share Repurchase Program”). Under the 2024 Share Repurchase Program, the Company may, from time to time, repurchase shares of common stock on the open market (either with or without a 10b5-1 plan) or through privately negotiated transactions. The 2024 Share Repurchase Program has no time limit and may be suspended or discontinued at any time without notice. There is no minimum number of shares of common stock that the Company is required to repurchase under the 2024 Share Repurchase Program. There were no shares repurchased during the three months ended March 31, 2025. Subsequently, during April 2025, the Company repurchased approximately 4.2 million shares of our common stock for a total cost of approximately $100 million.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80" w:after="283"/>
        <w:jc w:val="both"/>
        <w:rPr/>
      </w:pPr>
      <w:r>
        <w:rPr>
          <w:rFonts w:ascii="Times New Roman;sans-serif" w:hAnsi="Times New Roman;sans-serif"/>
          <w:b w:val="false"/>
          <w:color w:val="000000"/>
          <w:sz w:val="20"/>
        </w:rPr>
        <w:t xml:space="preserve">There have been no other material changes during the three months ended March 31, 2025 to our contractual obligations as disclosed in Part II, Item 7 of the 2024 Annual Report. See </w:t>
      </w:r>
      <w:hyperlink w:anchor="i82047a1ba7b84538888910c468702195_49">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 xml:space="preserve">to our unaudited Financial Statements, which is included elsewhere in this report, for additional information regarding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Liquidity Matters</w:t>
      </w:r>
    </w:p>
    <w:p>
      <w:pPr>
        <w:pStyle w:val="TextBody"/>
        <w:bidi w:val="0"/>
        <w:spacing w:lineRule="auto" w:line="288" w:before="180" w:after="283"/>
        <w:jc w:val="both"/>
        <w:rPr/>
      </w:pPr>
      <w:r>
        <w:rPr>
          <w:rFonts w:ascii="Times New Roman;sans-serif" w:hAnsi="Times New Roman;sans-serif"/>
          <w:b w:val="false"/>
          <w:color w:val="000000"/>
          <w:sz w:val="20"/>
        </w:rPr>
        <w:t>We are faced with certain contingencies, from time to time, involving litigation, claims, assessments, environmental remediation or compliance. These commitments and contingencies are discussed in greater detail, when applicable, in “</w:t>
      </w:r>
      <w:hyperlink w:anchor="i82047a1ba7b84538888910c468702195_118">
        <w:r>
          <w:rPr>
            <w:rStyle w:val="InternetLink"/>
            <w:rFonts w:ascii="Times New Roman;sans-serif" w:hAnsi="Times New Roman;sans-serif"/>
            <w:b w:val="false"/>
            <w:color w:val="0000FF"/>
            <w:sz w:val="20"/>
            <w:u w:val="single"/>
          </w:rPr>
          <w:t>Part II, Item 1. Legal Proceedings</w:t>
        </w:r>
      </w:hyperlink>
      <w:r>
        <w:rPr>
          <w:color w:val="000000"/>
        </w:rPr>
        <w:t xml:space="preserve">” </w:t>
      </w:r>
      <w:r>
        <w:rPr>
          <w:rFonts w:ascii="Times New Roman;sans-serif" w:hAnsi="Times New Roman;sans-serif"/>
          <w:b w:val="false"/>
          <w:color w:val="000000"/>
          <w:sz w:val="20"/>
        </w:rPr>
        <w:t xml:space="preserve">and </w:t>
      </w:r>
      <w:hyperlink w:anchor="i82047a1ba7b84538888910c468702195_49">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to our unaudited Financial Statements, both of which are included elsewhere in this report. See also “Part I, Item 1A. Risk Factors—Risks Related to Our Business” which is included elsewhere in the 2024 Annual Report.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are included in the 2024 Annual Report. There have been no material changes since December 31, 2024. We have not substantively changed the application of our policies, and there have been no material changes in assumptions or estimation techniques used as compared to those described in the 2024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4165"/>
                <wp:effectExtent l="0" t="0" r="0" b="0"/>
                <wp:wrapNone/>
                <wp:docPr id="38" name="Frame3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3. Quantitative and Qualitative Disclosures About Market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currency exchange rates and commodity prices. We are exposed to changes in interest rates primarily from variable rate long-term debt arrangements. We manage our interest rate risk by monitoring interest rates, including future projected rates, and adjusting our mix of fixed and variable rate borrowings.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long-term variable-rate borrowings totaled $5.9 billion under the CEI Term Loans and the CVA Delayed Draw Term Loan and no amounts were outstanding under the CEI Revolving Credit Facility or the CVA Revolving Credit Facility. As of March 31, 2025, long-term variable-rate borrowings under the CEI Term Loans and the CVA Delayed Draw Term Loan represented approximately 48% of consolidated long-term debt and the weighted average interest rates on our variable and fixed rate debt were 6.56% and 6.34%, respectively.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variable rate debt instruments are subject to Term SOFR interest rates plus a reasonable margin.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exposure to market risk by monitoring interest rates in the marketplace and have, on occasion, utilized derivative financial instruments to help manage this risk. We do not utilize derivative financial instruments for trading purposes. There have been no other material quantitative changes in our market risk exposure, or how such risks are managed from the information previously reported under Part II, Item 7A of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4. Controls and Procedures</w:t>
      </w:r>
    </w:p>
    <w:p>
      <w:pPr>
        <w:pStyle w:val="TextBody"/>
        <w:bidi w:val="0"/>
        <w:spacing w:lineRule="auto" w:line="288" w:before="180" w:after="283"/>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pStyle w:val="TextBody"/>
        <w:bidi w:val="0"/>
        <w:spacing w:lineRule="auto" w:line="288" w:before="180" w:after="283"/>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Changes in Internal Controls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changes in our internal control over financial reporting during the period covered by this Quarterly Report on Form 10</w:t>
        <w:noBreakHyphen/>
        <w:t>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4165"/>
                <wp:effectExtent l="0" t="0" r="0" b="0"/>
                <wp:wrapNone/>
                <wp:docPr id="39" name="Frame3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center"/>
        <w:rPr>
          <w:rFonts w:ascii="Times New Roman;sans-serif" w:hAnsi="Times New Roman;sans-serif"/>
          <w:b/>
          <w:color w:val="BF2115"/>
          <w:sz w:val="24"/>
        </w:rPr>
      </w:pPr>
      <w:r>
        <w:rPr>
          <w:rFonts w:ascii="Times New Roman;sans-serif" w:hAnsi="Times New Roman;sans-serif"/>
          <w:b/>
          <w:color w:val="BF2115"/>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 xml:space="preserve">Item 1. Legal Proceedings </w:t>
      </w:r>
    </w:p>
    <w:p>
      <w:pPr>
        <w:pStyle w:val="TextBody"/>
        <w:bidi w:val="0"/>
        <w:spacing w:lineRule="auto" w:line="288" w:before="180" w:after="283"/>
        <w:jc w:val="both"/>
        <w:rPr/>
      </w:pPr>
      <w:r>
        <w:rPr>
          <w:rFonts w:ascii="Times New Roman;sans-serif" w:hAnsi="Times New Roman;sans-serif"/>
          <w:b w:val="false"/>
          <w:color w:val="000000"/>
          <w:sz w:val="20"/>
        </w:rPr>
        <w:t xml:space="preserve">For a discussion of our “Legal Proceedings,” refer to </w:t>
      </w:r>
      <w:hyperlink w:anchor="i82047a1ba7b84538888910c468702195_49">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of our Consolidated Condensed Financial Statements located elsewhere in this Quarterly Report on Form 10-Q and Note 8 to our Consolidated Financial Statements included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Cautionary Statements Regarding Forward-Looking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and their negative forms are intended to identify forward-looking statements. These statements are made on the basis of management’s current views and assumptions regarding future events.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upon certain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our sensitivity to reductions in discretionary consumer spending as a result of downturns in the economy and other factors outside our control;</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projections of future results of operations or financial condition;</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expectations regarding our business and results of operations of our existing casino properties and prospects for future development;</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economic trends, inflation, trade tensions and related actions, such as the imposition of tariffs between the United States and other countries and the threat of any additional tariffs, and public health emergencies on our business and financial condition;</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expectations regarding trends that will affect our market and the gaming industry generally, including expansion of internet betting and gaming, and the impact of those trends on our business and results of operations;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comply with the covenants in the agreements governing our outstanding indebtedness and leases;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meet our projected debt service obligations, operating expenses, and maintenance capital expenditures;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expectations regarding availability of capital resources;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intention to pursue development opportunities and additional acquisitions and divestitures;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complete dispositions and divestitures and effectively reinvest the proceeds thereof;</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ability to identify suitable acquisition opportunities and realize growth and cost synergies from any future acquisitions;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regulation on our business and our ability to receive and maintain necessary approvals for our existing properties, future projects and the operation of our online sportsbook, online poker and iGaming applications;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effect of disruptions or corruption to our information technology and other systems and infrastructure;</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potential compromises of our information systems or unauthorized access to confidential information and customer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4165"/>
                <wp:effectExtent l="0" t="0" r="0" b="0"/>
                <wp:wrapNone/>
                <wp:docPr id="40" name="Frame3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 xml:space="preserve">the impact of the Data Incident and any other future cybersecurity breaches on our business, financial conditions and results of operations; </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factors impacting our ability to successfully operate our digital betting and iGaming platform and expand its user base;</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adapt to the very competitive environments in which we operate, including the online market;</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win or hold rates and liability management risks on our results of operations;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reliance on third parties for strategic relationships and essential services;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costs associated with investments in our online offerings and technological and strategic initiatives;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risk relating to fraud, theft and cheating;</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collect gaming receivables from our credit customers;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our substantial indebtedness and significant financial commitments, including our obligations under our lease arrangements;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restrictions and limitations in agreements governing our debt and leased properties could significantly affect our ability to operate our business and our liquidity;</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financial, operational, regulatory or other potential challenges that may arise as a result of leasing of a number of our properties;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governmental regulation on our business and the cost of complying or the impact of failing to comply with such regulations;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changes in gaming taxes and fees in jurisdictions in which we operate;</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risks relating to pending claims or future claims that may be brought against us;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changes in interest rates and capital and credit markets;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effect of seasonal fluctuations;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 xml:space="preserve">our particular sensitivity to energy and water prices; </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deterioration in our reputation or the reputation of our brands;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reliance on information technology, particularly for our digital business;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protect our intellectual property rights;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reliance on licenses to use the intellectual property of third parties and our ability to renew or extend our existing licenses;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effects of war, terrorist activity, acts of violence, natural disasters and other catastrophic events;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increased scrutiny and changing expectations regarding our environmental, social and governance practices and reporting;</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reliance on key personnel and the intense competition to attract and retain management and key employees in the gaming industry;</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work stoppages and other labor problems;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secure and retain performers and other entertainment offerings on acceptable terms; and</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other factors described in “Risk Factors” and “Management’s Discussion and Analysis of Financial Condition and Results of Operations” contained in this Quarterly Report on Form 10-Q, our most recent Annual Report on Form 10-K and any subsequent Quarterly Reports on Form 10-Q filed with the SEC.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reports issued by securities analysts contain projections, forecasts or opinions, those reports are not our responsibility and are not endorsed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4165"/>
                <wp:effectExtent l="0" t="0" r="0" b="0"/>
                <wp:wrapNone/>
                <wp:docPr id="41" name="Frame4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1A. Risk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risk factors can be found in “Part I, Item 1A. Risk Factors” included in the 2024 Annual Report. There have been no material changes to those risk factors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2. Unregistered Sales of Equity Securities and Use of Proceeds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2024, we announced that our Board of Directors authorized a $500 million common stock repurchase program (the “2024 Share Repurchase Program”). Under the 2024 Share Repurchase Program, we may, from time to time, repurchase shares of common stock on the open market (either with or without a 10b5-1 plan) or through privately negotiated transactions. The 2024 Share Repurchase Program has no minimum number of shares of common stock that we are required to repurchase, no time limit, and may be suspended or discontinued at any time without notice. All shares repurchased under the 2024 Share Repurchase Program will be immediately retired. There were no share repurchases made during the three months ended March 31, 2025. As of March 31, 2025, the remaining availability under the 2024 Share Repurchase Program was $450 million. Subsequently, during April 2025, the Company repurchased approximately 4.2 million shares of our common stock for a total cost of approximately $100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3. Defaults Upon Senior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4. Mine Safety Disclosures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5. 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180" w:after="283"/>
        <w:jc w:val="both"/>
        <w:rPr/>
      </w:pPr>
      <w:r>
        <w:rPr>
          <w:rFonts w:ascii="Times New Roman;sans-serif" w:hAnsi="Times New Roman;sans-serif"/>
          <w:b w:val="false"/>
          <w:color w:val="000000"/>
          <w:sz w:val="20"/>
        </w:rPr>
        <w:t xml:space="preserve">(c) </w:t>
      </w:r>
      <w:r>
        <w:rPr>
          <w:rFonts w:ascii="Times New Roman;sans-serif" w:hAnsi="Times New Roman;sans-serif"/>
          <w:b/>
          <w:color w:val="000000"/>
          <w:sz w:val="20"/>
        </w:rPr>
        <w:t>Rule 10b5-1 Trading Plans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none of our directors or officers (as defined in Rule 16a-1(f) of the Exchange Act) adopted, modified or terminated a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4165"/>
                <wp:effectExtent l="0" t="0" r="0" b="0"/>
                <wp:wrapNone/>
                <wp:docPr id="42" name="Frame4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0" w:after="0"/>
        <w:jc w:val="left"/>
        <w:rPr>
          <w:rFonts w:ascii="Times New Roman;sans-serif" w:hAnsi="Times New Roman;sans-serif"/>
          <w:b/>
          <w:color w:val="BF2115"/>
          <w:sz w:val="24"/>
        </w:rPr>
      </w:pPr>
      <w:r>
        <w:rPr>
          <w:rFonts w:ascii="Times New Roman;sans-serif" w:hAnsi="Times New Roman;sans-serif"/>
          <w:b/>
          <w:color w:val="BF2115"/>
          <w:sz w:val="24"/>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408"/>
        <w:gridCol w:w="2302"/>
        <w:gridCol w:w="2309"/>
        <w:gridCol w:w="109"/>
        <w:gridCol w:w="109"/>
        <w:gridCol w:w="109"/>
        <w:gridCol w:w="605"/>
        <w:gridCol w:w="476"/>
        <w:gridCol w:w="478"/>
        <w:gridCol w:w="109"/>
        <w:gridCol w:w="15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Method of Filing</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ans-serif" w:hAnsi="Times New Roman;sans-serif"/>
                  <w:b w:val="false"/>
                  <w:color w:val="0000FF"/>
                  <w:sz w:val="18"/>
                  <w:u w:val="single"/>
                </w:rPr>
                <w:t>Amended and Restated Certificate of Incorporation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June 16, 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ans-serif" w:hAnsi="Times New Roman;sans-serif"/>
                  <w:b w:val="false"/>
                  <w:color w:val="0000FF"/>
                  <w:sz w:val="18"/>
                  <w:u w:val="single"/>
                </w:rPr>
                <w:t>Amended and Restated Bylaws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August 1, 2022.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ans-serif" w:hAnsi="Times New Roman;sans-serif"/>
                  <w:b w:val="false"/>
                  <w:color w:val="0000FF"/>
                  <w:sz w:val="18"/>
                  <w:u w:val="single"/>
                </w:rPr>
                <w:t>Amendment to Amended and Restated Bylaws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March 20,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ans-serif" w:hAnsi="Times New Roman;sans-serif"/>
                  <w:b w:val="false"/>
                  <w:color w:val="0000FF"/>
                  <w:sz w:val="18"/>
                  <w:u w:val="single"/>
                </w:rPr>
                <w:t>Director Appointment and Nomination Agreement, dated March 17, 2025, by and between Caesars Entertainment, Inc., Carl C. Icahn, Jesse Lynn, Ted Papapostolou, Icahn Partners Master Fund LP, Icahn Offshore LP, Icahn Partners LP, Icahn Onshore LP, Icahn Capital LP, IPH GP LLC, Icahn Enterprises Holdings L.P., Icahn Enterprises G.P. Inc, Beckton Corp. and Nakatomi Trading,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March 20,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1cei-ex311.htm">
              <w:r>
                <w:rPr>
                  <w:rStyle w:val="InternetLink"/>
                  <w:rFonts w:ascii="Times New Roman;sans-serif" w:hAnsi="Times New Roman;sans-serif"/>
                  <w:b w:val="false"/>
                  <w:color w:val="0000FF"/>
                  <w:sz w:val="18"/>
                  <w:u w:val="single"/>
                </w:rPr>
                <w:t>Certification of Thomas R. Reeg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1cei-ex312.htm">
              <w:r>
                <w:rPr>
                  <w:rStyle w:val="InternetLink"/>
                  <w:rFonts w:ascii="Times New Roman;sans-serif" w:hAnsi="Times New Roman;sans-serif"/>
                  <w:b w:val="false"/>
                  <w:color w:val="0000FF"/>
                  <w:sz w:val="18"/>
                  <w:u w:val="single"/>
                </w:rPr>
                <w:t>Certification of Bret Yunker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1cei-ex321.htm">
              <w:r>
                <w:rPr>
                  <w:rStyle w:val="InternetLink"/>
                  <w:rFonts w:ascii="Times New Roman;sans-serif" w:hAnsi="Times New Roman;sans-serif"/>
                  <w:b w:val="false"/>
                  <w:color w:val="0000FF"/>
                  <w:sz w:val="18"/>
                  <w:u w:val="single"/>
                </w:rPr>
                <w:t>Certification of Thomas R. Reeg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1cei-ex322.htm">
              <w:r>
                <w:rPr>
                  <w:rStyle w:val="InternetLink"/>
                  <w:rFonts w:ascii="Times New Roman;sans-serif" w:hAnsi="Times New Roman;sans-serif"/>
                  <w:b w:val="false"/>
                  <w:color w:val="0000FF"/>
                  <w:sz w:val="18"/>
                  <w:u w:val="single"/>
                </w:rPr>
                <w:t>Certification of Bret Yunker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4165"/>
                <wp:effectExtent l="0" t="0" r="0" b="0"/>
                <wp:wrapNone/>
                <wp:docPr id="43" name="Frame4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before="360" w:after="283"/>
        <w:jc w:val="center"/>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tbl>
      <w:tblPr>
        <w:tblW w:w="6269" w:type="dxa"/>
        <w:jc w:val="left"/>
        <w:tblInd w:w="0" w:type="dxa"/>
        <w:tblLayout w:type="fixed"/>
        <w:tblCellMar>
          <w:top w:w="28" w:type="dxa"/>
          <w:left w:w="28" w:type="dxa"/>
          <w:bottom w:w="28" w:type="dxa"/>
          <w:right w:w="28" w:type="dxa"/>
        </w:tblCellMar>
      </w:tblPr>
      <w:tblGrid>
        <w:gridCol w:w="645"/>
        <w:gridCol w:w="568"/>
        <w:gridCol w:w="571"/>
        <w:gridCol w:w="1313"/>
        <w:gridCol w:w="1313"/>
        <w:gridCol w:w="185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CAESARS ENTERTAINMENT,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Thomas R. Reeg</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Bret Yunker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4165"/>
                <wp:effectExtent l="0" t="0" r="0" b="0"/>
                <wp:wrapNone/>
                <wp:docPr id="44" name="Frame4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2047a1ba7b84538888910c46870219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Thomas R. Reeg,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bl>
      <w:tblPr>
        <w:tblW w:w="2846" w:type="dxa"/>
        <w:jc w:val="left"/>
        <w:tblInd w:w="0" w:type="dxa"/>
        <w:tblLayout w:type="fixed"/>
        <w:tblCellMar>
          <w:top w:w="28" w:type="dxa"/>
          <w:left w:w="28" w:type="dxa"/>
          <w:bottom w:w="28" w:type="dxa"/>
          <w:right w:w="28" w:type="dxa"/>
        </w:tblCellMar>
      </w:tblPr>
      <w:tblGrid>
        <w:gridCol w:w="124"/>
        <w:gridCol w:w="109"/>
        <w:gridCol w:w="109"/>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R. Reeg</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Bret Yunker, certify that: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29, 2025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Bret Yunker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Thomas R. Reeg</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Thomas R. Reeg, Chief Executive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March 31, 2025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bl>
      <w:tblPr>
        <w:tblW w:w="2397" w:type="dxa"/>
        <w:jc w:val="left"/>
        <w:tblInd w:w="0" w:type="dxa"/>
        <w:tblLayout w:type="fixed"/>
        <w:tblCellMar>
          <w:top w:w="28" w:type="dxa"/>
          <w:left w:w="28" w:type="dxa"/>
          <w:bottom w:w="28" w:type="dxa"/>
          <w:right w:w="28" w:type="dxa"/>
        </w:tblCellMar>
      </w:tblPr>
      <w:tblGrid>
        <w:gridCol w:w="124"/>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Bret Yunker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Bret Yunker, Chief Financial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March 31, 2025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bl>
      <w:tblPr>
        <w:tblW w:w="2412" w:type="dxa"/>
        <w:jc w:val="left"/>
        <w:tblInd w:w="0" w:type="dxa"/>
        <w:tblLayout w:type="fixed"/>
        <w:tblCellMar>
          <w:top w:w="28" w:type="dxa"/>
          <w:left w:w="28" w:type="dxa"/>
          <w:bottom w:w="28" w:type="dxa"/>
          <w:right w:w="28" w:type="dxa"/>
        </w:tblCellMar>
      </w:tblPr>
      <w:tblGrid>
        <w:gridCol w:w="124"/>
        <w:gridCol w:w="109"/>
        <w:gridCol w:w="109"/>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0895/000119312523169019/d522744dex31.htm" TargetMode="External"/><Relationship Id="rId4" Type="http://schemas.openxmlformats.org/officeDocument/2006/relationships/hyperlink" Target="https://www.sec.gov/Archives/edgar/data/1590895/000119312522208845/d332982dex31.htm" TargetMode="External"/><Relationship Id="rId5" Type="http://schemas.openxmlformats.org/officeDocument/2006/relationships/hyperlink" Target="https://www.sec.gov/Archives/edgar/data/1590895/000159089525000104/ex31amendmenttoamendedandr.htm" TargetMode="External"/><Relationship Id="rId6" Type="http://schemas.openxmlformats.org/officeDocument/2006/relationships/hyperlink" Target="https://www.sec.gov/Archives/edgar/data/1590895/000159089525000104/ex101directorappointmentan.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21208</Words>
  <Characters>116110</Characters>
  <CharactersWithSpaces>135465</CharactersWithSpaces>
  <Paragraphs>2929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