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May 31, 1995.</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Current Report Pursuant to Section 13 or 15(d) of</w:t>
      </w:r>
    </w:p>
    <w:p>
      <w:pPr>
        <w:jc w:val="center"/>
        <w:ind w:right="229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Date of Report (Date of earliest event reported)</w:t>
      </w:r>
    </w:p>
    <w:p>
      <w:pPr>
        <w:jc w:val="center"/>
        <w:ind w:right="2199"/>
        <w:spacing w:after="0" w:line="238" w:lineRule="auto"/>
        <w:rPr>
          <w:sz w:val="20"/>
          <w:szCs w:val="20"/>
          <w:color w:val="auto"/>
        </w:rPr>
      </w:pPr>
      <w:r>
        <w:rPr>
          <w:rFonts w:ascii="Courier New" w:cs="Courier New" w:eastAsia="Courier New" w:hAnsi="Courier New"/>
          <w:sz w:val="18"/>
          <w:szCs w:val="18"/>
          <w:color w:val="auto"/>
        </w:rPr>
        <w:t>May 31, 1995</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The Promus Companies Incorporated</w:t>
      </w:r>
    </w:p>
    <w:p>
      <w:pPr>
        <w:jc w:val="center"/>
        <w:ind w:right="21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jc w:val="center"/>
              <w:spacing w:after="0"/>
              <w:rPr>
                <w:sz w:val="20"/>
                <w:szCs w:val="20"/>
                <w:color w:val="auto"/>
              </w:rPr>
            </w:pPr>
            <w:r>
              <w:rPr>
                <w:rFonts w:ascii="Courier New" w:cs="Courier New" w:eastAsia="Courier New" w:hAnsi="Courier New"/>
                <w:sz w:val="18"/>
                <w:szCs w:val="18"/>
                <w:color w:val="auto"/>
                <w:w w:val="97"/>
              </w:rPr>
              <w:t>Delaware</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1-10410</w:t>
            </w:r>
          </w:p>
        </w:tc>
        <w:tc>
          <w:tcPr>
            <w:tcW w:w="204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8"/>
              </w:rPr>
              <w:t>62-1411755</w:t>
            </w:r>
          </w:p>
        </w:tc>
      </w:tr>
      <w:tr>
        <w:trPr>
          <w:trHeight w:val="203"/>
        </w:trPr>
        <w:tc>
          <w:tcPr>
            <w:tcW w:w="2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(State or other</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(Commission</w:t>
            </w:r>
          </w:p>
        </w:tc>
        <w:tc>
          <w:tcPr>
            <w:tcW w:w="204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2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jurisdiction</w:t>
            </w: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File Number)</w:t>
            </w:r>
          </w:p>
        </w:tc>
        <w:tc>
          <w:tcPr>
            <w:tcW w:w="204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Identification)</w:t>
            </w:r>
          </w:p>
        </w:tc>
      </w:tr>
      <w:tr>
        <w:trPr>
          <w:trHeight w:val="203"/>
        </w:trPr>
        <w:tc>
          <w:tcPr>
            <w:tcW w:w="2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of incorporation)</w:t>
            </w:r>
          </w:p>
        </w:tc>
        <w:tc>
          <w:tcPr>
            <w:tcW w:w="20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608"/>
        </w:trPr>
        <w:tc>
          <w:tcPr>
            <w:tcW w:w="2700" w:type="dxa"/>
            <w:vAlign w:val="bottom"/>
          </w:tcPr>
          <w:p>
            <w:pPr>
              <w:jc w:val="center"/>
              <w:spacing w:after="0"/>
              <w:rPr>
                <w:sz w:val="20"/>
                <w:szCs w:val="20"/>
                <w:color w:val="auto"/>
              </w:rPr>
            </w:pPr>
            <w:r>
              <w:rPr>
                <w:rFonts w:ascii="Courier New" w:cs="Courier New" w:eastAsia="Courier New" w:hAnsi="Courier New"/>
                <w:sz w:val="18"/>
                <w:szCs w:val="18"/>
                <w:color w:val="auto"/>
                <w:w w:val="97"/>
              </w:rPr>
              <w:t>1023 Cherry Road</w:t>
            </w:r>
          </w:p>
        </w:tc>
        <w:tc>
          <w:tcPr>
            <w:tcW w:w="20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3"/>
        </w:trPr>
        <w:tc>
          <w:tcPr>
            <w:tcW w:w="2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Memphis, Tennessee</w:t>
            </w:r>
          </w:p>
        </w:tc>
        <w:tc>
          <w:tcPr>
            <w:tcW w:w="2000" w:type="dxa"/>
            <w:vAlign w:val="bottom"/>
          </w:tcPr>
          <w:p>
            <w:pPr>
              <w:spacing w:after="0"/>
              <w:rPr>
                <w:sz w:val="17"/>
                <w:szCs w:val="17"/>
                <w:color w:val="auto"/>
              </w:rPr>
            </w:pP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38117</w:t>
            </w:r>
          </w:p>
        </w:tc>
      </w:tr>
      <w:tr>
        <w:trPr>
          <w:trHeight w:val="203"/>
        </w:trPr>
        <w:tc>
          <w:tcPr>
            <w:tcW w:w="47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204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(901) 762- 8600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Not Applicable</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519" w:firstLine="1053"/>
        <w:spacing w:after="0" w:line="268" w:lineRule="auto"/>
        <w:rPr>
          <w:sz w:val="20"/>
          <w:szCs w:val="20"/>
          <w:color w:val="auto"/>
        </w:rPr>
      </w:pPr>
      <w:r>
        <w:rPr>
          <w:rFonts w:ascii="Courier New" w:cs="Courier New" w:eastAsia="Courier New" w:hAnsi="Courier New"/>
          <w:sz w:val="16"/>
          <w:szCs w:val="16"/>
          <w:color w:val="auto"/>
        </w:rPr>
        <w:t>On May 30, 1995, Embassy Suites, Inc. ("Embassy"), a wholly-owned subsidiary of The Promus Companies Incorporated, announced that it had further modified the terms of its consent solicitations regarding its</w:t>
      </w:r>
    </w:p>
    <w:p>
      <w:pPr>
        <w:spacing w:after="0" w:line="1"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8 3/4% Senior Subordinated Notes due 2000 and its 10 7/8% Senior Subordinated Notes due 2002 (collectively, the "Notes") (i) by increasing the amount to be paid to each holder of Notes who properly consents by the expiration date from $20.00 per $1,000 principal amount of Notes to $30.00 per $1,000 principal amount of Notes, and (ii) by extending the expiration date for the solicitation from May 30, 1995 to June 2, 1995 at 5:00 p.m., New York City Time, unless further extended. Embassy announced that the other terms of the consent solicitations had remained unchanged.</w:t>
      </w:r>
    </w:p>
    <w:p>
      <w:pPr>
        <w:spacing w:after="0" w:line="212" w:lineRule="exact"/>
        <w:rPr>
          <w:sz w:val="24"/>
          <w:szCs w:val="24"/>
          <w:color w:val="auto"/>
        </w:rPr>
      </w:pPr>
    </w:p>
    <w:p>
      <w:pPr>
        <w:ind w:right="2519" w:firstLine="1053"/>
        <w:spacing w:after="0" w:line="236" w:lineRule="auto"/>
        <w:rPr>
          <w:sz w:val="20"/>
          <w:szCs w:val="20"/>
          <w:color w:val="auto"/>
        </w:rPr>
      </w:pPr>
      <w:r>
        <w:rPr>
          <w:rFonts w:ascii="Courier New" w:cs="Courier New" w:eastAsia="Courier New" w:hAnsi="Courier New"/>
          <w:sz w:val="18"/>
          <w:szCs w:val="18"/>
          <w:color w:val="auto"/>
        </w:rPr>
        <w:t>The foregoing description is qualified in its entirety by the text of the press release dated May 30, 1995 which is filed as an exhibit hereto and incorporated by reference herein.</w:t>
      </w:r>
    </w:p>
    <w:p>
      <w:pPr>
        <w:spacing w:after="0" w:line="200" w:lineRule="exact"/>
        <w:rPr>
          <w:sz w:val="24"/>
          <w:szCs w:val="24"/>
          <w:color w:val="auto"/>
        </w:rPr>
      </w:pPr>
    </w:p>
    <w:p>
      <w:pPr>
        <w:spacing w:after="0" w:line="206"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580" w:hanging="519"/>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w:t>
      </w: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r>
        <w:rPr>
          <w:rFonts w:ascii="Courier New" w:cs="Courier New" w:eastAsia="Courier New" w:hAnsi="Courier New"/>
          <w:sz w:val="16"/>
          <w:szCs w:val="16"/>
          <w:color w:val="auto"/>
        </w:rPr>
        <w:t>Description</w:t>
      </w: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May 30, 1995, announcing</w:t>
      </w:r>
    </w:p>
    <w:p>
      <w:pPr>
        <w:sectPr>
          <w:pgSz w:w="11900" w:h="16838" w:orient="portrait"/>
          <w:cols w:equalWidth="0" w:num="1">
            <w:col w:w="10219"/>
          </w:cols>
          <w:pgMar w:left="240" w:top="649" w:right="1440" w:bottom="0" w:gutter="0" w:footer="0" w:header="0"/>
        </w:sectPr>
      </w:pPr>
    </w:p>
    <w:bookmarkStart w:id="1" w:name="page2"/>
    <w:bookmarkEnd w:id="1"/>
    <w:p>
      <w:pPr>
        <w:ind w:left="1960"/>
        <w:spacing w:after="0"/>
        <w:rPr>
          <w:sz w:val="20"/>
          <w:szCs w:val="20"/>
          <w:color w:val="auto"/>
        </w:rPr>
      </w:pPr>
      <w:r>
        <w:rPr>
          <w:rFonts w:ascii="Courier New" w:cs="Courier New" w:eastAsia="Courier New" w:hAnsi="Courier New"/>
          <w:sz w:val="18"/>
          <w:szCs w:val="18"/>
          <w:color w:val="auto"/>
        </w:rPr>
        <w:t>the modification of the terms of Embassy's</w:t>
      </w:r>
    </w:p>
    <w:p>
      <w:pPr>
        <w:ind w:left="1960"/>
        <w:spacing w:after="0" w:line="238" w:lineRule="auto"/>
        <w:rPr>
          <w:sz w:val="20"/>
          <w:szCs w:val="20"/>
          <w:color w:val="auto"/>
        </w:rPr>
      </w:pPr>
      <w:r>
        <w:rPr>
          <w:rFonts w:ascii="Courier New" w:cs="Courier New" w:eastAsia="Courier New" w:hAnsi="Courier New"/>
          <w:sz w:val="18"/>
          <w:szCs w:val="18"/>
          <w:color w:val="auto"/>
        </w:rPr>
        <w:t>consent solicitations with respect to its</w:t>
      </w:r>
    </w:p>
    <w:p>
      <w:pPr>
        <w:spacing w:after="0" w:line="5" w:lineRule="exact"/>
        <w:rPr>
          <w:sz w:val="20"/>
          <w:szCs w:val="20"/>
          <w:color w:val="auto"/>
        </w:rPr>
      </w:pPr>
    </w:p>
    <w:p>
      <w:pPr>
        <w:ind w:left="1960" w:right="2099"/>
        <w:spacing w:after="0" w:line="290" w:lineRule="auto"/>
        <w:rPr>
          <w:sz w:val="20"/>
          <w:szCs w:val="20"/>
          <w:color w:val="auto"/>
        </w:rPr>
      </w:pPr>
      <w:r>
        <w:rPr>
          <w:rFonts w:ascii="Courier New" w:cs="Courier New" w:eastAsia="Courier New" w:hAnsi="Courier New"/>
          <w:sz w:val="16"/>
          <w:szCs w:val="16"/>
          <w:color w:val="auto"/>
        </w:rPr>
        <w:t>8 3/4% Senior Subordinated Notes due 2000 and its 10 7/8% Senior Subordinated Notes due 2002.</w:t>
      </w:r>
    </w:p>
    <w:p>
      <w:pPr>
        <w:sectPr>
          <w:pgSz w:w="11900" w:h="16838" w:orient="portrait"/>
          <w:cols w:equalWidth="0" w:num="1">
            <w:col w:w="9019"/>
          </w:cols>
          <w:pgMar w:left="14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E.O. ROBINSON, JR.</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E.O. Robinson, Jr.</w:t>
      </w:r>
    </w:p>
    <w:p>
      <w:pPr>
        <w:ind w:left="2640"/>
        <w:spacing w:after="0" w:line="237" w:lineRule="auto"/>
        <w:rPr>
          <w:sz w:val="20"/>
          <w:szCs w:val="20"/>
          <w:color w:val="auto"/>
        </w:rPr>
      </w:pPr>
      <w:r>
        <w:rPr>
          <w:rFonts w:ascii="Courier New" w:cs="Courier New" w:eastAsia="Courier New" w:hAnsi="Courier New"/>
          <w:sz w:val="18"/>
          <w:szCs w:val="18"/>
          <w:color w:val="auto"/>
        </w:rPr>
        <w:t>Senior Vice President, General Counsel</w:t>
      </w:r>
    </w:p>
    <w:p>
      <w:pPr>
        <w:ind w:left="3160"/>
        <w:spacing w:after="0" w:line="238" w:lineRule="auto"/>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31, 1995</w:t>
      </w:r>
    </w:p>
    <w:p>
      <w:pPr>
        <w:sectPr>
          <w:pgSz w:w="11900" w:h="16838" w:orient="portrait"/>
          <w:cols w:equalWidth="0" w:num="1">
            <w:col w:w="10219"/>
          </w:cols>
          <w:pgMar w:left="240" w:top="919" w:right="1440" w:bottom="1440" w:gutter="0" w:footer="0" w:header="0"/>
        </w:sectPr>
      </w:pPr>
    </w:p>
    <w:bookmarkStart w:id="3" w:name="page4"/>
    <w:bookmarkEnd w:id="3"/>
    <w:p>
      <w:pPr>
        <w:ind w:left="20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Exhibit</w:t>
      </w:r>
    </w:p>
    <w:p>
      <w:pPr>
        <w:ind w:left="380"/>
        <w:spacing w:after="0" w:line="238" w:lineRule="auto"/>
        <w:tabs>
          <w:tab w:leader="none" w:pos="19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ind w:left="380"/>
        <w:spacing w:after="0"/>
        <w:tabs>
          <w:tab w:leader="none" w:pos="1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0"/>
          <w:szCs w:val="20"/>
          <w:color w:val="auto"/>
        </w:rPr>
      </w:pPr>
    </w:p>
    <w:p>
      <w:pPr>
        <w:ind w:left="1960" w:right="2319" w:hanging="1579"/>
        <w:spacing w:after="0" w:line="268" w:lineRule="auto"/>
        <w:tabs>
          <w:tab w:leader="none" w:pos="1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May 30, 1995, announcing the modification of the terms of Embassy's consent solicitations with respect to its</w:t>
      </w:r>
    </w:p>
    <w:p>
      <w:pPr>
        <w:spacing w:after="0" w:line="1" w:lineRule="exact"/>
        <w:rPr>
          <w:sz w:val="20"/>
          <w:szCs w:val="20"/>
          <w:color w:val="auto"/>
        </w:rPr>
      </w:pPr>
    </w:p>
    <w:p>
      <w:pPr>
        <w:ind w:left="1960" w:right="2099"/>
        <w:spacing w:after="0" w:line="290" w:lineRule="auto"/>
        <w:rPr>
          <w:sz w:val="20"/>
          <w:szCs w:val="20"/>
          <w:color w:val="auto"/>
        </w:rPr>
      </w:pPr>
      <w:r>
        <w:rPr>
          <w:rFonts w:ascii="Courier New" w:cs="Courier New" w:eastAsia="Courier New" w:hAnsi="Courier New"/>
          <w:sz w:val="16"/>
          <w:szCs w:val="16"/>
          <w:color w:val="auto"/>
        </w:rPr>
        <w:t>8 3/4% Senior Subordinated Notes due 2000 and its 10 7/8% Senior Subordinated Notes due 2002.</w:t>
      </w:r>
    </w:p>
    <w:p>
      <w:pPr>
        <w:sectPr>
          <w:pgSz w:w="11900" w:h="16838" w:orient="portrait"/>
          <w:cols w:equalWidth="0" w:num="1">
            <w:col w:w="9019"/>
          </w:cols>
          <w:pgMar w:left="14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Ralph Berry, The Promus Companies</w:t>
      </w:r>
    </w:p>
    <w:p>
      <w:pPr>
        <w:spacing w:after="0"/>
        <w:tabs>
          <w:tab w:leader="none" w:pos="6620" w:val="left"/>
        </w:tabs>
        <w:rPr>
          <w:sz w:val="20"/>
          <w:szCs w:val="20"/>
          <w:color w:val="auto"/>
        </w:rPr>
      </w:pPr>
      <w:r>
        <w:rPr>
          <w:rFonts w:ascii="Courier New" w:cs="Courier New" w:eastAsia="Courier New" w:hAnsi="Courier New"/>
          <w:sz w:val="18"/>
          <w:szCs w:val="18"/>
          <w:color w:val="auto"/>
        </w:rPr>
        <w:t>(901) 762-8629</w:t>
      </w:r>
      <w:r>
        <w:rPr>
          <w:sz w:val="20"/>
          <w:szCs w:val="20"/>
          <w:color w:val="auto"/>
        </w:rPr>
        <w:tab/>
      </w:r>
      <w:r>
        <w:rPr>
          <w:rFonts w:ascii="Courier New" w:cs="Courier New" w:eastAsia="Courier New" w:hAnsi="Courier New"/>
          <w:sz w:val="16"/>
          <w:szCs w:val="16"/>
          <w:color w:val="auto"/>
        </w:rPr>
        <w:t>EXHIBIT 99.1</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EMBASSY SUITES, INC. TO INCREASE CONSENT PAYMENTS</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AND TO EXTEND ITS CONSENT SOLICITATION REGARDING</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800"/>
        <w:spacing w:after="0" w:line="238" w:lineRule="auto"/>
        <w:rPr>
          <w:sz w:val="20"/>
          <w:szCs w:val="20"/>
          <w:color w:val="auto"/>
        </w:rPr>
      </w:pPr>
      <w:r>
        <w:rPr>
          <w:rFonts w:ascii="Courier New" w:cs="Courier New" w:eastAsia="Courier New" w:hAnsi="Courier New"/>
          <w:sz w:val="18"/>
          <w:szCs w:val="18"/>
          <w:color w:val="auto"/>
        </w:rPr>
        <w:t>8 3/4% SENIOR SUBORDINATED NOTES DUE 2000 AND</w:t>
      </w:r>
    </w:p>
    <w:p>
      <w:pPr>
        <w:ind w:left="1800"/>
        <w:spacing w:after="0"/>
        <w:rPr>
          <w:sz w:val="20"/>
          <w:szCs w:val="20"/>
          <w:color w:val="auto"/>
        </w:rPr>
      </w:pPr>
      <w:r>
        <w:rPr>
          <w:rFonts w:ascii="Courier New" w:cs="Courier New" w:eastAsia="Courier New" w:hAnsi="Courier New"/>
          <w:sz w:val="18"/>
          <w:szCs w:val="18"/>
          <w:color w:val="auto"/>
        </w:rPr>
        <w:t>------------------------------------------</w:t>
      </w:r>
    </w:p>
    <w:p>
      <w:pPr>
        <w:ind w:left="1900"/>
        <w:spacing w:after="0" w:line="237" w:lineRule="auto"/>
        <w:rPr>
          <w:sz w:val="20"/>
          <w:szCs w:val="20"/>
          <w:color w:val="auto"/>
        </w:rPr>
      </w:pPr>
      <w:r>
        <w:rPr>
          <w:rFonts w:ascii="Courier New" w:cs="Courier New" w:eastAsia="Courier New" w:hAnsi="Courier New"/>
          <w:sz w:val="18"/>
          <w:szCs w:val="18"/>
          <w:color w:val="auto"/>
        </w:rPr>
        <w:t>10 7/8% SENIOR SUBORDINATED NOTES DUE 2002</w:t>
      </w:r>
    </w:p>
    <w:p>
      <w:pPr>
        <w:ind w:left="19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MEMPHIS, May 30, 1995 -- Embassy Suites, Inc., a wholly owned subsidiary of The Promus Companies Incorporated (NYSE:PRI), today announced that it is further modifying the terms of its consent solicitations regarding its 8 3/4% Senior Subordinated Notes due 2000 and 10 7/8% Senior Subordinated Notes due 2002 and is extending the expiration date for the solicitation from May 30, 1995 to June 2, 1995 at 5:00 p.m., New York City time, unless further extended.</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amount to be paid to each holder of Notes who properly consents by the expiration date has been changed from $20.00 per $1,000 principal amount of Notes to $30.00 per $1,000 principal amount of Notes. The other terms of the consent solicitations remain unchanged.</w:t>
      </w:r>
    </w:p>
    <w:p>
      <w:pPr>
        <w:spacing w:after="0" w:line="207"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Holders of Notes who have previously submitted proper consents will be deemed to have consented and will receive the increased consent fee. Other holders wishing to consent should complete and return to the Consent Agent the forms of consent originally circulated. The consent solicitations are with respect to proposed indenture amendments to permit Embassy to consummate its previously-announced spin-off of Promus Hotel Corporation.</w:t>
      </w:r>
    </w:p>
    <w:p>
      <w:pPr>
        <w:spacing w:after="0" w:line="186" w:lineRule="exact"/>
        <w:rPr>
          <w:sz w:val="20"/>
          <w:szCs w:val="20"/>
          <w:color w:val="auto"/>
        </w:rPr>
      </w:pPr>
    </w:p>
    <w:p>
      <w:pPr>
        <w:ind w:right="2519" w:firstLine="527"/>
        <w:spacing w:after="0" w:line="279" w:lineRule="auto"/>
        <w:rPr>
          <w:sz w:val="20"/>
          <w:szCs w:val="20"/>
          <w:color w:val="auto"/>
        </w:rPr>
      </w:pPr>
      <w:r>
        <w:rPr>
          <w:rFonts w:ascii="Courier New" w:cs="Courier New" w:eastAsia="Courier New" w:hAnsi="Courier New"/>
          <w:sz w:val="16"/>
          <w:szCs w:val="16"/>
          <w:color w:val="auto"/>
        </w:rPr>
        <w:t>Additional information regarding the consent solicitations may be obtained from the Solicitation Agent, BT Securities Corporation (212-775-4635) or from the Information Agent, D.F. King &amp; Co. (800-769-4414).</w:t>
      </w:r>
    </w:p>
    <w:p>
      <w:pPr>
        <w:spacing w:after="0" w:line="37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2019-12-13T18:54:41Z</dcterms:created>
  <dcterms:modified xsi:type="dcterms:W3CDTF">2019-12-13T18:54:41Z</dcterms:modified>
</cp:coreProperties>
</file>