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400" w:right="70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8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40"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4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Common Stock, $.00001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86"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81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80"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42"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April 27, 2023 was 215,204,165.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sz w:val="20"/>
                <w:szCs w:val="20"/>
                <w:color w:val="auto"/>
              </w:rPr>
            </w:pPr>
            <w:r>
              <w:rPr>
                <w:rFonts w:ascii="Arial" w:cs="Arial" w:eastAsia="Arial" w:hAnsi="Arial"/>
                <w:sz w:val="18"/>
                <w:szCs w:val="18"/>
                <w:b w:val="1"/>
                <w:bCs w:val="1"/>
                <w:color w:val="0000FF"/>
              </w:rPr>
              <w:t>PART I. FINANCIAL INFORMATION</w:t>
            </w:r>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sz w:val="20"/>
                <w:szCs w:val="20"/>
                <w:color w:val="auto"/>
              </w:rPr>
            </w:pPr>
            <w:r>
              <w:rPr>
                <w:rFonts w:ascii="Arial" w:cs="Arial" w:eastAsia="Arial" w:hAnsi="Arial"/>
                <w:sz w:val="18"/>
                <w:szCs w:val="18"/>
                <w:color w:val="0000FF"/>
                <w:w w:val="79"/>
              </w:rPr>
              <w:t>2</w:t>
            </w: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1.</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Unaudited Financial Statements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2</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Arial" w:cs="Arial" w:eastAsia="Arial" w:hAnsi="Arial"/>
                <w:sz w:val="18"/>
                <w:szCs w:val="18"/>
                <w:color w:val="0000FF"/>
              </w:rPr>
              <w:t>Consolidated Condensed Balance Sheets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Arial" w:cs="Arial" w:eastAsia="Arial" w:hAnsi="Arial"/>
                <w:sz w:val="18"/>
                <w:szCs w:val="18"/>
                <w:color w:val="0000FF"/>
              </w:rPr>
              <w:t>Consolidated Condensed Statements of Operations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3</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sz w:val="20"/>
                <w:szCs w:val="20"/>
                <w:color w:val="auto"/>
              </w:rPr>
            </w:pPr>
            <w:r>
              <w:rPr>
                <w:rFonts w:ascii="Arial" w:cs="Arial" w:eastAsia="Arial" w:hAnsi="Arial"/>
                <w:sz w:val="18"/>
                <w:szCs w:val="18"/>
                <w:color w:val="0000FF"/>
                <w:w w:val="89"/>
              </w:rPr>
              <w:t>Consolidated Condensed Statements of Comprehensive Income (Loss)</w:t>
            </w: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4</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Arial" w:cs="Arial" w:eastAsia="Arial" w:hAnsi="Arial"/>
                <w:sz w:val="18"/>
                <w:szCs w:val="18"/>
                <w:color w:val="0000FF"/>
              </w:rPr>
              <w:t>Consolidated Condensed Statements of Stockholders’ Equity</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5</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Arial" w:cs="Arial" w:eastAsia="Arial" w:hAnsi="Arial"/>
                <w:sz w:val="18"/>
                <w:szCs w:val="18"/>
                <w:color w:val="0000FF"/>
              </w:rPr>
              <w:t>Consolidated Condensed Statements of Cash Flows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88"/>
              </w:rPr>
              <w:t>Notes to Consolidated Condensed Financial Statements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Arial" w:cs="Arial" w:eastAsia="Arial" w:hAnsi="Arial"/>
                <w:sz w:val="18"/>
                <w:szCs w:val="18"/>
                <w:color w:val="0000FF"/>
                <w:w w:val="79"/>
              </w:rPr>
              <w:t>7</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FF"/>
              </w:rPr>
              <w:t>Item 2.</w:t>
            </w:r>
          </w:p>
        </w:tc>
        <w:tc>
          <w:tcPr>
            <w:tcW w:w="6460" w:type="dxa"/>
            <w:vAlign w:val="bottom"/>
            <w:tcBorders>
              <w:bottom w:val="single" w:sz="8" w:color="0000FF"/>
            </w:tcBorders>
            <w:gridSpan w:val="19"/>
            <w:shd w:val="clear" w:color="auto" w:fill="CCEEFF"/>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26</w:t>
            </w:r>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892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00" w:type="dxa"/>
            <w:vAlign w:val="bottom"/>
          </w:tcPr>
          <w:p>
            <w:pPr>
              <w:jc w:val="center"/>
              <w:spacing w:after="0"/>
              <w:rPr>
                <w:sz w:val="20"/>
                <w:szCs w:val="20"/>
                <w:color w:val="auto"/>
              </w:rPr>
            </w:pPr>
            <w:r>
              <w:rPr>
                <w:rFonts w:ascii="Arial" w:cs="Arial" w:eastAsia="Arial" w:hAnsi="Arial"/>
                <w:sz w:val="18"/>
                <w:szCs w:val="18"/>
                <w:color w:val="0000FF"/>
                <w:w w:val="89"/>
              </w:rPr>
              <w:t>39</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4.</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Controls and Procedures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40</w:t>
            </w:r>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sz w:val="20"/>
                <w:szCs w:val="20"/>
                <w:color w:val="auto"/>
              </w:rPr>
            </w:pPr>
            <w:r>
              <w:rPr>
                <w:rFonts w:ascii="Arial" w:cs="Arial" w:eastAsia="Arial" w:hAnsi="Arial"/>
                <w:sz w:val="18"/>
                <w:szCs w:val="18"/>
                <w:b w:val="1"/>
                <w:bCs w:val="1"/>
                <w:color w:val="0000FF"/>
              </w:rPr>
              <w:t>PART II. OTHER INFORMATION</w:t>
            </w:r>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41</w:t>
            </w: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1.</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Legal Proceedings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41</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1A.</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Risk Factors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42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2.</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42</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3.</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42</w:t>
            </w:r>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0000FF"/>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Arial" w:cs="Arial" w:eastAsia="Arial" w:hAnsi="Arial"/>
                <w:sz w:val="18"/>
                <w:szCs w:val="18"/>
                <w:color w:val="0000FF"/>
              </w:rPr>
              <w:t>Mine Safety Disclosures</w:t>
            </w:r>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0000FF"/>
                <w:w w:val="89"/>
              </w:rPr>
              <w:t>42</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5.</w:t>
            </w:r>
          </w:p>
        </w:tc>
        <w:tc>
          <w:tcPr>
            <w:tcW w:w="1320" w:type="dxa"/>
            <w:vAlign w:val="bottom"/>
            <w:tcBorders>
              <w:bottom w:val="single" w:sz="8" w:color="0000FF"/>
            </w:tcBorders>
            <w:gridSpan w:val="4"/>
            <w:shd w:val="clear" w:color="auto" w:fill="CCEEFF"/>
          </w:tcPr>
          <w:p>
            <w:pPr>
              <w:spacing w:after="0" w:line="202" w:lineRule="exact"/>
              <w:rPr>
                <w:sz w:val="20"/>
                <w:szCs w:val="20"/>
                <w:color w:val="auto"/>
              </w:rPr>
            </w:pPr>
            <w:r>
              <w:rPr>
                <w:rFonts w:ascii="Arial" w:cs="Arial" w:eastAsia="Arial" w:hAnsi="Arial"/>
                <w:sz w:val="18"/>
                <w:szCs w:val="18"/>
                <w:color w:val="0000FF"/>
                <w:w w:val="92"/>
              </w:rPr>
              <w:t>Other Information</w:t>
            </w:r>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42</w:t>
            </w: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0000FF"/>
              </w:rPr>
              <w:t>Item 6.</w:t>
            </w:r>
          </w:p>
        </w:tc>
        <w:tc>
          <w:tcPr>
            <w:tcW w:w="8920" w:type="dxa"/>
            <w:vAlign w:val="bottom"/>
            <w:gridSpan w:val="20"/>
          </w:tcPr>
          <w:p>
            <w:pPr>
              <w:spacing w:after="0" w:line="189" w:lineRule="exact"/>
              <w:rPr>
                <w:sz w:val="20"/>
                <w:szCs w:val="20"/>
                <w:color w:val="auto"/>
              </w:rPr>
            </w:pPr>
            <w:r>
              <w:rPr>
                <w:rFonts w:ascii="Arial" w:cs="Arial" w:eastAsia="Arial" w:hAnsi="Arial"/>
                <w:sz w:val="18"/>
                <w:szCs w:val="18"/>
                <w:color w:val="0000FF"/>
              </w:rPr>
              <w:t>Exhibits</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0000FF"/>
                <w:w w:val="89"/>
              </w:rPr>
              <w:t>43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b w:val="1"/>
                <w:bCs w:val="1"/>
                <w:color w:val="0000FF"/>
                <w:w w:val="94"/>
              </w:rPr>
              <w:t>Signatures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44</w:t>
            </w:r>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7"/>
                <w:szCs w:val="17"/>
                <w:color w:val="auto"/>
              </w:rPr>
            </w:pPr>
          </w:p>
        </w:tc>
        <w:tc>
          <w:tcPr>
            <w:tcW w:w="1640" w:type="dxa"/>
            <w:vAlign w:val="bottom"/>
            <w:gridSpan w:val="2"/>
          </w:tcPr>
          <w:p>
            <w:pPr>
              <w:ind w:left="120"/>
              <w:spacing w:after="0" w:line="178" w:lineRule="exact"/>
              <w:rPr>
                <w:sz w:val="20"/>
                <w:szCs w:val="20"/>
                <w:color w:val="auto"/>
              </w:rPr>
            </w:pPr>
            <w:r>
              <w:rPr>
                <w:rFonts w:ascii="Arial" w:cs="Arial" w:eastAsia="Arial" w:hAnsi="Arial"/>
                <w:sz w:val="16"/>
                <w:szCs w:val="16"/>
                <w:b w:val="1"/>
                <w:bCs w:val="1"/>
                <w:color w:val="auto"/>
              </w:rPr>
              <w:t>March 31, 2023</w:t>
            </w:r>
          </w:p>
        </w:tc>
        <w:tc>
          <w:tcPr>
            <w:tcW w:w="160" w:type="dxa"/>
            <w:vAlign w:val="bottom"/>
          </w:tcPr>
          <w:p>
            <w:pPr>
              <w:spacing w:after="0"/>
              <w:rPr>
                <w:sz w:val="17"/>
                <w:szCs w:val="17"/>
                <w:color w:val="auto"/>
              </w:rPr>
            </w:pPr>
          </w:p>
        </w:tc>
        <w:tc>
          <w:tcPr>
            <w:tcW w:w="1600" w:type="dxa"/>
            <w:vAlign w:val="bottom"/>
          </w:tcPr>
          <w:p>
            <w:pPr>
              <w:jc w:val="right"/>
              <w:ind w:right="139"/>
              <w:spacing w:after="0" w:line="178" w:lineRule="exact"/>
              <w:rPr>
                <w:sz w:val="20"/>
                <w:szCs w:val="20"/>
                <w:color w:val="auto"/>
              </w:rPr>
            </w:pPr>
            <w:r>
              <w:rPr>
                <w:rFonts w:ascii="Arial" w:cs="Arial" w:eastAsia="Arial" w:hAnsi="Arial"/>
                <w:sz w:val="16"/>
                <w:szCs w:val="16"/>
                <w:b w:val="1"/>
                <w:bCs w:val="1"/>
                <w:color w:val="auto"/>
                <w:w w:val="94"/>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w w:val="93"/>
              </w:rPr>
              <w:t>ASSETS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2,102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and advances to unconsolidated affiliates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14,598</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Intangible assets other than goodwill</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4,714</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r>
      <w:tr>
        <w:trPr>
          <w:trHeight w:val="212"/>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4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12,648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12,610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12,659</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07"/>
        </w:trPr>
        <w:tc>
          <w:tcPr>
            <w:tcW w:w="20" w:type="dxa"/>
            <w:vAlign w:val="bottom"/>
          </w:tcPr>
          <w:p>
            <w:pPr>
              <w:spacing w:after="0"/>
              <w:rPr>
                <w:sz w:val="17"/>
                <w:szCs w:val="17"/>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29,776</w:t>
            </w: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 w:name="page4"/>
    <w:bookmarkEnd w:id="3"/>
    <w:p>
      <w:pPr>
        <w:ind w:left="4480"/>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costs,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for income taxes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from continuing operations, net of income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Net (income) loss attributable to noncontrolling interests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loss per share - basic and diluted: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Basic loss per share from continuing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440"/>
              <w:spacing w:after="0"/>
              <w:rPr>
                <w:sz w:val="20"/>
                <w:szCs w:val="20"/>
                <w:color w:val="auto"/>
              </w:rPr>
            </w:pPr>
            <w:r>
              <w:rPr>
                <w:rFonts w:ascii="Arial" w:cs="Arial" w:eastAsia="Arial" w:hAnsi="Arial"/>
                <w:sz w:val="16"/>
                <w:szCs w:val="16"/>
                <w:color w:val="auto"/>
              </w:rPr>
              <w:t>Basic loss per share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continuing operations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60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Diluted loss per share</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Weighted average basic shares outstanding</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6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diluted shares outstanding</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Comprehensive loss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6"/>
                <w:szCs w:val="16"/>
                <w:color w:val="auto"/>
              </w:rPr>
              <w:t>Comprehensive loss attributable to Caesars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w w:val="98"/>
              </w:rPr>
              <w:t>Caesars Stockholders’ Equity</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2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Preferred Stock</w:t>
            </w:r>
          </w:p>
        </w:tc>
        <w:tc>
          <w:tcPr>
            <w:tcW w:w="144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Treasury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144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Noncontrolling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720" w:type="dxa"/>
            <w:vAlign w:val="bottom"/>
            <w:gridSpan w:val="3"/>
            <w:vMerge w:val="continue"/>
          </w:tcPr>
          <w:p>
            <w:pPr>
              <w:spacing w:after="0"/>
              <w:rPr>
                <w:sz w:val="14"/>
                <w:szCs w:val="14"/>
                <w:color w:val="auto"/>
              </w:rPr>
            </w:pPr>
          </w:p>
        </w:tc>
        <w:tc>
          <w:tcPr>
            <w:tcW w:w="108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8"/>
              </w:rPr>
              <w:t>(Accumulated</w:t>
            </w:r>
          </w:p>
        </w:tc>
        <w:tc>
          <w:tcPr>
            <w:tcW w:w="124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Amount</w:t>
            </w:r>
          </w:p>
        </w:tc>
        <w:tc>
          <w:tcPr>
            <w:tcW w:w="116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720" w:type="dxa"/>
            <w:vAlign w:val="bottom"/>
            <w:gridSpan w:val="3"/>
          </w:tcPr>
          <w:p>
            <w:pPr>
              <w:ind w:left="60"/>
              <w:spacing w:after="0" w:line="142"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5"/>
              </w:rPr>
              <w:t>Deficit)</w:t>
            </w:r>
          </w:p>
        </w:tc>
        <w:tc>
          <w:tcPr>
            <w:tcW w:w="1240" w:type="dxa"/>
            <w:vAlign w:val="bottom"/>
            <w:gridSpan w:val="3"/>
          </w:tcPr>
          <w:p>
            <w:pPr>
              <w:jc w:val="center"/>
              <w:ind w:right="60"/>
              <w:spacing w:after="0" w:line="142" w:lineRule="exact"/>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Interests</w:t>
            </w:r>
          </w:p>
        </w:tc>
        <w:tc>
          <w:tcPr>
            <w:tcW w:w="180" w:type="dxa"/>
            <w:vAlign w:val="bottom"/>
          </w:tcPr>
          <w:p>
            <w:pPr>
              <w:spacing w:after="0"/>
              <w:rPr>
                <w:sz w:val="14"/>
                <w:szCs w:val="14"/>
                <w:color w:val="auto"/>
              </w:rPr>
            </w:pPr>
          </w:p>
        </w:tc>
        <w:tc>
          <w:tcPr>
            <w:tcW w:w="8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6,877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color w:val="auto"/>
                <w:w w:val="97"/>
              </w:rPr>
              <w:t>Stock-based compensation</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color w:val="auto"/>
                <w:w w:val="98"/>
              </w:rPr>
              <w:t>Other comprehensive loss,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tcPr>
          <w:p>
            <w:pPr>
              <w:ind w:left="380"/>
              <w:spacing w:after="0"/>
              <w:rPr>
                <w:sz w:val="20"/>
                <w:szCs w:val="20"/>
                <w:color w:val="auto"/>
              </w:rPr>
            </w:pPr>
            <w:r>
              <w:rPr>
                <w:rFonts w:ascii="Arial" w:cs="Arial" w:eastAsia="Arial" w:hAnsi="Arial"/>
                <w:sz w:val="16"/>
                <w:szCs w:val="16"/>
                <w:color w:val="auto"/>
              </w:rPr>
              <w:t>net of tax</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withheld related to</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net share settlement of</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stock awards</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00" w:type="dxa"/>
            <w:vAlign w:val="bottom"/>
            <w:gridSpan w:val="2"/>
          </w:tcPr>
          <w:p>
            <w:pPr>
              <w:spacing w:after="0" w:line="183" w:lineRule="exact"/>
              <w:rPr>
                <w:sz w:val="20"/>
                <w:szCs w:val="20"/>
                <w:color w:val="auto"/>
              </w:rPr>
            </w:pPr>
            <w:r>
              <w:rPr>
                <w:rFonts w:ascii="Arial" w:cs="Arial" w:eastAsia="Arial" w:hAnsi="Arial"/>
                <w:sz w:val="16"/>
                <w:szCs w:val="16"/>
                <w:color w:val="auto"/>
              </w:rPr>
              <w:t>Balance, March 31, 2022</w:t>
            </w:r>
          </w:p>
        </w:tc>
        <w:tc>
          <w:tcPr>
            <w:tcW w:w="700" w:type="dxa"/>
            <w:vAlign w:val="bottom"/>
            <w:gridSpan w:val="2"/>
          </w:tcPr>
          <w:p>
            <w:pPr>
              <w:ind w:left="380"/>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460" w:type="dxa"/>
            <w:vAlign w:val="bottom"/>
            <w:gridSpan w:val="2"/>
          </w:tcPr>
          <w:p>
            <w:pPr>
              <w:ind w:left="160"/>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214</w:t>
            </w:r>
          </w:p>
        </w:tc>
        <w:tc>
          <w:tcPr>
            <w:tcW w:w="80" w:type="dxa"/>
            <w:vAlign w:val="bottom"/>
          </w:tcPr>
          <w:p>
            <w:pPr>
              <w:spacing w:after="0"/>
              <w:rPr>
                <w:sz w:val="15"/>
                <w:szCs w:val="15"/>
                <w:color w:val="auto"/>
              </w:rPr>
            </w:pPr>
          </w:p>
        </w:tc>
        <w:tc>
          <w:tcPr>
            <w:tcW w:w="20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540" w:type="dxa"/>
            <w:vAlign w:val="bottom"/>
            <w:gridSpan w:val="2"/>
          </w:tcPr>
          <w:p>
            <w:pPr>
              <w:ind w:left="220"/>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line="183" w:lineRule="exact"/>
              <w:rPr>
                <w:sz w:val="20"/>
                <w:szCs w:val="20"/>
                <w:color w:val="auto"/>
              </w:rPr>
            </w:pPr>
            <w:r>
              <w:rPr>
                <w:rFonts w:ascii="Arial" w:cs="Arial" w:eastAsia="Arial" w:hAnsi="Arial"/>
                <w:sz w:val="16"/>
                <w:szCs w:val="16"/>
                <w:color w:val="auto"/>
                <w:w w:val="99"/>
              </w:rPr>
              <w:t>6,882</w:t>
            </w:r>
          </w:p>
        </w:tc>
        <w:tc>
          <w:tcPr>
            <w:tcW w:w="80" w:type="dxa"/>
            <w:vAlign w:val="bottom"/>
          </w:tcPr>
          <w:p>
            <w:pPr>
              <w:spacing w:after="0"/>
              <w:rPr>
                <w:sz w:val="15"/>
                <w:szCs w:val="15"/>
                <w:color w:val="auto"/>
              </w:rPr>
            </w:pPr>
          </w:p>
        </w:tc>
        <w:tc>
          <w:tcPr>
            <w:tcW w:w="1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(3,090)</w:t>
            </w:r>
          </w:p>
        </w:tc>
        <w:tc>
          <w:tcPr>
            <w:tcW w:w="8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16</w:t>
            </w:r>
          </w:p>
        </w:tc>
        <w:tc>
          <w:tcPr>
            <w:tcW w:w="8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center"/>
              <w:ind w:left="439"/>
              <w:spacing w:after="0" w:line="183" w:lineRule="exact"/>
              <w:rPr>
                <w:sz w:val="20"/>
                <w:szCs w:val="20"/>
                <w:color w:val="auto"/>
              </w:rPr>
            </w:pPr>
            <w:r>
              <w:rPr>
                <w:rFonts w:ascii="Arial" w:cs="Arial" w:eastAsia="Arial" w:hAnsi="Arial"/>
                <w:sz w:val="16"/>
                <w:szCs w:val="16"/>
                <w:color w:val="auto"/>
                <w:w w:val="98"/>
              </w:rPr>
              <w:t>(23)</w:t>
            </w:r>
          </w:p>
        </w:tc>
        <w:tc>
          <w:tcPr>
            <w:tcW w:w="80" w:type="dxa"/>
            <w:vAlign w:val="bottom"/>
          </w:tcPr>
          <w:p>
            <w:pPr>
              <w:spacing w:after="0"/>
              <w:rPr>
                <w:sz w:val="15"/>
                <w:szCs w:val="15"/>
                <w:color w:val="auto"/>
              </w:rPr>
            </w:pPr>
          </w:p>
        </w:tc>
        <w:tc>
          <w:tcPr>
            <w:tcW w:w="1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61</w:t>
            </w:r>
          </w:p>
        </w:tc>
        <w:tc>
          <w:tcPr>
            <w:tcW w:w="80" w:type="dxa"/>
            <w:vAlign w:val="bottom"/>
          </w:tcPr>
          <w:p>
            <w:pPr>
              <w:spacing w:after="0"/>
              <w:rPr>
                <w:sz w:val="15"/>
                <w:szCs w:val="15"/>
                <w:color w:val="auto"/>
              </w:rPr>
            </w:pPr>
          </w:p>
        </w:tc>
        <w:tc>
          <w:tcPr>
            <w:tcW w:w="1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auto"/>
              </w:rPr>
              <w:t>Balance, December 31, 2022</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6,953</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(3,309)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7"/>
              </w:rPr>
              <w:t>Stock-based compensation</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color w:val="auto"/>
              </w:rPr>
              <w:t>Net loss</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comprehensive</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income, net of tax</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ind w:left="380"/>
              <w:spacing w:after="0"/>
              <w:rPr>
                <w:sz w:val="20"/>
                <w:szCs w:val="20"/>
                <w:color w:val="auto"/>
              </w:rPr>
            </w:pPr>
            <w:r>
              <w:rPr>
                <w:rFonts w:ascii="Arial" w:cs="Arial" w:eastAsia="Arial" w:hAnsi="Arial"/>
                <w:sz w:val="16"/>
                <w:szCs w:val="16"/>
                <w:color w:val="auto"/>
              </w:rPr>
              <w:t>net share settlement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stock awards</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2023</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6,967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provided by (used in) operating activities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r>
      <w:tr>
        <w:trPr>
          <w:trHeight w:val="145"/>
        </w:trPr>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the sale of investments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145"/>
        </w:trPr>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obligation payments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45"/>
        </w:trPr>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CASH FLOWS FROM DISCONTINUED OPERATIONS: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7600" w:type="dxa"/>
            <w:vAlign w:val="bottom"/>
            <w:gridSpan w:val="2"/>
          </w:tcPr>
          <w:p>
            <w:pPr>
              <w:ind w:left="420"/>
              <w:spacing w:after="0"/>
              <w:rPr>
                <w:sz w:val="20"/>
                <w:szCs w:val="20"/>
                <w:color w:val="auto"/>
              </w:rPr>
            </w:pPr>
            <w:r>
              <w:rPr>
                <w:rFonts w:ascii="Arial" w:cs="Arial" w:eastAsia="Arial" w:hAnsi="Arial"/>
                <w:sz w:val="16"/>
                <w:szCs w:val="16"/>
                <w:color w:val="auto"/>
              </w:rPr>
              <w:t>Net cash from discontinued operations</w:t>
            </w:r>
          </w:p>
        </w:tc>
        <w:tc>
          <w:tcPr>
            <w:tcW w:w="4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45"/>
        </w:trPr>
        <w:tc>
          <w:tcPr>
            <w:tcW w:w="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68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Decrease in cash, cash equivalents and restricted cash</w:t>
            </w: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0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RECONCILIATION OF CASH, CASH EQUIVALENTS AND RESTRICTED CASH TO AMOUNTS REPORTED</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WITHIN THE CONSOLIDATED CONDENSED BALANCE SHEETS:</w:t>
            </w:r>
          </w:p>
        </w:tc>
        <w:tc>
          <w:tcPr>
            <w:tcW w:w="4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cash</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 and restricted cash held for sale - discontinued operations</w:t>
            </w: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6"/>
        </w:trPr>
        <w:tc>
          <w:tcPr>
            <w:tcW w:w="2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cash, cash equivalents and restricted cash</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1,518</w:t>
            </w:r>
          </w:p>
        </w:tc>
      </w:tr>
      <w:tr>
        <w:trPr>
          <w:trHeight w:val="199"/>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Interest paid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paid, net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Payables for capital expenditures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Form 10-Q should be read in conjunction with our Annual Report on Form 10-K for the year ended December 31, 2022 (the “2022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in this Form 10-Q have the same meanings as in the 2022 Annual Report.</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Description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on April 22, 2021. The Company’s ticker symbol on the NASDAQ Stock Market is “CZR.”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leases, brands or manages an aggregate of 51 domestic properties in 16 states with approximately 52,100 slot machines, video lottery terminals and e-tables, approximately 2,800 table games and approximately 47,200 hotel rooms as of March 31, 2023. The Company operates and conducts sports wagering across 30 jurisdictions in North America, 22 of which offer mobile sports betting, and operates regulated online real money gaming businesses in six jurisdictions in North America. In addition, we have other domestic and international properties that are authorized to use the brands and marks of Caesars Entertainment, Inc., as well as other non-gaming properties. The Company’s primary source of revenue is generated by our casino properties’ gaming operations, including retail and online sports betting, as well as online gaming, and the Company utilizes its hotels, restaurants, bars, entertainment, racing, retail shops and other services to attract customers to its properties.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operations for retail and mobile sports betting, online casino, and online poker are included under the Caesars Digital segment. As part of the Caesars Digital segment, the Company has made significant investments into the interactive business in recent years, including the acquisition of William Hill PLC and strategic expansions into new markets as legalization permits. The Company has utilized significant marketing campaigns with distinguished actors, athletes and media personalities promoting the Caesars Sportsbook app. The Company expects to continue to expand its operations in the Caesars Digital segment as new jurisdictions legalize retail and online gaming and sports betting.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periodically divest of assets in order to raise capital, as a result of a determination that the assets are not core to our business, or due to regulatory requirement. A summary of recently completed divestitures of our properties as of March 31, 2023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Property</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Sales Price</w:t>
            </w:r>
          </w:p>
        </w:tc>
      </w:tr>
      <w:tr>
        <w:trPr>
          <w:trHeight w:val="213"/>
        </w:trPr>
        <w:tc>
          <w:tcPr>
            <w:tcW w:w="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Belle of Baton Rouge Casino &amp; Hotel</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May 5, 2022</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93"/>
              </w:rPr>
              <w:t>Discontinued operations:</w:t>
            </w: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William Hill International</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 2022</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£2.0 billion</w:t>
            </w:r>
          </w:p>
        </w:tc>
      </w:tr>
      <w:tr>
        <w:trPr>
          <w:trHeight w:val="264"/>
        </w:trPr>
        <w:tc>
          <w:tcPr>
            <w:tcW w:w="1680" w:type="dxa"/>
            <w:vAlign w:val="bottom"/>
            <w:gridSpan w:val="2"/>
          </w:tcPr>
          <w:p>
            <w:pPr>
              <w:spacing w:after="0"/>
              <w:rPr>
                <w:sz w:val="20"/>
                <w:szCs w:val="20"/>
                <w:color w:val="auto"/>
              </w:rPr>
            </w:pPr>
            <w:r>
              <w:rPr>
                <w:rFonts w:ascii="Arial" w:cs="Arial" w:eastAsia="Arial" w:hAnsi="Arial"/>
                <w:sz w:val="14"/>
                <w:szCs w:val="14"/>
                <w:color w:val="auto"/>
              </w:rPr>
              <w:t>___________________</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2640" w:type="dxa"/>
            <w:vAlign w:val="bottom"/>
            <w:gridSpan w:val="4"/>
          </w:tcPr>
          <w:p>
            <w:pPr>
              <w:spacing w:after="0"/>
              <w:rPr>
                <w:sz w:val="20"/>
                <w:szCs w:val="20"/>
                <w:color w:val="auto"/>
              </w:rPr>
            </w:pPr>
            <w:r>
              <w:rPr>
                <w:rFonts w:ascii="Arial" w:cs="Arial" w:eastAsia="Arial" w:hAnsi="Arial"/>
                <w:sz w:val="14"/>
                <w:szCs w:val="14"/>
                <w:color w:val="auto"/>
              </w:rPr>
              <w:t>*    Not meaningful.</w:t>
            </w: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the operations of Belle of Baton Rouge Casino &amp; Hotel resulted in $4 million in net revenues and the discontinued operations of William Hill International included net revenues of $419 million and net loss of $303 million.</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Basis of Presentation and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 of financial information herein for the periods before the Company’s divestitures of various properties is not fully comparable to the periods after the sale dates.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Subsidiaries and Variable Interest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include the accounts of Caesars Entertainment, Inc. and its subsidiaries after elimination of all intercompany accounts and transactions.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Cash equivalents include highly-liquid investments with original maturities of three months or less at the date of purchase including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cash includes certificates of deposit and similar instruments that are subject to remeasurement on a recurring basis, as well as cash deposits which are restricted under certain operating agreements or restricted for future capital expenditures in the normal course of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costs are expensed in the period the advertising initially takes place. Advertising costs were $68 million and $270 million for the three months ended March 31, 2023 and 2022, respectively, and are included within operating expenses. Advertising costs in the three months ended March 31, 2022 included significant television, radio and internet marketing campaigns promoting our Caesars Sportsbook. Advertising costs related to the Caesars Digital segment are primarily recorded in Casino expense.</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12"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Capitalized interest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Total interest expense, net</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Investments in and Advances to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Pompano Joint Venture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costs, net on the Statements of Operations. As of March 31, 2023 and December 31, 2022, the Company’s investment in the joint venture was $81 million and $80 million, respectively, and is recorded in Investments in and advances to unconsolidated affiliates on the Balance Sheets. The Company has no further obligation to contribute additional real estate or cash as of March 31,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NeoGames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held an investment in NeoGames S.A., a global leader of iLottery solutions and services to national and state-regulated lotteries, and other investments. On March 14, 2022, the Company sold its investment at fair value for $26 million and recorded a loss of $34 million during the three months ended March 31, 2022, which is included within Other income on the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Property and Equipment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tcPr>
          <w:p>
            <w:pPr>
              <w:spacing w:after="0"/>
              <w:rPr>
                <w:sz w:val="17"/>
                <w:szCs w:val="17"/>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Buildings, riverboats, and leasehold and land improvements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13,094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r>
      <w:tr>
        <w:trPr>
          <w:trHeight w:val="212"/>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17,591</w:t>
            </w:r>
          </w:p>
        </w:tc>
      </w:tr>
      <w:tr>
        <w:trPr>
          <w:trHeight w:val="213"/>
        </w:trPr>
        <w:tc>
          <w:tcPr>
            <w:tcW w:w="20" w:type="dxa"/>
            <w:vAlign w:val="bottom"/>
            <w:tcBorders>
              <w:bottom w:val="single" w:sz="8" w:color="CCEEFF"/>
            </w:tcBorders>
          </w:tcPr>
          <w:p>
            <w:pPr>
              <w:spacing w:after="0"/>
              <w:rPr>
                <w:sz w:val="18"/>
                <w:szCs w:val="18"/>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portion of our property and equipment is subject to various operating leases for which we are the lessor. Leased property includes our hotel rooms, convention space and retail space through various short-term and long-term operating leases.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Goodwill and Intangible Assets, net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Changes in Carrying Value of Goodwill and Other Intangible Assets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2022</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Amortization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2023</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3"/>
              </w:rPr>
              <w:t>March 31, 2023</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Useful Life</w:t>
            </w:r>
          </w:p>
        </w:tc>
        <w:tc>
          <w:tcPr>
            <w:tcW w:w="12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4"/>
                <w:szCs w:val="14"/>
                <w:color w:val="auto"/>
              </w:rPr>
            </w:pPr>
          </w:p>
        </w:tc>
        <w:tc>
          <w:tcPr>
            <w:tcW w:w="128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4"/>
                <w:szCs w:val="14"/>
                <w:color w:val="auto"/>
              </w:rPr>
            </w:pPr>
          </w:p>
        </w:tc>
        <w:tc>
          <w:tcPr>
            <w:tcW w:w="104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3 - 7 years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291</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10 - 34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Technology</w:t>
            </w:r>
          </w:p>
        </w:tc>
        <w:tc>
          <w:tcPr>
            <w:tcW w:w="12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7"/>
              </w:rPr>
              <w:t>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72"/>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5"/>
              </w:rPr>
              <w:t>Non-amortizing intangible assets other than Goodwill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10"/>
          </w:tcPr>
          <w:p>
            <w:pPr>
              <w:ind w:left="220"/>
              <w:spacing w:after="0"/>
              <w:rPr>
                <w:sz w:val="20"/>
                <w:szCs w:val="20"/>
                <w:color w:val="auto"/>
              </w:rPr>
            </w:pPr>
            <w:r>
              <w:rPr>
                <w:rFonts w:ascii="Arial" w:cs="Arial" w:eastAsia="Arial" w:hAnsi="Arial"/>
                <w:sz w:val="16"/>
                <w:szCs w:val="16"/>
                <w:color w:val="auto"/>
              </w:rPr>
              <w:t>Total amortizing and non-amortizing intangible assets other than Goodwill,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with respect to intangible assets for the three months ended March 31, 2023 and 2022 totaled $36 million and $57 million, respectively, which is included in Depreciation and amortization in the Statements of Operations.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37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Remaining 2023</w:t>
            </w:r>
          </w:p>
        </w:tc>
        <w:tc>
          <w:tcPr>
            <w:tcW w:w="24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2028</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Fair Value Measurements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assets and liabilities measured at fair value on a recurring basis, by input level, in the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March 31, 2023</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3"/>
                <w:szCs w:val="13"/>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3"/>
                <w:szCs w:val="13"/>
                <w:color w:val="auto"/>
              </w:rPr>
            </w:pPr>
          </w:p>
        </w:tc>
        <w:tc>
          <w:tcPr>
            <w:tcW w:w="102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2"/>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3"/>
                <w:szCs w:val="13"/>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3"/>
                <w:szCs w:val="13"/>
                <w:color w:val="auto"/>
              </w:rPr>
            </w:pPr>
          </w:p>
        </w:tc>
        <w:tc>
          <w:tcPr>
            <w:tcW w:w="102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2"/>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estimated fair values of the Company’s restricted cash are based upon quoted prices available in active markets (Level 1) or quoted prices for similar assets in active and inactive markets (Level 2) and represent the amounts the Company would expect to receive if the Company sold the instruments classified as restricted cash. Restricted cash classified as Level 1 includes cash equivalents held in short-term certificate of deposit accounts or money market type funds. Restricted cash that is not subject to remeasurement on a recurring basis is not included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Marketable securities consist primarily of trading securities held by the Company’s captive insurance subsidiary and deferred compensation plans.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w:t>
      </w:r>
      <w:r>
        <w:rPr>
          <w:rFonts w:ascii="Arial" w:cs="Arial" w:eastAsia="Arial" w:hAnsi="Arial"/>
          <w:sz w:val="17"/>
          <w:szCs w:val="17"/>
          <w:color w:val="212529"/>
        </w:rPr>
        <w:t>he Company entered into several foreign exchange forward contracts with third parties to hedge the risk of fluctuations in the foreign exchange rates</w:t>
      </w:r>
      <w:r>
        <w:rPr>
          <w:rFonts w:ascii="Arial" w:cs="Arial" w:eastAsia="Arial" w:hAnsi="Arial"/>
          <w:sz w:val="17"/>
          <w:szCs w:val="17"/>
          <w:color w:val="auto"/>
        </w:rPr>
        <w:t xml:space="preserve"> </w:t>
      </w:r>
      <w:r>
        <w:rPr>
          <w:rFonts w:ascii="Arial" w:cs="Arial" w:eastAsia="Arial" w:hAnsi="Arial"/>
          <w:sz w:val="17"/>
          <w:szCs w:val="17"/>
          <w:color w:val="212529"/>
        </w:rPr>
        <w:t xml:space="preserve">between USD and GBP. During the </w:t>
      </w:r>
      <w:r>
        <w:rPr>
          <w:rFonts w:ascii="Arial" w:cs="Arial" w:eastAsia="Arial" w:hAnsi="Arial"/>
          <w:sz w:val="17"/>
          <w:szCs w:val="17"/>
          <w:color w:val="000000"/>
        </w:rPr>
        <w:t>three months ended March 31, 2022, the Company recorded a gain of $21 million, related to forward contracts, which</w:t>
      </w:r>
      <w:r>
        <w:rPr>
          <w:rFonts w:ascii="Arial" w:cs="Arial" w:eastAsia="Arial" w:hAnsi="Arial"/>
          <w:sz w:val="17"/>
          <w:szCs w:val="17"/>
          <w:color w:val="212529"/>
        </w:rPr>
        <w:t xml:space="preserve"> </w:t>
      </w:r>
      <w:r>
        <w:rPr>
          <w:rFonts w:ascii="Arial" w:cs="Arial" w:eastAsia="Arial" w:hAnsi="Arial"/>
          <w:sz w:val="17"/>
          <w:szCs w:val="17"/>
          <w:color w:val="000000"/>
        </w:rPr>
        <w:t xml:space="preserve">has been recorded in Other income (loss) on the Statements of Operations. All </w:t>
      </w:r>
      <w:r>
        <w:rPr>
          <w:rFonts w:ascii="Arial" w:cs="Arial" w:eastAsia="Arial" w:hAnsi="Arial"/>
          <w:sz w:val="17"/>
          <w:szCs w:val="17"/>
          <w:color w:val="212529"/>
        </w:rPr>
        <w:t>forward contracts were settled as of July 1,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used interest rate swaps to manage the mix of debt between fixed and variable rate instruments. The term of the last interest rate swaps ended on December 31, 2022.</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Accumulated other comprehensive income (loss) by component, net of tax, for the three months ended March 31, 2023 and 2022 are shown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Foreign Currency</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3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2"/>
              </w:rPr>
              <w:t>Adjustments</w:t>
            </w:r>
          </w:p>
        </w:tc>
        <w:tc>
          <w:tcPr>
            <w:tcW w:w="3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2021</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32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92"/>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gridSpan w:val="2"/>
          </w:tcPr>
          <w:p>
            <w:pPr>
              <w:ind w:left="120"/>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2022</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Balances as of March 31, 2023</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 state court in Clark County, Nevada. On June 8, 2021, the Company filed an amended complaint. Litigation is proceeding and there can be no assurance as to the outcome of the litigation.</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Harrah’s New Orleans, the Company is required to make a capital investment of $325 million on or around Harrah’s New Orleans by July 15, 2024. The capital investment will involve the rebranding of the property to Caesars New Orleans which includes a renovation and full interior and exterior redesign, updated casino floor, new culinary experiences and a new 340-room hotel tower. The project has a current capital plan of approximately $430 million, and as of March 31, 2023, total capital expenditures have been $145 million since the project began.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required by the New Jersey Gaming Control Board, in 2020, the Company funded $400 million in escrow to provide funds for a three year capital expenditure plan in the state of New Jersey. The capital plan includes significant room renovations at both Caesars Atlantic City and Harrah’s Atlantic City, as well as the addition of new celebrity partnered restaurants. As of March 31, 2023 and December 31, 2022, the restricted cash balance remaining in the escrow account was $88 million and $118 million, respectively. This amount is currently included in restricted cash in Other assets, net.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22222"/>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As of </w:t>
      </w:r>
      <w:r>
        <w:rPr>
          <w:rFonts w:ascii="Arial" w:cs="Arial" w:eastAsia="Arial" w:hAnsi="Arial"/>
          <w:sz w:val="16"/>
          <w:szCs w:val="16"/>
          <w:color w:val="000000"/>
        </w:rPr>
        <w:t>March 31,</w:t>
      </w:r>
      <w:r>
        <w:rPr>
          <w:rFonts w:ascii="Arial" w:cs="Arial" w:eastAsia="Arial" w:hAnsi="Arial"/>
          <w:sz w:val="16"/>
          <w:szCs w:val="16"/>
          <w:color w:val="222222"/>
        </w:rPr>
        <w:t xml:space="preserve"> </w:t>
      </w:r>
      <w:r>
        <w:rPr>
          <w:rFonts w:ascii="Arial" w:cs="Arial" w:eastAsia="Arial" w:hAnsi="Arial"/>
          <w:sz w:val="16"/>
          <w:szCs w:val="16"/>
          <w:color w:val="000000"/>
        </w:rPr>
        <w:t>2023 and December 31, 2022</w:t>
      </w:r>
      <w:r>
        <w:rPr>
          <w:rFonts w:ascii="Arial" w:cs="Arial" w:eastAsia="Arial" w:hAnsi="Arial"/>
          <w:sz w:val="16"/>
          <w:szCs w:val="16"/>
          <w:color w:val="222222"/>
        </w:rPr>
        <w:t>, obligations related to these agreements were $847 million and $898 million, respectively, with contracts extending through</w:t>
      </w:r>
      <w:r>
        <w:rPr>
          <w:rFonts w:ascii="Arial" w:cs="Arial" w:eastAsia="Arial" w:hAnsi="Arial"/>
          <w:sz w:val="16"/>
          <w:szCs w:val="16"/>
          <w:color w:val="000000"/>
        </w:rPr>
        <w:t xml:space="preserve"> </w:t>
      </w:r>
      <w:r>
        <w:rPr>
          <w:rFonts w:ascii="Arial" w:cs="Arial" w:eastAsia="Arial" w:hAnsi="Arial"/>
          <w:sz w:val="16"/>
          <w:szCs w:val="16"/>
          <w:color w:val="222222"/>
        </w:rPr>
        <w:t>2040. These obligations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self-insured for workers compensation and other risk insurance, as well as health insurance and general liability. The Company’s total estimated self-insurance liability as of March 31, 2023 and December 31, 2022, was $208 million and $203 million, respectively, which is included in Accrued other liabilities in our Balance Sheets.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On August 27, 2020, Hurricane Laura made landfall on Lake Charles, Louisiana as a Category 4 storm severely damaging the Isle of Capri Casino Hotel Lake Charles. During the </w:t>
      </w:r>
      <w:r>
        <w:rPr>
          <w:rFonts w:ascii="Arial" w:cs="Arial" w:eastAsia="Arial" w:hAnsi="Arial"/>
          <w:sz w:val="18"/>
          <w:szCs w:val="18"/>
          <w:color w:val="000000"/>
        </w:rPr>
        <w:t>three</w:t>
      </w:r>
      <w:r>
        <w:rPr>
          <w:rFonts w:ascii="Arial" w:cs="Arial" w:eastAsia="Arial" w:hAnsi="Arial"/>
          <w:sz w:val="18"/>
          <w:szCs w:val="18"/>
          <w:color w:val="212529"/>
        </w:rPr>
        <w:t xml:space="preserve"> months ended March 31, 2022, the Company reached a final settlement agreement with the insurance carriers for a total amount of $128 million, before our insurance deductible of $25 million. Insurance proceeds received to </w:t>
      </w:r>
      <w:r>
        <w:rPr>
          <w:rFonts w:ascii="Arial" w:cs="Arial" w:eastAsia="Arial" w:hAnsi="Arial"/>
          <w:sz w:val="18"/>
          <w:szCs w:val="18"/>
          <w:color w:val="000000"/>
        </w:rPr>
        <w:t>replace damaged property</w:t>
      </w:r>
      <w:r>
        <w:rPr>
          <w:rFonts w:ascii="Arial" w:cs="Arial" w:eastAsia="Arial" w:hAnsi="Arial"/>
          <w:sz w:val="18"/>
          <w:szCs w:val="18"/>
          <w:color w:val="212529"/>
        </w:rPr>
        <w:t xml:space="preserve"> were in excess of the respective carrying value of the damaged assets resulting in a gain of $38 million during the </w:t>
      </w:r>
      <w:r>
        <w:rPr>
          <w:rFonts w:ascii="Arial" w:cs="Arial" w:eastAsia="Arial" w:hAnsi="Arial"/>
          <w:sz w:val="18"/>
          <w:szCs w:val="18"/>
          <w:color w:val="000000"/>
        </w:rPr>
        <w:t>three</w:t>
      </w:r>
      <w:r>
        <w:rPr>
          <w:rFonts w:ascii="Arial" w:cs="Arial" w:eastAsia="Arial" w:hAnsi="Arial"/>
          <w:sz w:val="18"/>
          <w:szCs w:val="18"/>
          <w:color w:val="212529"/>
        </w:rPr>
        <w:t xml:space="preserve"> months ended March 31, 2022, which is included in Transaction and other costs, net in our Statements of Operations. The construction of our new land-based casino, Horseshoe Lake Charles, was completed and the property reopened in December 2022.</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Long-Term Debt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March 31, 2023</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6"/>
              </w:rPr>
              <w:t>Final</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Rates</w:t>
            </w:r>
          </w:p>
        </w:tc>
        <w:tc>
          <w:tcPr>
            <w:tcW w:w="120" w:type="dxa"/>
            <w:vAlign w:val="bottom"/>
          </w:tcPr>
          <w:p>
            <w:pPr>
              <w:spacing w:after="0"/>
              <w:rPr>
                <w:sz w:val="13"/>
                <w:szCs w:val="13"/>
                <w:color w:val="auto"/>
              </w:rPr>
            </w:pPr>
          </w:p>
        </w:tc>
        <w:tc>
          <w:tcPr>
            <w:tcW w:w="17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9"/>
              </w:rPr>
              <w:t>Maturity</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Baltimore Revolving Credit Facility</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2023</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Baltimore Term Loan</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2024</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CRC Term Loan</w:t>
            </w: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CRC Incremental Term Loan</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Revolving Credit Facility</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2028</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Term Loan A</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Term Loan B</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2030</w:t>
            </w: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variable</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CRC Senior Secured Notes</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Senior Secured Notes due 2025</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6.25%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Convention Center Mortgage Loan </w:t>
            </w:r>
            <w:r>
              <w:rPr>
                <w:rFonts w:ascii="Arial" w:cs="Arial" w:eastAsia="Arial" w:hAnsi="Arial"/>
                <w:sz w:val="21"/>
                <w:szCs w:val="21"/>
                <w:i w:val="1"/>
                <w:iCs w:val="1"/>
                <w:color w:val="auto"/>
                <w:vertAlign w:val="superscript"/>
              </w:rPr>
              <w:t>(a)</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Senior Secured Notes due 2030</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2030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Senior Notes due 2027</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Senior Notes due 2029</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Special Improvement District Bonds</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Long-term notes and other payables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00" w:type="dxa"/>
            <w:vAlign w:val="bottom"/>
            <w:gridSpan w:val="3"/>
          </w:tcPr>
          <w:p>
            <w:pPr>
              <w:ind w:left="320"/>
              <w:spacing w:after="0"/>
              <w:rPr>
                <w:sz w:val="20"/>
                <w:szCs w:val="20"/>
                <w:color w:val="auto"/>
              </w:rPr>
            </w:pPr>
            <w:r>
              <w:rPr>
                <w:rFonts w:ascii="Arial" w:cs="Arial" w:eastAsia="Arial" w:hAnsi="Arial"/>
                <w:sz w:val="16"/>
                <w:szCs w:val="16"/>
                <w:color w:val="auto"/>
              </w:rPr>
              <w:t>Total debt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13,155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12,991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12,787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7"/>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70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1"/>
              </w:rPr>
              <w:t>Unamortized discounts and deferred finance charges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tcPr>
          <w:p>
            <w:pPr>
              <w:ind w:left="460"/>
              <w:spacing w:after="0"/>
              <w:rPr>
                <w:sz w:val="20"/>
                <w:szCs w:val="20"/>
                <w:color w:val="auto"/>
              </w:rPr>
            </w:pPr>
            <w:r>
              <w:rPr>
                <w:rFonts w:ascii="Arial" w:cs="Arial" w:eastAsia="Arial" w:hAnsi="Arial"/>
                <w:sz w:val="16"/>
                <w:szCs w:val="16"/>
                <w:color w:val="auto"/>
              </w:rPr>
              <w:t>Fair value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13,082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 described below, Convention Center Mortgage Loan was repaid on May 1, 2023.</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March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02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40"/>
              <w:spacing w:after="0" w:line="142" w:lineRule="exact"/>
              <w:rPr>
                <w:sz w:val="20"/>
                <w:szCs w:val="20"/>
                <w:color w:val="auto"/>
              </w:rPr>
            </w:pPr>
            <w:r>
              <w:rPr>
                <w:rFonts w:ascii="Arial" w:cs="Arial" w:eastAsia="Arial" w:hAnsi="Arial"/>
                <w:sz w:val="13"/>
                <w:szCs w:val="13"/>
                <w:b w:val="1"/>
                <w:bCs w:val="1"/>
                <w:color w:val="auto"/>
              </w:rPr>
              <w:t xml:space="preserve">2025 </w:t>
            </w:r>
            <w:r>
              <w:rPr>
                <w:rFonts w:ascii="Arial" w:cs="Arial" w:eastAsia="Arial" w:hAnsi="Arial"/>
                <w:sz w:val="16"/>
                <w:szCs w:val="16"/>
                <w:b w:val="1"/>
                <w:bCs w:val="1"/>
                <w:i w:val="1"/>
                <w:iCs w:val="1"/>
                <w:color w:val="auto"/>
                <w:vertAlign w:val="superscript"/>
              </w:rPr>
              <w:t>(a)</w:t>
            </w:r>
          </w:p>
        </w:tc>
        <w:tc>
          <w:tcPr>
            <w:tcW w:w="240" w:type="dxa"/>
            <w:vAlign w:val="bottom"/>
          </w:tcPr>
          <w:p>
            <w:pPr>
              <w:spacing w:after="0"/>
              <w:rPr>
                <w:sz w:val="14"/>
                <w:szCs w:val="14"/>
                <w:color w:val="auto"/>
              </w:rPr>
            </w:pPr>
          </w:p>
        </w:tc>
        <w:tc>
          <w:tcPr>
            <w:tcW w:w="80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4"/>
                <w:szCs w:val="14"/>
                <w:color w:val="auto"/>
              </w:rPr>
            </w:pPr>
          </w:p>
        </w:tc>
        <w:tc>
          <w:tcPr>
            <w:tcW w:w="820" w:type="dxa"/>
            <w:vAlign w:val="bottom"/>
          </w:tcPr>
          <w:p>
            <w:pPr>
              <w:jc w:val="right"/>
              <w:ind w:right="25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13,155</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830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5,684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9"/>
          <w:szCs w:val="9"/>
          <w:i w:val="1"/>
          <w:iCs w:val="1"/>
          <w:color w:val="auto"/>
        </w:rPr>
      </w:pPr>
      <w:r>
        <w:rPr>
          <w:rFonts w:ascii="Arial" w:cs="Arial" w:eastAsia="Arial" w:hAnsi="Arial"/>
          <w:sz w:val="14"/>
          <w:szCs w:val="14"/>
          <w:i w:val="1"/>
          <w:iCs w:val="1"/>
          <w:color w:val="auto"/>
        </w:rPr>
        <w:t>Maturity of $400 million in 2025 was repaid on May 1, 2023.</w:t>
      </w:r>
    </w:p>
    <w:p>
      <w:pPr>
        <w:spacing w:after="0" w:line="68" w:lineRule="exact"/>
        <w:rPr>
          <w:rFonts w:ascii="Arial" w:cs="Arial" w:eastAsia="Arial" w:hAnsi="Arial"/>
          <w:sz w:val="9"/>
          <w:szCs w:val="9"/>
          <w:i w:val="1"/>
          <w:iCs w:val="1"/>
          <w:color w:val="auto"/>
        </w:rPr>
      </w:pPr>
    </w:p>
    <w:p>
      <w:pPr>
        <w:ind w:left="340" w:hanging="332"/>
        <w:spacing w:after="0" w:line="226" w:lineRule="auto"/>
        <w:tabs>
          <w:tab w:leader="none" w:pos="327"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Debt principal payments are estimated amounts based on contractual maturity and scheduled repayment dates. Interest payments are estimated based on the forward-looking LIBOR and SOFR curve, where applicable. Actual payments may differ from these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current portion of long-term debt as of March 31, 2023 includes the principal payments on the term loans, other unsecured borrowings, and special improvement district bonds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March 31, 2023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Baltimore Term Loan and Baltimore Revolving Credit Facility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July 2024 and is subject to a variable rate of interest calculated as London Interbank Offered Rate (“LIBOR”) plus 4.00%. The Baltimore Revolving Credit Facility has borrowing capacity of up to $10 million, subject to a variable rate of interest calculated as Term SOFR plus 4.00% subject to one 0.25% step-down based on senior secured leverage ratio, the ratio of first lien senior secured net debt to adjusted earnings before interest, taxes, depreciation and amortization. The Baltimore Revolving Credit Facility matures on July 7, 2023. As of March 31, 2023, there was $10 million of available borrowing capacity under the Baltimore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 and CRC Incremental Term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Caesars Resort Collection (“CRC”) was party to a credit agreement, dated as of December 22, 2017 (as amended, the “CRC Credit Agreement”), which provided for, among other things, an initial $4.7 billion seven-year senior secured term loan (the “CRC Term Loan”), and an incremental $1.8 billion five-year senior secured term loan (the “CRC Incremental Term Loan”).</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CRC Term Loan and the CRC Incremental Term Loan were subject to the terms described below prior to repayment. The Company repaid the $3.4 billion outstanding principal amount of the CRC Term Loan and the $1.0 billion outstanding principal amount of the CRC Incremental Term Loan on February 6, 2023, with proceeds from a new CEI Term Loan B and new CEI Senior Secured Notes due 2030, both of which are described below.</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CRC Credit Agreement were subject to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and (b) with respect to the CRC Incremental Term Loan, 3.50% per annum in the case of any LIBOR loan or 2.50% in the case of any base rate loan.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Term Loans and CEI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The CEI Revolving Credit Facility contains reserves of $40 million which are available only for certain permitted uses.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5, 2022, Caesars entered into a third amendment to the CEI Credit Agreement (the “Third Amendment”) pursuant to which the Company (a) incurred a senior secured term loan in an aggregate principal amount of $750 million (the “CEI Term Loan A”) as a new term loan under the credit agreement, (b) amended and extended the CEI Revolving Credit Facility under the CEI Credit Agreement (the CEI Revolving Credit Facility, as so amended, the “Amended CEI Revolving Credit Facility” and, together with the CEI Term Loan A, the “Senior Credit Facilities”), (c) increased the aggregate principal amount of the CEI Revolving Credit Facility to $2.25 billion, and (d) made certain other amendments to the CEI Credit Agreement. Both the Amended CEI Revolving Credit Facility and the new CEI Term Loan A mature on January 31, 2028, subject to a springing maturity in the event certain other long-term debt of Caesars is not extended or repaid. The Amended CEI Revolving Credit</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Facility includes a letter of credit sub-facility of $388 million. The CEI Term Loan A requires scheduled quarterly payments in amounts equal to 1.25% of the original aggregate principal amount of the CEI Term Loan A, with the balance payable at maturity. The Company may make voluntary prepayments of the CEI Term Loan A at any time prior to maturity at par.</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Borrowings under the Senior Credit Facilities bear interest at a rate equal to, at the Company’s option, either (a) a forward-looking term rate based on the secured overnight financing rate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Amended CEI Revolving Credit Facility a commitment fee in respect of any unused commitments under the Amended CEI Revolving Credit Facility in the amount of 0.35% per annum of the principal amount of the unused commitments of such lender, subject to three 0.05% step-downs based on the Company’s net total leverage ratio.</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On February 6, 2023, Caesars entered into an Incremental Assumption Agreement No. 2 pursuant to which the Company incurred a new senior secured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 loan facility in an aggregate principal amount of $2.5 billion (the “CEI Term Loan B” and, together with the CEI Term Loan A, the “CEI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Loans”) as a new term loan under the CEI Credit Agreement. The CEI Term Loan B requires scheduled quarterly amortization payments in amounts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0.25% of the original aggregate principal amount of the CEI Term Loan B, with the balance payable at maturity. Borrowings under the CEI Term Loan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bear interest at a rate equal to, at the Company’s option, either (a) a forward-looking term rate based on the Adjusted Term SOFR, subject to a floor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0.50% or (b) a base rate (the “Base Rate”) determined by reference to the highest of (i) the Prime Rate in the United States, (ii) the federal funds rate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0.50% per annum and (iii) the one-month Adjusted Term SOFR plus 1.00% per annum, in each case, plus an applicable margin. Such applicable margin is</w:t>
      </w:r>
    </w:p>
    <w:p>
      <w:pPr>
        <w:spacing w:after="0" w:line="3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3.25% per annum in the case of any Adjusted Term SOFR loan and 2.25% per annum in the case of any Base Rate loan, subject to one 0.25% step-down based on the Company’s net total leverage ratio. The CEI Term Loan B was issued at a price of 99.0% of the principal amount and will mature in February 2030.</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proceeds from the CEI Term Loan B, along with the net proceeds from the issuance of the CEI Senior Secured Notes due 2030 described below, were used to repay the outstanding principal balance, including accrued and unpaid interest, of both the CRC Term Loan and the CRC Incremental Term Loan. Upon the termination of the CRC Term Loan and the CRC Incremental Term Loan, the Company recorded a loss on extinguishment of debt of $197 million.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the Company had $2.1 billion of available borrowing capacity under the CEI Revolving Credit Facility, after consideration of $82 million in outstanding letters of credit, $48 million committed for regulatory purposes and the reserves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Colt Merger Sub, Inc. (the “Escrow Issuer”) issued $1.0 billion in aggregate principal amount of 5.75% Senior Secured Notes due 2025 pursuant to an indenture, dated July 6, 2020 (the “CRC Senior Secured Notes”), by and among the Escrow Issuer, U.S. Bank National Association, as trustee and Credit Suisse AG, Cayman Islands Branch, as collateral agent. The CRC Senior Secured Notes rank equally with all existing and future first priority lien obligations of CRC, CRC Finco, Inc. and the subsidiary guarantors. The CRC Senior Secured Notes will mature on July 1, 2025, with interest payable semi-annually in cash in arrears on January 1 and July 1 of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due 2025”), by and among the Escrow Issuer, U.S. Bank National Association, as trustee, and U.S. Bank National Association, as collateral agent. The CEI Senior Secured Notes due 2025 rank equally with all existing and future first-priority lien obligations of the Company and the subsidiary guarantors. The CEI Senior Secured Notes due 2025 will mature on July 1, 2025, with interest payable semi-annually in cash in arrears on January 1 and July 1 of each year.</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18, 2020, the Company entered into a loan agreement with a subsidiary of VICI Properties L.P., a Delaware limited partnership (“VICI”), to borrow a 5-year, $400 million Forum Convention Center mortgage loan (the “Mortgage Loan”). The Mortgage Loan bears interest at a rate of, initially, 7.7% per annum, which escalates annually on the anniversary of the closing date to a maximum interest rate of 8.3% per annum. On May 1, 2023, the Company elected to prepay the outstanding $400 million Mortgage Loan utilizing cash on hand. In connection with the repayment, the Company extended VICI’s call right relating to the CAESARS FORUM convention center from December 31, 2026 to December 31, 2028.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2030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6, 2023, concurrently with the issuance of the CEI Term Loan B,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6, 2020, the Escrow Issuer issued $1.8 billion in aggregate principal amount of 8.125% Senior Notes due 2027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in cash in arrears on January 1 and July 1 of each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2029</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on April 15 and October 15 of each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Senior Credit Facilities, the CEI Term Loan B, the Baltimore Term Loan, the Baltimore Revolving Credit Facility and the indentures governing the CEI Senior Secured Notes due 2025, the CEI Senior Secured Notes due 2030, the CEI Senior Notes due 2027, the CRC Senior Secured Notes, and the CEI Senior Notes due 2029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Amended CEI Revolving Credit Facility will be tested solely to the extent that certain testing conditions are satisfied. The Baltimore Revolving Credit Facility includes a net senior secured leverage ratio financial covenant of 5.0:1. Failure to comply with such covenants could result in an acceleration of the maturity of indebtedness outstanding under the relevant debt document.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Company was in compliance with all of the applicable financial covenants described above.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Facilities, the CEI Term Loan B, the CEI Senior Secured Notes due 2025 and the CEI Senior Secured Notes due 2030 are guaranteed on a senior secured basis by each existing and future material wholly-owned domestic subsidiary of the Company (subject to certain exceptions including CRC and its subsidiaries) and are secured by substantially all of the existing and future property and assets of the Company and its subsidiary guarantors (subject to certain exceptions). The CEI Senior Notes due 2027 and the CEI Senior Notes due 2029 are guaranteed on a senior unsecured basis by such subsidiaries.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Senior Secured Notes are also guaranteed on a senior unsecured basis by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Revenue Recognition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Statements of Operations present net revenue disaggregated by type or nature of the good or service. A summary of net revenues disaggregated by type of revenue and reportable segment is presented below. Refer to Note 14 for additional information on the Company’s reportable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7"/>
              </w:rPr>
              <w:t>Three Months Ended March 31, 2023</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Branded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7"/>
              </w:rPr>
              <w:t>Three Months Ended March 31, 2022</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Caesars Digital</w:t>
            </w:r>
          </w:p>
        </w:tc>
        <w:tc>
          <w:tcPr>
            <w:tcW w:w="12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Managed and</w:t>
            </w:r>
          </w:p>
        </w:tc>
        <w:tc>
          <w:tcPr>
            <w:tcW w:w="12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3"/>
              </w:rPr>
              <w:t>Corporate and</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Branded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98"/>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left="7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7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89"/>
              </w:rPr>
              <w:t>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w w:val="98"/>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Accounts Receivable, Net</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6"/>
                <w:szCs w:val="16"/>
                <w:color w:val="auto"/>
              </w:rPr>
            </w:pPr>
          </w:p>
        </w:tc>
        <w:tc>
          <w:tcPr>
            <w:tcW w:w="1660" w:type="dxa"/>
            <w:vAlign w:val="bottom"/>
            <w:gridSpan w:val="2"/>
          </w:tcPr>
          <w:p>
            <w:pPr>
              <w:ind w:left="140"/>
              <w:spacing w:after="0" w:line="165" w:lineRule="exact"/>
              <w:rPr>
                <w:sz w:val="20"/>
                <w:szCs w:val="20"/>
                <w:color w:val="auto"/>
              </w:rPr>
            </w:pPr>
            <w:r>
              <w:rPr>
                <w:rFonts w:ascii="Arial" w:cs="Arial" w:eastAsia="Arial" w:hAnsi="Arial"/>
                <w:sz w:val="16"/>
                <w:szCs w:val="16"/>
                <w:b w:val="1"/>
                <w:bCs w:val="1"/>
                <w:color w:val="auto"/>
              </w:rPr>
              <w:t>March 31, 2023</w:t>
            </w:r>
          </w:p>
        </w:tc>
        <w:tc>
          <w:tcPr>
            <w:tcW w:w="180" w:type="dxa"/>
            <w:vAlign w:val="bottom"/>
          </w:tcPr>
          <w:p>
            <w:pPr>
              <w:spacing w:after="0"/>
              <w:rPr>
                <w:sz w:val="16"/>
                <w:szCs w:val="16"/>
                <w:color w:val="auto"/>
              </w:rPr>
            </w:pPr>
          </w:p>
        </w:tc>
        <w:tc>
          <w:tcPr>
            <w:tcW w:w="1620" w:type="dxa"/>
            <w:vAlign w:val="bottom"/>
          </w:tcPr>
          <w:p>
            <w:pPr>
              <w:jc w:val="right"/>
              <w:ind w:right="159"/>
              <w:spacing w:after="0" w:line="165" w:lineRule="exact"/>
              <w:rPr>
                <w:sz w:val="20"/>
                <w:szCs w:val="20"/>
                <w:color w:val="auto"/>
              </w:rPr>
            </w:pPr>
            <w:r>
              <w:rPr>
                <w:rFonts w:ascii="Arial" w:cs="Arial" w:eastAsia="Arial" w:hAnsi="Arial"/>
                <w:sz w:val="16"/>
                <w:szCs w:val="16"/>
                <w:b w:val="1"/>
                <w:bCs w:val="1"/>
                <w:color w:val="auto"/>
                <w:w w:val="94"/>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46"/>
        </w:trPr>
        <w:tc>
          <w:tcPr>
            <w:tcW w:w="20" w:type="dxa"/>
            <w:vAlign w:val="bottom"/>
            <w:shd w:val="clear" w:color="auto" w:fill="CCEEFF"/>
          </w:tcPr>
          <w:p>
            <w:pPr>
              <w:spacing w:after="0"/>
              <w:rPr>
                <w:sz w:val="21"/>
                <w:szCs w:val="21"/>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6"/>
        </w:trPr>
        <w:tc>
          <w:tcPr>
            <w:tcW w:w="20" w:type="dxa"/>
            <w:vAlign w:val="bottom"/>
          </w:tcPr>
          <w:p>
            <w:pPr>
              <w:spacing w:after="0"/>
              <w:rPr>
                <w:sz w:val="17"/>
                <w:szCs w:val="17"/>
                <w:color w:val="auto"/>
              </w:rPr>
            </w:pPr>
          </w:p>
        </w:tc>
        <w:tc>
          <w:tcPr>
            <w:tcW w:w="75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and Contract-Related Liabilities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Outstanding Chip Liability</w:t>
            </w:r>
          </w:p>
        </w:tc>
        <w:tc>
          <w:tcPr>
            <w:tcW w:w="280" w:type="dxa"/>
            <w:vAlign w:val="bottom"/>
          </w:tcPr>
          <w:p>
            <w:pPr>
              <w:spacing w:after="0"/>
              <w:rPr>
                <w:sz w:val="16"/>
                <w:szCs w:val="16"/>
                <w:color w:val="auto"/>
              </w:rPr>
            </w:pPr>
          </w:p>
        </w:tc>
        <w:tc>
          <w:tcPr>
            <w:tcW w:w="2060" w:type="dxa"/>
            <w:vAlign w:val="bottom"/>
            <w:gridSpan w:val="3"/>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Customer Deposits and Other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Deferred Revenue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760" w:type="dxa"/>
            <w:vAlign w:val="bottom"/>
            <w:tcBorders>
              <w:top w:val="single" w:sz="8" w:color="auto"/>
              <w:bottom w:val="single" w:sz="8" w:color="CFF0FC"/>
            </w:tcBorders>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March 31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FF0FC"/>
            </w:tcBorders>
            <w:shd w:val="clear" w:color="auto" w:fill="CFF0FC"/>
          </w:tcPr>
          <w:p>
            <w:pPr>
              <w:spacing w:after="0"/>
              <w:rPr>
                <w:sz w:val="20"/>
                <w:szCs w:val="20"/>
                <w:color w:val="auto"/>
              </w:rPr>
            </w:pPr>
          </w:p>
        </w:tc>
        <w:tc>
          <w:tcPr>
            <w:tcW w:w="2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w w:val="91"/>
              </w:rPr>
              <w:t>(7)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center"/>
              <w:ind w:left="599"/>
              <w:spacing w:after="0"/>
              <w:rPr>
                <w:sz w:val="20"/>
                <w:szCs w:val="20"/>
                <w:color w:val="auto"/>
              </w:rPr>
            </w:pPr>
            <w:r>
              <w:rPr>
                <w:rFonts w:ascii="Arial" w:cs="Arial" w:eastAsia="Arial" w:hAnsi="Arial"/>
                <w:sz w:val="16"/>
                <w:szCs w:val="16"/>
                <w:color w:val="auto"/>
                <w:w w:val="98"/>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98"/>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March 31, 2023 and 2022, we recognized approximately $503 million and $383 million, respectively, which is included in Hotel revenues in the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Statements of Operations and during the three months ended March 31, 2023 and 2022, lease revenue related to conventions was approximately $14 million and $6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lease revenue is included in Other revenue in the Statements of Operations. During the three months ended March 31, 2023 and 2022, we recognized approximately $37 million and $36 million, respectively, of real estate lease revenue.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Real estate lease revenue includes $14 million and $12 million of variable rental income for the three months ended March 31, 2023 and 2022,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Earnings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(loss) per share computations for the three months ended March 31, 2023 and 2022:</w:t>
      </w:r>
    </w:p>
    <w:p>
      <w:pPr>
        <w:spacing w:after="0" w:line="157"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attributable to Caesars, net of income taxes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6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loss attributable to Caesars</w:t>
            </w: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Shares outstanding:</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6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shares outstanding – basic</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Weighted average shares outstanding – diluted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5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Basic loss per share from continuing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7620" w:type="dxa"/>
            <w:vAlign w:val="bottom"/>
            <w:gridSpan w:val="3"/>
          </w:tcPr>
          <w:p>
            <w:pPr>
              <w:ind w:left="20"/>
              <w:spacing w:after="0"/>
              <w:rPr>
                <w:sz w:val="20"/>
                <w:szCs w:val="20"/>
                <w:color w:val="auto"/>
              </w:rPr>
            </w:pPr>
            <w:r>
              <w:rPr>
                <w:rFonts w:ascii="Arial" w:cs="Arial" w:eastAsia="Arial" w:hAnsi="Arial"/>
                <w:sz w:val="16"/>
                <w:szCs w:val="16"/>
                <w:color w:val="auto"/>
              </w:rPr>
              <w:t>Net loss per common share attributable to common stockholders – basic:</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5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Diluted loss per share from continuing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7620" w:type="dxa"/>
            <w:vAlign w:val="bottom"/>
            <w:gridSpan w:val="3"/>
          </w:tcPr>
          <w:p>
            <w:pPr>
              <w:ind w:left="20"/>
              <w:spacing w:after="0"/>
              <w:rPr>
                <w:sz w:val="20"/>
                <w:szCs w:val="20"/>
                <w:color w:val="auto"/>
              </w:rPr>
            </w:pPr>
            <w:r>
              <w:rPr>
                <w:rFonts w:ascii="Arial" w:cs="Arial" w:eastAsia="Arial" w:hAnsi="Arial"/>
                <w:sz w:val="16"/>
                <w:szCs w:val="16"/>
                <w:color w:val="auto"/>
              </w:rPr>
              <w:t>Net loss per common share attributable to common stockholders – diluted:</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period in which the Company generated a net loss from continuing operations, the Weighted average shares outstanding - basic was used in calculating Diluted loss per share because using diluted shares would have been anti-dilutive to loss per share.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Weighted-Average Number of Anti-Dilutive Shares Excluded from the Calculation of Earnings per Share</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7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Total anti-dilutive common stock</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Stock-Based Compensation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long-term incentive plans which allow for granting stock-based compensation awards for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stock-based compensation expense in the accompanying Statements of Operations totaled $27 million and $25 million during the three months ended March 31, 2023 and 2022, respectively. These amounts are included in Corporate expense in the Company’s Statements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(“2015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2023, as part of the annual incentive program, the Company granted 1.4 million RSUs to eligible participants with an aggregate fair value of $72 million and a ratable vesting period of one to three years. Each RSU represents the right to receive payment in respect of one share of the Company’s Common Stock.</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March 31, 2023, the Company also granted 186 thousand PSUs that are scheduled to vest over a period of two to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$9 million as of March 31, 2023.</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during the three months ended March 31, 2023, the Company granted 367 thousand MSUs that are scheduled to cliff vest over a period of one to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three months ended March 31, 2023 was $30 million.</w:t>
      </w:r>
    </w:p>
    <w:p>
      <w:pPr>
        <w:spacing w:after="0" w:line="1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March 31, 2023, there were no grants of stock options and 88 stock options were exercised. In addition, during the three months ended March 31, 2023, 539 thousand, 229 thousand and 3 thousand of RSUs, PSUs and MSUs, respectively, vested under the 2015 Plan.</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at End of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20" w:type="dxa"/>
            <w:vAlign w:val="bottom"/>
            <w:gridSpan w:val="5"/>
          </w:tcPr>
          <w:p>
            <w:pPr>
              <w:ind w:left="1020"/>
              <w:spacing w:after="0"/>
              <w:rPr>
                <w:sz w:val="20"/>
                <w:szCs w:val="20"/>
                <w:color w:val="auto"/>
              </w:rPr>
            </w:pPr>
            <w:r>
              <w:rPr>
                <w:rFonts w:ascii="Arial" w:cs="Arial" w:eastAsia="Arial" w:hAnsi="Arial"/>
                <w:sz w:val="16"/>
                <w:szCs w:val="16"/>
                <w:b w:val="1"/>
                <w:bCs w:val="1"/>
                <w:color w:val="auto"/>
              </w:rPr>
              <w:t>March 31, 2023</w:t>
            </w:r>
          </w:p>
        </w:tc>
        <w:tc>
          <w:tcPr>
            <w:tcW w:w="31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486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Quantity</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27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c>
          <w:tcPr>
            <w:tcW w:w="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Quantity</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9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840" w:type="dxa"/>
            <w:vAlign w:val="bottom"/>
            <w:gridSpan w:val="3"/>
            <w:shd w:val="clear" w:color="auto" w:fill="CCEEFF"/>
          </w:tcPr>
          <w:p>
            <w:pPr>
              <w:ind w:left="1300"/>
              <w:spacing w:after="0"/>
              <w:rPr>
                <w:sz w:val="20"/>
                <w:szCs w:val="20"/>
                <w:color w:val="auto"/>
              </w:rPr>
            </w:pPr>
            <w:r>
              <w:rPr>
                <w:rFonts w:ascii="Arial" w:cs="Arial" w:eastAsia="Arial" w:hAnsi="Arial"/>
                <w:sz w:val="16"/>
                <w:szCs w:val="16"/>
                <w:color w:val="auto"/>
              </w:rPr>
              <w:t>—  $</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2,644,442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59.47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1,863,481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66.87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Market-based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1,105,039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82.26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741,803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83.24</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30" w:lineRule="auto"/>
        <w:tabs>
          <w:tab w:leader="none" w:pos="327"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2023, the Company has acquired 223,823 shares of common stock under the Share Repurchase Program at an aggregate value of $9 million and an average of $40.80 per share. No shares were repurchased during the three months ended March 31, 2023 and 2022.</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Income Taxes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We utilized a discrete effective tax rate method, as allowed by ASC 740-270 “Income Taxes, Interim Reporting,” to calculate taxes for the three months ended March 31, 2023. We determined that small changes in estimated “ordinary” income would result in significant changes in the estimated annual effective tax rate, and therefore, the historical method would not provide a reliable estimate for the three months ended March 31, 2023.</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107</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use the existing deferred tax assets. We have provided a valuation allowance on certain federal, state and foreign deferred tax assets that were not deemed realizable based upon estimates of future taxable income.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income tax benefit for the three months ended March 31, 2023 differed from the expected income tax benefit based on the federal tax rate of 21% primarily due to state deferred tax benefits generated from net operating losses becoming available due to elections to treat certain subsidiary corporations as disregarded entities for income tax purposes.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income tax benefit for the three months ended March 31, 2022 differed from the expected income tax benefit based on the federal tax rate of 21% primarily due to nondeductible expenses and state income taxes.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2019, and it is possible that the amount of the liability for unrecognized tax benefits could change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Related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2023, Recreational Enterprises, Inc. (“REI”) owned approximately 4.0% of outstanding common stock of the Company. The directors of REI are the Company’s Executive Chairman of the Board, Gary L. Carano, its Chief Executive Officer and Board member, Thomas R. Reeg, and its Vice President of Player Development, Gene Carano. In addition, Gary L. Carano also serves as the Vice President of REI and Gene Carano also serves as the Secretary and Treasurer of REI. Members of the Carano family, including Gary L. Carano and Gene Carano, own the equity interests in REI. During the three months ended March 31, 2023 and 2022, there were no related party transactions between the Company and the Carano family other than compensation, including salary and equity incentives, and the CSY Lease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monthly. Annual rent is subject to periodic rent escalations through the term of the lease. As of March 31, 2023 and December 31, 2022, there were no amounts due to or from CSY.</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Segment Information</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4 and Note 5 for a discussion of any impairment of intangibles or long-lived assets related to certain segments, when applicable.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Las Vegas</w:t>
            </w:r>
          </w:p>
        </w:tc>
        <w:tc>
          <w:tcPr>
            <w:tcW w:w="8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Managed and Branded</w:t>
            </w:r>
          </w:p>
        </w:tc>
      </w:tr>
      <w:tr>
        <w:trPr>
          <w:trHeight w:val="172"/>
        </w:trPr>
        <w:tc>
          <w:tcPr>
            <w:tcW w:w="26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Palace Las Vegas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Atlantic City</w:t>
            </w:r>
          </w:p>
        </w:tc>
        <w:tc>
          <w:tcPr>
            <w:tcW w:w="46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ind w:left="160"/>
              <w:spacing w:after="0" w:line="172" w:lineRule="exact"/>
              <w:rPr>
                <w:sz w:val="20"/>
                <w:szCs w:val="20"/>
                <w:color w:val="auto"/>
              </w:rPr>
            </w:pPr>
            <w:r>
              <w:rPr>
                <w:rFonts w:ascii="Arial" w:cs="Arial" w:eastAsia="Arial" w:hAnsi="Arial"/>
                <w:sz w:val="16"/>
                <w:szCs w:val="16"/>
                <w:color w:val="auto"/>
              </w:rPr>
              <w:t>Horseshoe Black Hawk</w:t>
            </w:r>
          </w:p>
        </w:tc>
        <w:tc>
          <w:tcPr>
            <w:tcW w:w="2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spacing w:after="0" w:line="172" w:lineRule="exact"/>
              <w:rPr>
                <w:sz w:val="20"/>
                <w:szCs w:val="20"/>
                <w:color w:val="auto"/>
              </w:rPr>
            </w:pPr>
            <w:r>
              <w:rPr>
                <w:rFonts w:ascii="Arial" w:cs="Arial" w:eastAsia="Arial" w:hAnsi="Arial"/>
                <w:sz w:val="16"/>
                <w:szCs w:val="16"/>
                <w:i w:val="1"/>
                <w:iCs w:val="1"/>
                <w:color w:val="auto"/>
              </w:rPr>
              <w:t>Managed</w:t>
            </w:r>
          </w:p>
        </w:tc>
      </w:tr>
      <w:tr>
        <w:trPr>
          <w:trHeight w:val="21"/>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The Cromwell</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Circus Circus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Bossier City</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Ak-Chin</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Flamingo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Eldorado Gaming Scioto Downs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Council Bluffs</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Cherokee</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Harrah’s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Eldorado Resort Casino Reno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Hammond</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Cherokee Valley River</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Horseshoe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Grand Victoria Casino</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Indianapolis</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Resort Southern California</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The LINQ Hotel &amp; Casino</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Atlantic City</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Lake Charles</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Caesars Windsor</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Paris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Council Bluffs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St. Louis</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Caesars Dubai</w:t>
            </w:r>
          </w:p>
        </w:tc>
      </w:tr>
      <w:tr>
        <w:trPr>
          <w:trHeight w:val="176"/>
        </w:trPr>
        <w:tc>
          <w:tcPr>
            <w:tcW w:w="2660" w:type="dxa"/>
            <w:vAlign w:val="bottom"/>
          </w:tcPr>
          <w:p>
            <w:pPr>
              <w:ind w:left="20"/>
              <w:spacing w:after="0" w:line="175" w:lineRule="exact"/>
              <w:rPr>
                <w:sz w:val="20"/>
                <w:szCs w:val="20"/>
                <w:color w:val="auto"/>
              </w:rPr>
            </w:pPr>
            <w:r>
              <w:rPr>
                <w:rFonts w:ascii="Arial" w:cs="Arial" w:eastAsia="Arial" w:hAnsi="Arial"/>
                <w:sz w:val="16"/>
                <w:szCs w:val="16"/>
                <w:color w:val="auto"/>
              </w:rPr>
              <w:t>Planet Hollywood Resort &amp; Casino</w:t>
            </w:r>
          </w:p>
        </w:tc>
        <w:tc>
          <w:tcPr>
            <w:tcW w:w="80" w:type="dxa"/>
            <w:vAlign w:val="bottom"/>
          </w:tcPr>
          <w:p>
            <w:pPr>
              <w:spacing w:after="0"/>
              <w:rPr>
                <w:sz w:val="15"/>
                <w:szCs w:val="15"/>
                <w:color w:val="auto"/>
              </w:rPr>
            </w:pPr>
          </w:p>
        </w:tc>
        <w:tc>
          <w:tcPr>
            <w:tcW w:w="2320" w:type="dxa"/>
            <w:vAlign w:val="bottom"/>
          </w:tcPr>
          <w:p>
            <w:pPr>
              <w:ind w:left="20"/>
              <w:spacing w:after="0" w:line="175" w:lineRule="exact"/>
              <w:rPr>
                <w:sz w:val="20"/>
                <w:szCs w:val="20"/>
                <w:color w:val="auto"/>
              </w:rPr>
            </w:pPr>
            <w:r>
              <w:rPr>
                <w:rFonts w:ascii="Arial" w:cs="Arial" w:eastAsia="Arial" w:hAnsi="Arial"/>
                <w:sz w:val="16"/>
                <w:szCs w:val="16"/>
                <w:color w:val="auto"/>
              </w:rPr>
              <w:t>Harrah’s Gulf Coast</w:t>
            </w:r>
          </w:p>
        </w:tc>
        <w:tc>
          <w:tcPr>
            <w:tcW w:w="460" w:type="dxa"/>
            <w:vAlign w:val="bottom"/>
          </w:tcPr>
          <w:p>
            <w:pPr>
              <w:spacing w:after="0"/>
              <w:rPr>
                <w:sz w:val="15"/>
                <w:szCs w:val="15"/>
                <w:color w:val="auto"/>
              </w:rPr>
            </w:pPr>
          </w:p>
        </w:tc>
        <w:tc>
          <w:tcPr>
            <w:tcW w:w="294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Horseshoe Tunica</w:t>
            </w:r>
          </w:p>
        </w:tc>
        <w:tc>
          <w:tcPr>
            <w:tcW w:w="20" w:type="dxa"/>
            <w:vAlign w:val="bottom"/>
          </w:tcPr>
          <w:p>
            <w:pPr>
              <w:spacing w:after="0"/>
              <w:rPr>
                <w:sz w:val="15"/>
                <w:szCs w:val="15"/>
                <w:color w:val="auto"/>
              </w:rPr>
            </w:pPr>
          </w:p>
        </w:tc>
        <w:tc>
          <w:tcPr>
            <w:tcW w:w="276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Branded</w:t>
            </w: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Rio All-Suite Hotel &amp; Casino</w:t>
            </w:r>
          </w:p>
        </w:tc>
        <w:tc>
          <w:tcPr>
            <w:tcW w:w="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Harrah’s Hoosier Park Racing &amp; Casino</w:t>
            </w: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Casino Bettendorf</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Caesars Southern Indiana</w:t>
            </w: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Joliet</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of Capri Casino Boonville</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Northern California</w:t>
            </w:r>
          </w:p>
        </w:tc>
      </w:tr>
      <w:tr>
        <w:trPr>
          <w:trHeight w:val="219"/>
        </w:trPr>
        <w:tc>
          <w:tcPr>
            <w:tcW w:w="26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Caesars Digital</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Lake Tahoe</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of Capri Casino Lula</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80" w:type="dxa"/>
            <w:vAlign w:val="bottom"/>
          </w:tcPr>
          <w:p>
            <w:pPr>
              <w:spacing w:after="0"/>
              <w:rPr>
                <w:sz w:val="17"/>
                <w:szCs w:val="17"/>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Laughlin</w:t>
            </w:r>
          </w:p>
        </w:tc>
        <w:tc>
          <w:tcPr>
            <w:tcW w:w="46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Casino Waterloo</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Metropolis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Lady Luck Casino - Black Hawk</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New Orleans</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Silver Legacy Resort Casino</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North Kansas City</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Trop Casino Greenville</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Philadelphia</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Tropicana Atlantic City</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Pompano Beach</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Tropicana Laughlin Hotel &amp; Casino</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Harveys Lake Tahoe</w:t>
            </w:r>
          </w:p>
        </w:tc>
        <w:tc>
          <w:tcPr>
            <w:tcW w:w="4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Horseshoe Baltimore</w:t>
            </w:r>
          </w:p>
        </w:tc>
        <w:tc>
          <w:tcPr>
            <w:tcW w:w="46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bl>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properties operate off-track betting locations, including Harrah’s Hoosier Park Racing &amp; Casino, which operates Winner’s Circle Indianapolis and Winner’s Circle New Haven, and Horseshoe Indianapolis,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convention center, which is a 550,000 square feet conference center with 300,000 square feet of flexible meeting space, two of the largest pillarless ballrooms in the world and direct access to the LINQ.</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for the Company’s four reportable segments, in addition to Corporate and Other.</w:t>
      </w:r>
    </w:p>
    <w:p>
      <w:pPr>
        <w:spacing w:after="0" w:line="157"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Caesars Digital:</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i w:val="1"/>
                <w:iCs w:val="1"/>
                <w:color w:val="auto"/>
              </w:rPr>
              <w:t>Managed and Branded:</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Corporate and 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Attributable to Caesars to Adjusted EBITDA by Segment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Net loss from discontinued operations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for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on extinguishment of debt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net </w:t>
            </w:r>
            <w:r>
              <w:rPr>
                <w:rFonts w:ascii="Arial" w:cs="Arial" w:eastAsia="Arial" w:hAnsi="Arial"/>
                <w:sz w:val="21"/>
                <w:szCs w:val="21"/>
                <w:i w:val="1"/>
                <w:iCs w:val="1"/>
                <w:color w:val="auto"/>
                <w:vertAlign w:val="superscript"/>
              </w:rPr>
              <w:t>(a)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2"/>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Adjusted EBITDA by Segment:</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Las Vegas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Regional</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Caesars Digital</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color w:val="auto"/>
              </w:rPr>
              <w:t>Managed and Branded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and Other</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57" w:lineRule="auto"/>
        <w:tabs>
          <w:tab w:leader="none" w:pos="327" w:val="left"/>
        </w:tabs>
        <w:numPr>
          <w:ilvl w:val="0"/>
          <w:numId w:val="6"/>
        </w:numPr>
        <w:rPr>
          <w:rFonts w:ascii="Arial" w:cs="Arial" w:eastAsia="Arial" w:hAnsi="Arial"/>
          <w:sz w:val="17"/>
          <w:szCs w:val="17"/>
          <w:i w:val="1"/>
          <w:iCs w:val="1"/>
          <w:color w:val="212529"/>
          <w:vertAlign w:val="superscript"/>
        </w:rPr>
      </w:pPr>
      <w:r>
        <w:rPr>
          <w:rFonts w:ascii="Arial" w:cs="Arial" w:eastAsia="Arial" w:hAnsi="Arial"/>
          <w:sz w:val="13"/>
          <w:szCs w:val="13"/>
          <w:i w:val="1"/>
          <w:iCs w:val="1"/>
          <w:color w:val="auto"/>
        </w:rPr>
        <w:t>Transaction costs and other, net for the three months ended March 31, 2023 primarily includes pre-opening costs in connection with new property openings, professional services for integration activities and non-cash changes in equity method investments. Transaction costs and other, net for the three months ended March 31, 2022 primarily represents a gain resulting from insurance proceeds received in excess of the respective carrying value of the assets damaged at Isle of Capri Casino Hotel Lake Charles by Hurricane Laura.</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Total Assets - By Segment</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720" w:type="dxa"/>
            <w:vAlign w:val="bottom"/>
            <w:gridSpan w:val="2"/>
          </w:tcPr>
          <w:p>
            <w:pPr>
              <w:ind w:left="160"/>
              <w:spacing w:after="0" w:line="165" w:lineRule="exact"/>
              <w:rPr>
                <w:sz w:val="20"/>
                <w:szCs w:val="20"/>
                <w:color w:val="auto"/>
              </w:rPr>
            </w:pPr>
            <w:r>
              <w:rPr>
                <w:rFonts w:ascii="Arial" w:cs="Arial" w:eastAsia="Arial" w:hAnsi="Arial"/>
                <w:sz w:val="16"/>
                <w:szCs w:val="16"/>
                <w:b w:val="1"/>
                <w:bCs w:val="1"/>
                <w:color w:val="auto"/>
              </w:rPr>
              <w:t>March 31, 2023</w:t>
            </w:r>
          </w:p>
        </w:tc>
        <w:tc>
          <w:tcPr>
            <w:tcW w:w="180" w:type="dxa"/>
            <w:vAlign w:val="bottom"/>
          </w:tcPr>
          <w:p>
            <w:pPr>
              <w:spacing w:after="0"/>
              <w:rPr>
                <w:sz w:val="16"/>
                <w:szCs w:val="16"/>
                <w:color w:val="auto"/>
              </w:rPr>
            </w:pPr>
          </w:p>
        </w:tc>
        <w:tc>
          <w:tcPr>
            <w:tcW w:w="1680" w:type="dxa"/>
            <w:vAlign w:val="bottom"/>
          </w:tcPr>
          <w:p>
            <w:pPr>
              <w:jc w:val="right"/>
              <w:ind w:right="199"/>
              <w:spacing w:after="0" w:line="165" w:lineRule="exact"/>
              <w:rPr>
                <w:sz w:val="20"/>
                <w:szCs w:val="20"/>
                <w:color w:val="auto"/>
              </w:rPr>
            </w:pPr>
            <w:r>
              <w:rPr>
                <w:rFonts w:ascii="Arial" w:cs="Arial" w:eastAsia="Arial" w:hAnsi="Arial"/>
                <w:sz w:val="16"/>
                <w:szCs w:val="16"/>
                <w:b w:val="1"/>
                <w:bCs w:val="1"/>
                <w:color w:val="auto"/>
                <w:w w:val="95"/>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Las Vegas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23,547</w:t>
            </w:r>
          </w:p>
        </w:tc>
      </w:tr>
      <w:tr>
        <w:trPr>
          <w:trHeight w:val="240"/>
        </w:trPr>
        <w:tc>
          <w:tcPr>
            <w:tcW w:w="20" w:type="dxa"/>
            <w:vAlign w:val="bottom"/>
          </w:tcPr>
          <w:p>
            <w:pPr>
              <w:spacing w:after="0"/>
              <w:rPr>
                <w:sz w:val="20"/>
                <w:szCs w:val="20"/>
                <w:color w:val="auto"/>
              </w:rPr>
            </w:pPr>
          </w:p>
        </w:tc>
        <w:tc>
          <w:tcPr>
            <w:tcW w:w="7400" w:type="dxa"/>
            <w:vAlign w:val="bottom"/>
            <w:gridSpan w:val="2"/>
          </w:tcPr>
          <w:p>
            <w:pPr>
              <w:ind w:left="20"/>
              <w:spacing w:after="0"/>
              <w:rPr>
                <w:sz w:val="20"/>
                <w:szCs w:val="20"/>
                <w:color w:val="auto"/>
              </w:rPr>
            </w:pPr>
            <w:r>
              <w:rPr>
                <w:rFonts w:ascii="Arial" w:cs="Arial" w:eastAsia="Arial" w:hAnsi="Arial"/>
                <w:sz w:val="16"/>
                <w:szCs w:val="16"/>
                <w:color w:val="auto"/>
              </w:rPr>
              <w:t>Regional</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14,908</w:t>
            </w:r>
          </w:p>
        </w:tc>
      </w:tr>
      <w:tr>
        <w:trPr>
          <w:trHeight w:val="246"/>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Caesars Digital</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40"/>
        </w:trPr>
        <w:tc>
          <w:tcPr>
            <w:tcW w:w="2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Arial" w:cs="Arial" w:eastAsia="Arial" w:hAnsi="Arial"/>
                <w:sz w:val="16"/>
                <w:szCs w:val="16"/>
                <w:color w:val="auto"/>
              </w:rPr>
              <w:t>Managed and Branded</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(6,268)</w:t>
            </w:r>
          </w:p>
        </w:tc>
      </w:tr>
      <w:tr>
        <w:trPr>
          <w:trHeight w:val="206"/>
        </w:trPr>
        <w:tc>
          <w:tcPr>
            <w:tcW w:w="20" w:type="dxa"/>
            <w:vAlign w:val="bottom"/>
          </w:tcPr>
          <w:p>
            <w:pPr>
              <w:spacing w:after="0"/>
              <w:rPr>
                <w:sz w:val="17"/>
                <w:szCs w:val="17"/>
                <w:color w:val="auto"/>
              </w:rPr>
            </w:pPr>
          </w:p>
        </w:tc>
        <w:tc>
          <w:tcPr>
            <w:tcW w:w="740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33,527</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eliminations of transactions among segments, to reconcile to the Company’s consolidated results.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BF2115"/>
        </w:rPr>
        <w:t>Item 2. Management’s Discussion and Analysis of Financial Condition and Results of Operations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Caesars Entertainment, Inc., a Delaware corporation, and its consolidated subsidiaries, which may be referred to as the “Company,” “CEI,” “Caesars,” “we,” “our,” or “us,” for the three months ended March 31, 2023 and 2022 should be read in conjunction with the unaudited consolidated condensed financial statements and the notes thereto and other financial information included elsewhere in this Form 10-Q as well as our Annual Report on Form 10-K for the fiscal year ended December 31, 2022 (the “2022 Annual Report”). Capitalized terms used but not defined in this Form 10-Q have the same meanings as in the 2022 Annual Report.</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on April 22, 2021. Our ticker symbol on the NASDAQ Stock Market is “CZR.”</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own, lease or manage an aggregate of 51 domestic properties in 16 states with approximately 52,100 slot machines, video lottery terminals and e-tables, approximately 2,800 table games and approximately 47,200 hotel rooms as of March 31, 2023. In addition, we have other domestic and international properties that are authorized to use the brands and marks of Caesars Entertainment, Inc., as well as other non-gaming properties. Our primary source of revenue is generated by our casino properties’ gaming operations, our retail and online sports betting, as well as our online gaming, and we utilize our hotels, restaurants, bars, entertainment, racing, retail shops and other services to attract customers to our properties.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2023, we owned 20 of our casinos and leased 25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 and lease the Rio All-Suite Hotel &amp; Casino from a separate third party.</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We also operate and conduct sports wagering across 30 jurisdictions in North America, 22 of which offer mobile sports betting, and operate regulated online real money gaming in six jurisdictions in North America. Our Caesars Sportsbook app operates on the Liberty platform and we maintain other technology platforms that we intend to migrate to the Liberty platform in the future, subject to required approvals. The map below illustrates Caesars Digital’s presence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93345</wp:posOffset>
            </wp:positionV>
            <wp:extent cx="5863590" cy="3951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we partnered with NYRABets LLC, the official online wagering platform of the New York Racing Association, Inc., and launched the Caesars Racebook app which operates in 13 states as of March 31, 2023.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 the process of expanding our Caesars Digital footprint into other states in the near term with our Caesars Sportsbook and Caesars Racebook apps as jurisdictions legalize or provide necessary approvals. No customers under 21 years old are allowed to wager on any of our Caesars Sportsbook, Caesars Racebook and iGaming mobile apps.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periodically divest of assets in order to raise capital, as a result of a determination that the assets are not core to our business, or due to regulatory requirement. A summary of recently completed divestitures of our properties as of March 31, 2023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Property</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Sales Price</w:t>
            </w:r>
          </w:p>
        </w:tc>
      </w:tr>
      <w:tr>
        <w:trPr>
          <w:trHeight w:val="212"/>
        </w:trPr>
        <w:tc>
          <w:tcPr>
            <w:tcW w:w="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Belle of Baton Rouge Casino &amp; Hotel</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May 5, 2022</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93"/>
              </w:rPr>
              <w:t>Discontinued operations:</w:t>
            </w: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William Hill International</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 2022</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£2.0 billion</w:t>
            </w:r>
          </w:p>
        </w:tc>
      </w:tr>
      <w:tr>
        <w:trPr>
          <w:trHeight w:val="251"/>
        </w:trPr>
        <w:tc>
          <w:tcPr>
            <w:tcW w:w="1680" w:type="dxa"/>
            <w:vAlign w:val="bottom"/>
            <w:gridSpan w:val="2"/>
          </w:tcPr>
          <w:p>
            <w:pPr>
              <w:spacing w:after="0"/>
              <w:rPr>
                <w:sz w:val="20"/>
                <w:szCs w:val="20"/>
                <w:color w:val="auto"/>
              </w:rPr>
            </w:pPr>
            <w:r>
              <w:rPr>
                <w:rFonts w:ascii="Arial" w:cs="Arial" w:eastAsia="Arial" w:hAnsi="Arial"/>
                <w:sz w:val="14"/>
                <w:szCs w:val="14"/>
                <w:color w:val="auto"/>
              </w:rPr>
              <w:t>___________________</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9"/>
        </w:trPr>
        <w:tc>
          <w:tcPr>
            <w:tcW w:w="2640" w:type="dxa"/>
            <w:vAlign w:val="bottom"/>
            <w:gridSpan w:val="4"/>
          </w:tcPr>
          <w:p>
            <w:pPr>
              <w:spacing w:after="0"/>
              <w:rPr>
                <w:sz w:val="20"/>
                <w:szCs w:val="20"/>
                <w:color w:val="auto"/>
              </w:rPr>
            </w:pPr>
            <w:r>
              <w:rPr>
                <w:rFonts w:ascii="Arial" w:cs="Arial" w:eastAsia="Arial" w:hAnsi="Arial"/>
                <w:sz w:val="14"/>
                <w:szCs w:val="14"/>
                <w:color w:val="auto"/>
              </w:rPr>
              <w:t>*    Not meaningful.</w:t>
            </w: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13" w:right="339" w:bottom="1440"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Investments and Partnerships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Pompano Joint Venture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we entered into a joint venture with Cordish Companies (“Cordish”) to plan and develop a mixed-use entertainment and hospitality destination expected to be located on unused land adjacent to the casino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net on our Statements of Operations. As of March 31, 2023 and December 31, 2022, our investment in the joint venture was $81 million and $80 million, respectively, and is recorded in Investments in and advances to unconsolidated affiliates on the Balance Sheets. We have no further obligation to contribute additional real estate or cash as of March 31,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NeoGames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an investment in NeoGames S.A., a global leader of iLottery solutions and services to national and state-regulated lotteries, and other investments. On March 14, 2022, we sold our investment at fair value for $26 million and recorded a loss of $34 million during the three months ended March 31, 2022, which is included within Other income on the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 of financial information herein for the periods after the sale of our recently completed divestitures, described above, is not fully comparable to the periods prior to their respective sale dates.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Performance Metrics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and iGaming applications.</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16% to 23% of table game drop in both the Las Vegas and Regional segments. Sports betting hold is typically in the range of 5% to 9% and iGaming hold typically ranges from 3% to 4%. In addition, hotel occupancy, which is the average percentage of available hotel rooms occupied during a period, is a key indicator for our hotel business in the Las Vegas segment. See “Results of Operations” section below. Complimentary rooms are treated as occupied rooms in our calculation of hotel occupancy. The key metrics we utilize to measure our profitability and performance are Adjusted EBITDA and Adjusted EBITDA margin.</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highlights the significant factors impacting our financial results for the three months ended March 31, 2023 and 2022:</w:t>
      </w:r>
    </w:p>
    <w:p>
      <w:pPr>
        <w:spacing w:after="0" w:line="171" w:lineRule="exact"/>
        <w:rPr>
          <w:sz w:val="20"/>
          <w:szCs w:val="20"/>
          <w:color w:val="auto"/>
        </w:rPr>
      </w:pPr>
    </w:p>
    <w:p>
      <w:pPr>
        <w:jc w:val="both"/>
        <w:ind w:left="660" w:hanging="328"/>
        <w:spacing w:after="0" w:line="291" w:lineRule="auto"/>
        <w:tabs>
          <w:tab w:leader="none" w:pos="65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Weather and Construction Disruptions – </w:t>
      </w:r>
      <w:r>
        <w:rPr>
          <w:rFonts w:ascii="Arial" w:cs="Arial" w:eastAsia="Arial" w:hAnsi="Arial"/>
          <w:sz w:val="16"/>
          <w:szCs w:val="16"/>
          <w:color w:val="auto"/>
        </w:rPr>
        <w:t>During the three months ended March 31, 2023, our Regional segment was negatively impacted by</w:t>
      </w:r>
      <w:r>
        <w:rPr>
          <w:rFonts w:ascii="Arial" w:cs="Arial" w:eastAsia="Arial" w:hAnsi="Arial"/>
          <w:sz w:val="16"/>
          <w:szCs w:val="16"/>
          <w:i w:val="1"/>
          <w:iCs w:val="1"/>
          <w:color w:val="auto"/>
        </w:rPr>
        <w:t xml:space="preserve"> </w:t>
      </w:r>
      <w:r>
        <w:rPr>
          <w:rFonts w:ascii="Arial" w:cs="Arial" w:eastAsia="Arial" w:hAnsi="Arial"/>
          <w:sz w:val="16"/>
          <w:szCs w:val="16"/>
          <w:color w:val="auto"/>
        </w:rPr>
        <w:t>severe winter weather, particularly in northern Nevada, which caused poor and unsafe travel conditions reducing visitation to our Lake Tahoe and Reno properties. Additionally, in late August 2020, our Regional segment was negatively impacted by Hurricane Laura, causing severe damage to Isle of Capri Casino Hotel Lake Charles. As a result of the damage, the property remained closed during the construction of our new land-based casino, Horseshoe Lake Charles, which was completed and reopened in December 2022. During the three months ended March 31, 2022, we received insurance proceeds to replace damaged property which were in excess of the respective carrying value of the damaged assets, resulting in a gain of $38 million which is included in Transaction and other costs, net in our Statements of Operations.</w:t>
      </w:r>
    </w:p>
    <w:p>
      <w:pPr>
        <w:spacing w:after="0" w:line="112" w:lineRule="exact"/>
        <w:rPr>
          <w:rFonts w:ascii="Arial" w:cs="Arial" w:eastAsia="Arial" w:hAnsi="Arial"/>
          <w:sz w:val="16"/>
          <w:szCs w:val="16"/>
          <w:i w:val="1"/>
          <w:iCs w:val="1"/>
          <w:color w:val="auto"/>
        </w:rPr>
      </w:pPr>
    </w:p>
    <w:p>
      <w:pPr>
        <w:jc w:val="both"/>
        <w:ind w:left="660" w:hanging="328"/>
        <w:spacing w:after="0" w:line="271" w:lineRule="auto"/>
        <w:tabs>
          <w:tab w:leader="none" w:pos="655" w:val="left"/>
        </w:tabs>
        <w:numPr>
          <w:ilvl w:val="0"/>
          <w:numId w:val="8"/>
        </w:numPr>
        <w:rPr>
          <w:rFonts w:ascii="Arial" w:cs="Arial" w:eastAsia="Arial" w:hAnsi="Arial"/>
          <w:sz w:val="17"/>
          <w:szCs w:val="17"/>
          <w:b w:val="1"/>
          <w:bCs w:val="1"/>
          <w:i w:val="1"/>
          <w:iCs w:val="1"/>
          <w:color w:val="222222"/>
        </w:rPr>
      </w:pPr>
      <w:r>
        <w:rPr>
          <w:rFonts w:ascii="Arial" w:cs="Arial" w:eastAsia="Arial" w:hAnsi="Arial"/>
          <w:sz w:val="17"/>
          <w:szCs w:val="17"/>
          <w:i w:val="1"/>
          <w:iCs w:val="1"/>
          <w:color w:val="212529"/>
        </w:rPr>
        <w:t xml:space="preserve">Caesars Sportsbook and Caesars Racebook </w:t>
      </w:r>
      <w:r>
        <w:rPr>
          <w:rFonts w:ascii="Arial" w:cs="Arial" w:eastAsia="Arial" w:hAnsi="Arial"/>
          <w:sz w:val="17"/>
          <w:szCs w:val="17"/>
          <w:color w:val="000000"/>
        </w:rPr>
        <w:t>– As new states and jurisdictions have legalized sports betting, we have made varying degrees of</w:t>
      </w:r>
      <w:r>
        <w:rPr>
          <w:rFonts w:ascii="Arial" w:cs="Arial" w:eastAsia="Arial" w:hAnsi="Arial"/>
          <w:sz w:val="17"/>
          <w:szCs w:val="17"/>
          <w:i w:val="1"/>
          <w:iCs w:val="1"/>
          <w:color w:val="212529"/>
        </w:rPr>
        <w:t xml:space="preserve"> </w:t>
      </w:r>
      <w:r>
        <w:rPr>
          <w:rFonts w:ascii="Arial" w:cs="Arial" w:eastAsia="Arial" w:hAnsi="Arial"/>
          <w:sz w:val="17"/>
          <w:szCs w:val="17"/>
          <w:color w:val="000000"/>
        </w:rPr>
        <w:t>upfront investments which have been executed through marketing campaigns and promotional incentives to acquire new customers and establish our presence in the new state or jurisdiction. In connection with the launch of our Caesars Sportsbook app in the state of New York and Louisiana in January 2022, we experienced negative net revenue in the first quarter of 2022 resulting from a substantial amount of bonus cash and matched deposits issued to customers as sign-on incentives, which exceeded our gaming win. We continue to adjust our level of investment during the launch period in new jurisdictions based, in part, on prior experience and do not expect such investment to continue at elevated levels subsequent to the initial launch period. During the three months ended March 31, 2023, promotional and marketing expenses have significantly decreased as a result of these efforts, as compared to the prior year period.</w:t>
      </w:r>
    </w:p>
    <w:p>
      <w:pPr>
        <w:spacing w:after="0" w:line="124" w:lineRule="exact"/>
        <w:rPr>
          <w:rFonts w:ascii="Arial" w:cs="Arial" w:eastAsia="Arial" w:hAnsi="Arial"/>
          <w:sz w:val="17"/>
          <w:szCs w:val="17"/>
          <w:b w:val="1"/>
          <w:bCs w:val="1"/>
          <w:i w:val="1"/>
          <w:iCs w:val="1"/>
          <w:color w:val="222222"/>
        </w:rPr>
      </w:pPr>
    </w:p>
    <w:p>
      <w:pPr>
        <w:jc w:val="both"/>
        <w:ind w:left="660" w:hanging="328"/>
        <w:spacing w:after="0" w:line="311" w:lineRule="auto"/>
        <w:tabs>
          <w:tab w:leader="none" w:pos="655" w:val="left"/>
        </w:tabs>
        <w:numPr>
          <w:ilvl w:val="0"/>
          <w:numId w:val="8"/>
        </w:numPr>
        <w:rPr>
          <w:rFonts w:ascii="Arial" w:cs="Arial" w:eastAsia="Arial" w:hAnsi="Arial"/>
          <w:sz w:val="16"/>
          <w:szCs w:val="16"/>
          <w:b w:val="1"/>
          <w:bCs w:val="1"/>
          <w:color w:val="212529"/>
        </w:rPr>
      </w:pPr>
      <w:r>
        <w:rPr>
          <w:rFonts w:ascii="Arial" w:cs="Arial" w:eastAsia="Arial" w:hAnsi="Arial"/>
          <w:sz w:val="16"/>
          <w:szCs w:val="16"/>
          <w:i w:val="1"/>
          <w:iCs w:val="1"/>
          <w:color w:val="auto"/>
        </w:rPr>
        <w:t xml:space="preserve">Economic Factors Impacting Discretionary Spending – </w:t>
      </w:r>
      <w:r>
        <w:rPr>
          <w:rFonts w:ascii="Arial" w:cs="Arial" w:eastAsia="Arial" w:hAnsi="Arial"/>
          <w:sz w:val="16"/>
          <w:szCs w:val="16"/>
          <w:color w:val="212529"/>
        </w:rPr>
        <w:t>Gaming and other leisure activities we offer represent discretionary expenditures which</w:t>
      </w:r>
      <w:r>
        <w:rPr>
          <w:rFonts w:ascii="Arial" w:cs="Arial" w:eastAsia="Arial" w:hAnsi="Arial"/>
          <w:sz w:val="16"/>
          <w:szCs w:val="16"/>
          <w:i w:val="1"/>
          <w:iCs w:val="1"/>
          <w:color w:val="auto"/>
        </w:rPr>
        <w:t xml:space="preserve"> </w:t>
      </w:r>
      <w:r>
        <w:rPr>
          <w:rFonts w:ascii="Arial" w:cs="Arial" w:eastAsia="Arial" w:hAnsi="Arial"/>
          <w:sz w:val="16"/>
          <w:szCs w:val="16"/>
          <w:color w:val="212529"/>
        </w:rPr>
        <w:t>may be sensitive to economic downturns, such as the resurgence of the Omicron variant of COVID-19 that negatively impacted the first quarter of 2022. W</w:t>
      </w:r>
      <w:r>
        <w:rPr>
          <w:rFonts w:ascii="Arial" w:cs="Arial" w:eastAsia="Arial" w:hAnsi="Arial"/>
          <w:sz w:val="16"/>
          <w:szCs w:val="16"/>
          <w:color w:val="000000"/>
        </w:rPr>
        <w:t>e also monitor the recent trends, including higher inflation and interest rates, and the related effects on our customers, and our operations.</w:t>
      </w:r>
    </w:p>
    <w:p>
      <w:pPr>
        <w:spacing w:after="0" w:line="94" w:lineRule="exact"/>
        <w:rPr>
          <w:rFonts w:ascii="Arial" w:cs="Arial" w:eastAsia="Arial" w:hAnsi="Arial"/>
          <w:sz w:val="16"/>
          <w:szCs w:val="16"/>
          <w:b w:val="1"/>
          <w:bCs w:val="1"/>
          <w:color w:val="212529"/>
        </w:rPr>
      </w:pPr>
    </w:p>
    <w:p>
      <w:pPr>
        <w:ind w:left="660" w:hanging="328"/>
        <w:spacing w:after="0" w:line="277"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Divestitures and Discontinued Operations – </w:t>
      </w:r>
      <w:r>
        <w:rPr>
          <w:rFonts w:ascii="Arial" w:cs="Arial" w:eastAsia="Arial" w:hAnsi="Arial"/>
          <w:sz w:val="18"/>
          <w:szCs w:val="18"/>
          <w:color w:val="auto"/>
        </w:rPr>
        <w:t>See “Overview” section above for detail on properties divested, including related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12"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914</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1,363</w:t>
            </w: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42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r>
      <w:tr>
        <w:trPr>
          <w:trHeight w:val="243"/>
        </w:trPr>
        <w:tc>
          <w:tcPr>
            <w:tcW w:w="20" w:type="dxa"/>
            <w:vAlign w:val="bottom"/>
            <w:tcBorders>
              <w:bottom w:val="single" w:sz="8" w:color="CCEEFF"/>
            </w:tcBorders>
          </w:tcPr>
          <w:p>
            <w:pPr>
              <w:spacing w:after="0"/>
              <w:rPr>
                <w:sz w:val="21"/>
                <w:szCs w:val="21"/>
                <w:color w:val="auto"/>
              </w:rPr>
            </w:pPr>
          </w:p>
        </w:tc>
        <w:tc>
          <w:tcPr>
            <w:tcW w:w="7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(680)</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400</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459</w:t>
            </w:r>
          </w:p>
        </w:tc>
      </w:tr>
      <w:tr>
        <w:trPr>
          <w:trHeight w:val="213"/>
        </w:trPr>
        <w:tc>
          <w:tcPr>
            <w:tcW w:w="2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42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(554)</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r>
      <w:tr>
        <w:trPr>
          <w:trHeight w:val="243"/>
        </w:trPr>
        <w:tc>
          <w:tcPr>
            <w:tcW w:w="20" w:type="dxa"/>
            <w:vAlign w:val="bottom"/>
            <w:tcBorders>
              <w:bottom w:val="single" w:sz="8" w:color="CCEEFF"/>
            </w:tcBorders>
          </w:tcPr>
          <w:p>
            <w:pPr>
              <w:spacing w:after="0"/>
              <w:rPr>
                <w:sz w:val="21"/>
                <w:szCs w:val="21"/>
                <w:color w:val="auto"/>
              </w:rPr>
            </w:pPr>
          </w:p>
        </w:tc>
        <w:tc>
          <w:tcPr>
            <w:tcW w:w="7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margin</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10"/>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12.9 %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48" w:lineRule="exact"/>
        <w:rPr>
          <w:rFonts w:ascii="Arial" w:cs="Arial" w:eastAsia="Arial" w:hAnsi="Arial"/>
          <w:sz w:val="19"/>
          <w:szCs w:val="19"/>
          <w:i w:val="1"/>
          <w:iCs w:val="1"/>
          <w:color w:val="auto"/>
          <w:vertAlign w:val="superscript"/>
        </w:rPr>
      </w:pPr>
    </w:p>
    <w:p>
      <w:pPr>
        <w:ind w:left="340" w:hanging="332"/>
        <w:spacing w:after="0" w:line="293" w:lineRule="auto"/>
        <w:tabs>
          <w:tab w:leader="none" w:pos="327" w:val="left"/>
        </w:tabs>
        <w:numPr>
          <w:ilvl w:val="0"/>
          <w:numId w:val="9"/>
        </w:numPr>
        <w:rPr>
          <w:rFonts w:ascii="Arial" w:cs="Arial" w:eastAsia="Arial" w:hAnsi="Arial"/>
          <w:sz w:val="9"/>
          <w:szCs w:val="9"/>
          <w:b w:val="1"/>
          <w:bCs w:val="1"/>
          <w:i w:val="1"/>
          <w:iCs w:val="1"/>
          <w:color w:val="auto"/>
        </w:rPr>
      </w:pPr>
      <w:r>
        <w:rPr>
          <w:rFonts w:ascii="Arial" w:cs="Arial" w:eastAsia="Arial" w:hAnsi="Arial"/>
          <w:sz w:val="14"/>
          <w:szCs w:val="14"/>
          <w:i w:val="1"/>
          <w:iCs w:val="1"/>
          <w:color w:val="auto"/>
        </w:rPr>
        <w:t>See the “Supplemental Unaudited Presentation of Consolidated Adjusted Earnings Before Interest, Taxes, Depreciation and Amortization (“Adjusted EBITDA”) for the three months ended March 31, 2023 and 2022” discussion later in this MD&amp;A for a definition of Adjusted EBITDA and a reconciliation of net income (loss) to Adjusted EBITDA.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comparison of the three months ended March 31, 2023 and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4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59"/>
              <w:spacing w:after="0" w:line="142"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4"/>
                <w:szCs w:val="14"/>
                <w:color w:val="auto"/>
              </w:rPr>
            </w:pPr>
          </w:p>
        </w:tc>
        <w:tc>
          <w:tcPr>
            <w:tcW w:w="166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22.7 %</w:t>
            </w:r>
          </w:p>
        </w:tc>
      </w:tr>
      <w:tr>
        <w:trPr>
          <w:trHeight w:val="213"/>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26.0 %</w:t>
            </w:r>
          </w:p>
        </w:tc>
      </w:tr>
      <w:tr>
        <w:trPr>
          <w:trHeight w:val="21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31.3 %</w:t>
            </w:r>
          </w:p>
        </w:tc>
      </w:tr>
      <w:tr>
        <w:trPr>
          <w:trHeight w:val="213"/>
        </w:trPr>
        <w:tc>
          <w:tcPr>
            <w:tcW w:w="2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13.3 %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Consolidated net revenues increased for the three months ended March 31, 2023 primarily due to improved gaming volumes, particularly in the Las Vegas segment, and increased occupancy and room rates due to strong leisure, group and convention demand. Additionally, in December 2022, Horseshoe Lake Charles reopened after its closure in 2020 due to severe damage from Hurricane Laura. Net revenues within the Caesars Digital segment increased significantly versus the prior year period due to a reduction in promotional allowances for new state launches coupled with higher hold. The Omicron variant of COVID-19 negatively impacted prior year results during the first quarter of 2022, including disruptions to convention and banquets, as well as disruptions to scheduled concert events. The Company continues to remain strategic with expanded partnerships with iconic entertainers to put on concerts and performances, and celebrity chefs to offer new food and beverage venues and menu options. Inclement weather across the country, particularly in northern Nevada, restricted travel and negatively offset these results.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09"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47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59"/>
              <w:spacing w:after="0" w:line="142"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4"/>
                <w:szCs w:val="14"/>
                <w:color w:val="auto"/>
              </w:rPr>
            </w:pPr>
          </w:p>
        </w:tc>
        <w:tc>
          <w:tcPr>
            <w:tcW w:w="164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24.3 %</w:t>
            </w:r>
          </w:p>
        </w:tc>
      </w:tr>
      <w:tr>
        <w:trPr>
          <w:trHeight w:val="21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19.1 %</w:t>
            </w:r>
          </w:p>
        </w:tc>
      </w:tr>
      <w:tr>
        <w:trPr>
          <w:trHeight w:val="213"/>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21.6 %</w:t>
            </w:r>
          </w:p>
        </w:tc>
      </w:tr>
      <w:tr>
        <w:trPr>
          <w:trHeight w:val="21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3"/>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14.5 %</w:t>
            </w:r>
          </w:p>
        </w:tc>
      </w:tr>
      <w:tr>
        <w:trPr>
          <w:trHeight w:val="21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Transaction and other costs, 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Casino expenses consist principally of salaries and wages associated with our gaming operations, gaming taxes and marketing and promotions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and professional talent fees associated with our retail, entertainment and other operations.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Casino expenses decreased for the three months ended March 31, 2023 as compared to the same prior year period as the first quarter of 2022 included significant advertising costs directly attributable to our Caesars Digital segment, due to promotion of our Caesars Sportsbook app and its expansion into new jurisdictions. Operating expenses have increased in connection with increased revenues, however, we continue to focus on labor efficiencies to manage rising labor costs and strategically manage our marketing and promotional spend to reduce our casino expenses. Similarly, we continue to manage recent increases in food costs by focusing on efficiencies within food and beverage venues and menu options.</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 General and administrative expenses have remained comparable to the prior year period.</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Transaction and other costs, net increased for the three months ended March 31, 2023 as compared to the same prior year period, mainly due to a gain </w:t>
      </w:r>
      <w:r>
        <w:rPr>
          <w:rFonts w:ascii="Arial" w:cs="Arial" w:eastAsia="Arial" w:hAnsi="Arial"/>
          <w:sz w:val="18"/>
          <w:szCs w:val="18"/>
          <w:color w:val="212529"/>
        </w:rPr>
        <w:t>of</w:t>
      </w:r>
      <w:r>
        <w:rPr>
          <w:rFonts w:ascii="Arial" w:cs="Arial" w:eastAsia="Arial" w:hAnsi="Arial"/>
          <w:sz w:val="18"/>
          <w:szCs w:val="18"/>
          <w:color w:val="auto"/>
        </w:rPr>
        <w:t xml:space="preserve"> </w:t>
      </w:r>
      <w:r>
        <w:rPr>
          <w:rFonts w:ascii="Arial" w:cs="Arial" w:eastAsia="Arial" w:hAnsi="Arial"/>
          <w:sz w:val="18"/>
          <w:szCs w:val="18"/>
          <w:color w:val="212529"/>
        </w:rPr>
        <w:t>approximately $38 million recorded in the first quarter of 2022 as proceeds received for the Isle of Capri Casino Hotel Lake Charles property damage were in excess of the respective carrying value of the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47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59"/>
              <w:spacing w:after="0" w:line="142"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4"/>
                <w:szCs w:val="14"/>
                <w:color w:val="auto"/>
              </w:rPr>
            </w:pPr>
          </w:p>
        </w:tc>
        <w:tc>
          <w:tcPr>
            <w:tcW w:w="164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0"/>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6"/>
                <w:szCs w:val="16"/>
                <w:color w:val="auto"/>
              </w:rPr>
              <w:t>Benefit for income taxes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(54.2)%</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net increased for the three months ended March 31, 2023, as compared to the same prior year period due to rising interest rates related to our variable rate debt. Further, our financing obligations related to our VICI Leases contain annual escalators, including escalators based on the Consumer Price Index (“CPI”), which take effect in November of each year and have resulted in increased interest expense year over year.</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2023, loss on extinguishment of debt was related to the early prepayments of the Caesars Resort Collection (“CRC”) Term Loan and the CRC Incremental Term Loan.</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income tax benefit for the three months ended March 31, 2023 differed from the expected income tax benefit based on the federal tax rate of 21% primarily due to state deferred tax benefits generated from net operating losses becoming available due to elections to treat certain subsidiary corporations as disregarded entities for income tax purposes. The income tax benefit for the three months ended March 31, 2022 differed from the expected income tax benefit based on the federal tax rate of 21% primarily due to nondeductible expenses and state income taxes.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there is a recent history of operating losses and negative normalized earnings and a return to operating profitability has not yet been demonstrated, we cannot rely on projections of future taxable earnings for purposes of assessing recoverability of our deferred tax assets. In such cases, we use systematic and logical methods to estimate when deferred tax liabilities will reverse and generate taxable income and when deferred tax assets will reverse and generate tax deductions. Our most significant deferred tax asset relates to the failed sale-leaseback obligation with VICI and GLPI. The reversal of this deferred tax asset requires judgment and estimates and has a material impact on the determination of the amount of valuation allowance required.</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we have provided a valuation allowance on a portion of our deferred tax assets that we believe will not be realized on a more likely than not basis. However, we have recently observed positive trends in our operating results and if these trends continue, in the foreseeable future we may determine that we will be able to realize a significant portion of these deferred tax assets. A future reversal of the valuation allowance on our deferred tax assets could result in an income tax benefit of $0.9 billion to $1.2 billion.</w:t>
      </w:r>
    </w:p>
    <w:p>
      <w:pPr>
        <w:spacing w:after="0" w:line="129" w:lineRule="exact"/>
        <w:rPr>
          <w:sz w:val="20"/>
          <w:szCs w:val="20"/>
          <w:color w:val="auto"/>
        </w:rPr>
      </w:pPr>
    </w:p>
    <w:p>
      <w:pPr>
        <w:ind w:right="5620"/>
        <w:spacing w:after="0" w:line="464" w:lineRule="auto"/>
        <w:rPr>
          <w:sz w:val="20"/>
          <w:szCs w:val="20"/>
          <w:color w:val="auto"/>
        </w:rPr>
      </w:pPr>
      <w:r>
        <w:rPr>
          <w:rFonts w:ascii="Arial" w:cs="Arial" w:eastAsia="Arial" w:hAnsi="Arial"/>
          <w:sz w:val="18"/>
          <w:szCs w:val="18"/>
          <w:b w:val="1"/>
          <w:bCs w:val="1"/>
          <w:color w:val="auto"/>
        </w:rPr>
        <w:t xml:space="preserve">Segment comparison of the three months ended March 31, 2023 and 2022 </w:t>
      </w:r>
      <w:r>
        <w:rPr>
          <w:rFonts w:ascii="Arial" w:cs="Arial" w:eastAsia="Arial" w:hAnsi="Arial"/>
          <w:sz w:val="18"/>
          <w:szCs w:val="18"/>
          <w:i w:val="1"/>
          <w:iCs w:val="1"/>
          <w:u w:val="single" w:color="auto"/>
          <w:color w:val="auto"/>
        </w:rPr>
        <w:t>Las Vegas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50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99"/>
              <w:spacing w:after="0" w:line="142"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4"/>
                <w:szCs w:val="14"/>
                <w:color w:val="auto"/>
              </w:rPr>
            </w:pPr>
          </w:p>
        </w:tc>
        <w:tc>
          <w:tcPr>
            <w:tcW w:w="152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ind w:left="120"/>
              <w:spacing w:after="0"/>
              <w:rPr>
                <w:sz w:val="20"/>
                <w:szCs w:val="20"/>
                <w:color w:val="auto"/>
              </w:rPr>
            </w:pPr>
            <w:r>
              <w:rPr>
                <w:rFonts w:ascii="Arial" w:cs="Arial" w:eastAsia="Arial" w:hAnsi="Arial"/>
                <w:sz w:val="16"/>
                <w:szCs w:val="16"/>
                <w:color w:val="auto"/>
              </w:rPr>
              <w:t>Casino</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6.2 %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31.8 %</w:t>
            </w:r>
          </w:p>
        </w:tc>
      </w:tr>
      <w:tr>
        <w:trPr>
          <w:trHeight w:val="213"/>
        </w:trPr>
        <w:tc>
          <w:tcPr>
            <w:tcW w:w="20" w:type="dxa"/>
            <w:vAlign w:val="bottom"/>
          </w:tcPr>
          <w:p>
            <w:pPr>
              <w:spacing w:after="0"/>
              <w:rPr>
                <w:sz w:val="18"/>
                <w:szCs w:val="18"/>
                <w:color w:val="auto"/>
              </w:rPr>
            </w:pPr>
          </w:p>
        </w:tc>
        <w:tc>
          <w:tcPr>
            <w:tcW w:w="5000" w:type="dxa"/>
            <w:vAlign w:val="bottom"/>
            <w:gridSpan w:val="2"/>
          </w:tcPr>
          <w:p>
            <w:pPr>
              <w:ind w:left="12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40.2 %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16.1 %</w:t>
            </w:r>
          </w:p>
        </w:tc>
      </w:tr>
      <w:tr>
        <w:trPr>
          <w:trHeight w:val="209"/>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23.7 %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801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17.2 %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pts</w:t>
            </w: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2,749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2,488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261</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10.5 %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Hotel occupancy</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33.3 %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74.4 %</w:t>
            </w: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Las Vegas segment’s net revenues, net income, Adjusted EBITDA and Adjusted EBITDA margin increased for the three months ended March 31, 2023, primarily due to the resurgence of the Omicron variant of COVID-19 which negatively impacted prior year results. Increased visitation drove higher hotel occupancy, room rates and higher food and beverage and entertainment revenues as compared to the prior year period. Group and conventions were also negatively impacted by COVID-19 in the first quarter of 2022 but have recovered strongly versus the prior year. Our food and beverage revenues are driven by higher restaurant covers and improved product mix with recent additions of casual and premier dining venues. Entertainment revenues have also increased as compared to the same prior year period, which included show cancellations and postponements due to the resurgence of the Omicron variant of COVID-19.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slot win percentage in the Las Vegas segment was within our typical range.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Regional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50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4"/>
                <w:szCs w:val="14"/>
                <w:color w:val="auto"/>
              </w:rPr>
            </w:pPr>
          </w:p>
        </w:tc>
        <w:tc>
          <w:tcPr>
            <w:tcW w:w="152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ind w:left="120"/>
              <w:spacing w:after="0"/>
              <w:rPr>
                <w:sz w:val="20"/>
                <w:szCs w:val="20"/>
                <w:color w:val="auto"/>
              </w:rPr>
            </w:pPr>
            <w:r>
              <w:rPr>
                <w:rFonts w:ascii="Arial" w:cs="Arial" w:eastAsia="Arial" w:hAnsi="Arial"/>
                <w:sz w:val="16"/>
                <w:szCs w:val="16"/>
                <w:color w:val="auto"/>
              </w:rPr>
              <w:t>Casino</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13"/>
        </w:trPr>
        <w:tc>
          <w:tcPr>
            <w:tcW w:w="20" w:type="dxa"/>
            <w:vAlign w:val="bottom"/>
          </w:tcPr>
          <w:p>
            <w:pPr>
              <w:spacing w:after="0"/>
              <w:rPr>
                <w:sz w:val="18"/>
                <w:szCs w:val="18"/>
                <w:color w:val="auto"/>
              </w:rPr>
            </w:pPr>
          </w:p>
        </w:tc>
        <w:tc>
          <w:tcPr>
            <w:tcW w:w="5000" w:type="dxa"/>
            <w:vAlign w:val="bottom"/>
            <w:gridSpan w:val="2"/>
          </w:tcPr>
          <w:p>
            <w:pPr>
              <w:ind w:left="120"/>
              <w:spacing w:after="0"/>
              <w:rPr>
                <w:sz w:val="20"/>
                <w:szCs w:val="20"/>
                <w:color w:val="auto"/>
              </w:rPr>
            </w:pPr>
            <w:r>
              <w:rPr>
                <w:rFonts w:ascii="Arial" w:cs="Arial" w:eastAsia="Arial" w:hAnsi="Arial"/>
                <w:sz w:val="16"/>
                <w:szCs w:val="16"/>
                <w:color w:val="auto"/>
              </w:rPr>
              <w:t>Hotel</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11.1 %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09"/>
        </w:trPr>
        <w:tc>
          <w:tcPr>
            <w:tcW w:w="20" w:type="dxa"/>
            <w:vAlign w:val="bottom"/>
          </w:tcPr>
          <w:p>
            <w:pPr>
              <w:spacing w:after="0"/>
              <w:rPr>
                <w:sz w:val="18"/>
                <w:szCs w:val="18"/>
                <w:color w:val="auto"/>
              </w:rPr>
            </w:pPr>
          </w:p>
        </w:tc>
        <w:tc>
          <w:tcPr>
            <w:tcW w:w="50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pts</w:t>
            </w: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10,552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10,411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r>
    </w:tbl>
    <w:p>
      <w:pPr>
        <w:spacing w:after="0" w:line="2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Regional segment’s net revenues increased slightly for the three months ended March 31, 2023 as compared to prior period, primarily due to the reopening of Horseshoe Lake Charles in the fourth quarter of 2022 and recovery from the resurgence of the Omicron variant of COVID-19 in the first quarter of 2022. In addition, our Regional segment also experienced net revenue growth due to improved food and beverage offerings, increased entertainment revenues and an increase in banquets. These increases were offset by the negative impact from severe winter weather, particularly in northern Nevada, where poor and unsafe travel conditions resulted from significant snowfall that reduced visitation to our Lake Tahoe and Reno properties. </w:t>
      </w:r>
      <w:r>
        <w:rPr>
          <w:rFonts w:ascii="Arial" w:cs="Arial" w:eastAsia="Arial" w:hAnsi="Arial"/>
          <w:sz w:val="16"/>
          <w:szCs w:val="16"/>
          <w:color w:val="212529"/>
        </w:rPr>
        <w:t>We also continue to monitor our</w:t>
      </w:r>
      <w:r>
        <w:rPr>
          <w:rFonts w:ascii="Arial" w:cs="Arial" w:eastAsia="Arial" w:hAnsi="Arial"/>
          <w:sz w:val="16"/>
          <w:szCs w:val="16"/>
          <w:color w:val="auto"/>
        </w:rPr>
        <w:t xml:space="preserve"> </w:t>
      </w:r>
      <w:r>
        <w:rPr>
          <w:rFonts w:ascii="Arial" w:cs="Arial" w:eastAsia="Arial" w:hAnsi="Arial"/>
          <w:sz w:val="16"/>
          <w:szCs w:val="16"/>
          <w:color w:val="212529"/>
        </w:rPr>
        <w:t xml:space="preserve">competitive environment resulting from </w:t>
      </w:r>
      <w:r>
        <w:rPr>
          <w:rFonts w:ascii="Arial" w:cs="Arial" w:eastAsia="Arial" w:hAnsi="Arial"/>
          <w:sz w:val="16"/>
          <w:szCs w:val="16"/>
          <w:color w:val="000000"/>
        </w:rPr>
        <w:t>the opening of new casino resorts in the Chicagoland area and Philadelphia, Pennsylvania. As a result of these</w:t>
      </w:r>
      <w:r>
        <w:rPr>
          <w:rFonts w:ascii="Arial" w:cs="Arial" w:eastAsia="Arial" w:hAnsi="Arial"/>
          <w:sz w:val="16"/>
          <w:szCs w:val="16"/>
          <w:color w:val="212529"/>
        </w:rPr>
        <w:t xml:space="preserve"> </w:t>
      </w:r>
      <w:r>
        <w:rPr>
          <w:rFonts w:ascii="Arial" w:cs="Arial" w:eastAsia="Arial" w:hAnsi="Arial"/>
          <w:sz w:val="16"/>
          <w:szCs w:val="16"/>
          <w:color w:val="000000"/>
        </w:rPr>
        <w:t>disruptions, net income and Adjusted EBITDA and Adjusted EBITDA margin decreased compared to the same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Slot win percentage in the Regional segment for the three months ended March 31, 2023 was within our typical range.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Caesars Digital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50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4"/>
                <w:szCs w:val="14"/>
                <w:color w:val="auto"/>
              </w:rPr>
            </w:pPr>
          </w:p>
        </w:tc>
        <w:tc>
          <w:tcPr>
            <w:tcW w:w="152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Casino </w:t>
            </w:r>
            <w:r>
              <w:rPr>
                <w:rFonts w:ascii="Arial" w:cs="Arial" w:eastAsia="Arial" w:hAnsi="Arial"/>
                <w:sz w:val="21"/>
                <w:szCs w:val="21"/>
                <w:i w:val="1"/>
                <w:iCs w:val="1"/>
                <w:color w:val="auto"/>
                <w:vertAlign w:val="superscript"/>
              </w:rPr>
              <w:t>(a)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288</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18.8 %</w:t>
            </w:r>
          </w:p>
        </w:tc>
      </w:tr>
      <w:tr>
        <w:trPr>
          <w:trHeight w:val="183"/>
        </w:trPr>
        <w:tc>
          <w:tcPr>
            <w:tcW w:w="20" w:type="dxa"/>
            <w:vAlign w:val="bottom"/>
          </w:tcPr>
          <w:p>
            <w:pPr>
              <w:spacing w:after="0"/>
              <w:rPr>
                <w:sz w:val="15"/>
                <w:szCs w:val="15"/>
                <w:color w:val="auto"/>
              </w:rPr>
            </w:pPr>
          </w:p>
        </w:tc>
        <w:tc>
          <w:tcPr>
            <w:tcW w:w="5000" w:type="dxa"/>
            <w:vAlign w:val="bottom"/>
            <w:gridSpan w:val="2"/>
          </w:tcPr>
          <w:p>
            <w:pPr>
              <w:ind w:left="340"/>
              <w:spacing w:after="0" w:line="183" w:lineRule="exact"/>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238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(53)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w:t>
            </w:r>
          </w:p>
        </w:tc>
        <w:tc>
          <w:tcPr>
            <w:tcW w:w="16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Sports betting handle </w:t>
            </w:r>
            <w:r>
              <w:rPr>
                <w:rFonts w:ascii="Arial" w:cs="Arial" w:eastAsia="Arial" w:hAnsi="Arial"/>
                <w:sz w:val="21"/>
                <w:szCs w:val="21"/>
                <w:i w:val="1"/>
                <w:iCs w:val="1"/>
                <w:color w:val="auto"/>
                <w:vertAlign w:val="superscript"/>
              </w:rPr>
              <w:t>(b)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4,690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(1,289)</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(27.5)%</w:t>
            </w: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Sports betting hold %</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iGaming handle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iGaming hold %</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99.3 %</w:t>
            </w:r>
          </w:p>
        </w:tc>
      </w:tr>
      <w:tr>
        <w:trPr>
          <w:trHeight w:val="21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94.4 %</w:t>
            </w:r>
          </w:p>
        </w:tc>
      </w:tr>
      <w:tr>
        <w:trPr>
          <w:trHeight w:val="311"/>
        </w:trPr>
        <w:tc>
          <w:tcPr>
            <w:tcW w:w="50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55" w:lineRule="exact"/>
        <w:rPr>
          <w:sz w:val="20"/>
          <w:szCs w:val="20"/>
          <w:color w:val="auto"/>
        </w:rPr>
      </w:pPr>
    </w:p>
    <w:p>
      <w:pPr>
        <w:ind w:left="340" w:hanging="332"/>
        <w:spacing w:after="0" w:line="320" w:lineRule="auto"/>
        <w:tabs>
          <w:tab w:leader="none" w:pos="327" w:val="left"/>
        </w:tabs>
        <w:numPr>
          <w:ilvl w:val="0"/>
          <w:numId w:val="13"/>
        </w:numPr>
        <w:rPr>
          <w:rFonts w:ascii="Arial" w:cs="Arial" w:eastAsia="Arial" w:hAnsi="Arial"/>
          <w:sz w:val="9"/>
          <w:szCs w:val="9"/>
          <w:i w:val="1"/>
          <w:iCs w:val="1"/>
          <w:color w:val="auto"/>
        </w:rPr>
      </w:pPr>
      <w:r>
        <w:rPr>
          <w:rFonts w:ascii="Arial" w:cs="Arial" w:eastAsia="Arial" w:hAnsi="Arial"/>
          <w:sz w:val="13"/>
          <w:szCs w:val="13"/>
          <w:i w:val="1"/>
          <w:iCs w:val="1"/>
          <w:color w:val="auto"/>
        </w:rPr>
        <w:t>Includes total promotional and complimentary incentives related to sports betting, iGaming, and poker of $77 million and $373 million for the three months ended March 31, 2023 and 2022, respectively. Promotional and complimentary incentives for poker were $4 million and $5 million for the three months ended March 31, 2023 and 2022, respectively.</w:t>
      </w:r>
    </w:p>
    <w:p>
      <w:pPr>
        <w:spacing w:after="0" w:line="6" w:lineRule="exact"/>
        <w:rPr>
          <w:rFonts w:ascii="Arial" w:cs="Arial" w:eastAsia="Arial" w:hAnsi="Arial"/>
          <w:sz w:val="9"/>
          <w:szCs w:val="9"/>
          <w:i w:val="1"/>
          <w:iCs w:val="1"/>
          <w:color w:val="auto"/>
        </w:rPr>
      </w:pPr>
    </w:p>
    <w:p>
      <w:pPr>
        <w:jc w:val="both"/>
        <w:ind w:left="340" w:hanging="332"/>
        <w:spacing w:after="0" w:line="237" w:lineRule="auto"/>
        <w:tabs>
          <w:tab w:leader="none" w:pos="327"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Caesars Digital generated an additional $328 million and $343 million of sports betting handle, for the three months ended March 31, 2023 and 2022, respectively, which is not included in this table, for select wholly-owned and third-party operations for which Caesars Digital provides services and we receive all, or a share of, the net profits. Hold related to these operations was 10.4% and 9.4%, for the three months ended March 31, 2023 and 2022, respectively. Sports betting handle includes $12 million and $13 million for the three months ended March 31, 2023 and 2022, respectively, related to horse racing and pari-mutuel wagers.</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Caesars Digital includes the operations for retail and mobile sports betting, online casino, poker, and horse racing, which includes our Caesars Sportsbook, Caesars Racebook and iGaming mobile apps. Caesars Digital’s net revenues, net loss, Adjusted EBITDA, and Adjusted EBITDA margin improved for the three months ended March 31, 2023 as compared to the prior period, primarily due lower year over year promotional offerings for new state launches, coupled with higher sports betting hold. We experienced negative net revenue in the first quarter of 2022 as a result of increased promotional offerings for new state launches in New York and Louisiana. We continue to refine our promotional intensity during the launch period in new jurisdictions based, in part, on prior experience and do not expect such investment to continue at elevated levels subsequent to initial launch periods. During the three months ended March 31, 2023, promotional and marketing expenses decreased significantly as a result of these efforts, as compared to the prior year period.</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March 31, 2023, Caesars Digital began operations in Massachusetts and Ohio. In contrast to our prior year launch in New York and Louisiana, we utilized past experience and applied more modest strategies to target our level of investment into these new jurisdictions to maximize the return on our promotional offerings. As sports betting and online casinos expand through increased state legalization and customer adoption, variations in hold percentages and increases in marketing and promotional costs in highly competitive markets during promotional periods may negatively impact Caesars Digital’s net revenues, Adjusted EBITDA and Adjusted EBITDA margin in comparison to current or prior periods.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Sports betting and iGaming hold percentages in the Caesars Digital segment for the three months ended March 31, 2023 were within our typical range.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Managed and Branded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50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99"/>
              <w:spacing w:after="0" w:line="142"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4"/>
                <w:szCs w:val="14"/>
                <w:color w:val="auto"/>
              </w:rPr>
            </w:pPr>
          </w:p>
        </w:tc>
        <w:tc>
          <w:tcPr>
            <w:tcW w:w="152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4.5 %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Net income (loss) attributable to Caesars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230</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317"/>
        </w:trPr>
        <w:tc>
          <w:tcPr>
            <w:tcW w:w="50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51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4"/>
                <w:szCs w:val="14"/>
                <w:color w:val="auto"/>
              </w:rPr>
            </w:pPr>
          </w:p>
        </w:tc>
        <w:tc>
          <w:tcPr>
            <w:tcW w:w="156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Reimbursable management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10"/>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Reimbursable management cost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8.7 %</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&amp; Other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51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ind w:left="160"/>
              <w:spacing w:after="0" w:line="142" w:lineRule="exact"/>
              <w:rPr>
                <w:sz w:val="20"/>
                <w:szCs w:val="20"/>
                <w:color w:val="auto"/>
              </w:rPr>
            </w:pPr>
            <w:r>
              <w:rPr>
                <w:rFonts w:ascii="Arial" w:cs="Arial" w:eastAsia="Arial" w:hAnsi="Arial"/>
                <w:sz w:val="16"/>
                <w:szCs w:val="16"/>
                <w:b w:val="1"/>
                <w:bCs w:val="1"/>
                <w:color w:val="auto"/>
              </w:rPr>
              <w:t>Variance</w:t>
            </w:r>
          </w:p>
        </w:tc>
        <w:tc>
          <w:tcPr>
            <w:tcW w:w="80" w:type="dxa"/>
            <w:vAlign w:val="bottom"/>
          </w:tcPr>
          <w:p>
            <w:pPr>
              <w:spacing w:after="0"/>
              <w:rPr>
                <w:sz w:val="14"/>
                <w:szCs w:val="14"/>
                <w:color w:val="auto"/>
              </w:rPr>
            </w:pPr>
          </w:p>
        </w:tc>
        <w:tc>
          <w:tcPr>
            <w:tcW w:w="156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Percent 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160" w:type="dxa"/>
            <w:vAlign w:val="bottom"/>
            <w:gridSpan w:val="2"/>
          </w:tcPr>
          <w:p>
            <w:pPr>
              <w:ind w:left="120"/>
              <w:spacing w:after="0"/>
              <w:rPr>
                <w:sz w:val="20"/>
                <w:szCs w:val="20"/>
                <w:color w:val="auto"/>
              </w:rPr>
            </w:pPr>
            <w:r>
              <w:rPr>
                <w:rFonts w:ascii="Arial" w:cs="Arial" w:eastAsia="Arial" w:hAnsi="Arial"/>
                <w:sz w:val="16"/>
                <w:szCs w:val="16"/>
                <w:color w:val="auto"/>
              </w:rPr>
              <w:t>Casino</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39"/>
              <w:spacing w:after="0"/>
              <w:rPr>
                <w:sz w:val="20"/>
                <w:szCs w:val="20"/>
                <w:color w:val="auto"/>
              </w:rPr>
            </w:pPr>
            <w:r>
              <w:rPr>
                <w:rFonts w:ascii="Arial" w:cs="Arial" w:eastAsia="Arial" w:hAnsi="Arial"/>
                <w:sz w:val="16"/>
                <w:szCs w:val="16"/>
                <w:color w:val="auto"/>
                <w:w w:val="91"/>
              </w:rPr>
              <w:t>(1)</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859"/>
              <w:spacing w:after="0"/>
              <w:rPr>
                <w:sz w:val="20"/>
                <w:szCs w:val="20"/>
                <w:color w:val="auto"/>
              </w:rPr>
            </w:pPr>
            <w:r>
              <w:rPr>
                <w:rFonts w:ascii="Arial" w:cs="Arial" w:eastAsia="Arial" w:hAnsi="Arial"/>
                <w:sz w:val="16"/>
                <w:szCs w:val="16"/>
                <w:color w:val="auto"/>
                <w:w w:val="89"/>
              </w:rPr>
              <w:t>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0"/>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w w:val="89"/>
              </w:rPr>
              <w:t>1</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50.0 %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39"/>
              <w:spacing w:after="0"/>
              <w:rPr>
                <w:sz w:val="20"/>
                <w:szCs w:val="20"/>
                <w:color w:val="auto"/>
              </w:rPr>
            </w:pPr>
            <w:r>
              <w:rPr>
                <w:rFonts w:ascii="Arial" w:cs="Arial" w:eastAsia="Arial" w:hAnsi="Arial"/>
                <w:sz w:val="16"/>
                <w:szCs w:val="16"/>
                <w:color w:val="auto"/>
                <w:w w:val="91"/>
              </w:rPr>
              <w:t>(9)</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(31.0)%</w:t>
            </w:r>
          </w:p>
        </w:tc>
      </w:tr>
      <w:tr>
        <w:trPr>
          <w:trHeight w:val="317"/>
        </w:trPr>
        <w:tc>
          <w:tcPr>
            <w:tcW w:w="518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Three Months Ended March 31, 2023 and 2022</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(gain) loss on investments and marketable securities, stock-based compensation, impairment charges, equity in (income) loss of unconsolidated affiliates, (gain) loss on the sale or disposal of property and equipment, (gain) loss related to divestitures, changes in the fair value of certain derivatives and transaction costs associated with our acquisitions and divestitures such as (gain) loss on sale, sign-on and retention bonuses, severance expense, business integration and optimization costs, contract exit or termination costs, certain litigation awards and settlements,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It is unaudited and should not be considered an</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13"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Adjusted EBITDA for the three months ended March 31, 2023 and 2022, respectively, in addition to reconciling net income (loss) to Adjusted EBITDA in accordance with GAAP (unaudited):</w:t>
      </w:r>
    </w:p>
    <w:p>
      <w:pPr>
        <w:spacing w:after="0" w:line="157"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for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on extinguishment of debt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46"/>
        </w:trPr>
        <w:tc>
          <w:tcPr>
            <w:tcW w:w="20" w:type="dxa"/>
            <w:vAlign w:val="bottom"/>
            <w:shd w:val="clear" w:color="auto" w:fill="CCEEFF"/>
          </w:tcPr>
          <w:p>
            <w:pPr>
              <w:spacing w:after="0"/>
              <w:rPr>
                <w:sz w:val="21"/>
                <w:szCs w:val="2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Transaction costs and other, net </w:t>
            </w:r>
            <w:r>
              <w:rPr>
                <w:rFonts w:ascii="Arial" w:cs="Arial" w:eastAsia="Arial" w:hAnsi="Arial"/>
                <w:sz w:val="21"/>
                <w:szCs w:val="21"/>
                <w:i w:val="1"/>
                <w:iCs w:val="1"/>
                <w:color w:val="auto"/>
                <w:vertAlign w:val="superscript"/>
              </w:rPr>
              <w:t>(a)</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2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20" w:type="dxa"/>
            <w:vAlign w:val="bottom"/>
          </w:tcPr>
          <w:p>
            <w:pPr>
              <w:spacing w:after="0"/>
              <w:rPr>
                <w:sz w:val="18"/>
                <w:szCs w:val="18"/>
                <w:color w:val="auto"/>
              </w:rPr>
            </w:pPr>
          </w:p>
        </w:tc>
        <w:tc>
          <w:tcPr>
            <w:tcW w:w="7600" w:type="dxa"/>
            <w:vAlign w:val="bottom"/>
            <w:gridSpan w:val="2"/>
          </w:tcPr>
          <w:p>
            <w:pPr>
              <w:ind w:left="22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hanging="332"/>
        <w:spacing w:after="0" w:line="257" w:lineRule="auto"/>
        <w:tabs>
          <w:tab w:leader="none" w:pos="327" w:val="left"/>
        </w:tabs>
        <w:numPr>
          <w:ilvl w:val="0"/>
          <w:numId w:val="16"/>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Transaction costs and other, net for the three months ended March 31, 2023 primarily includes pre-opening costs in connection with new property openings, professional services for integration activities and non-cash changes in equity method investments. Transaction costs and other, net for the three months ended March 31, 2022 primarily represents a gain resulting from insurance proceeds received in excess of the respective carrying value of the assets damaged at Isle of Capri Casino Hotel Lake Charles by Hurricane Laura.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facilities,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our cash on hand and revolving borrowing capacity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7"/>
                <w:szCs w:val="17"/>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2,220</w:t>
            </w:r>
          </w:p>
        </w:tc>
      </w:tr>
      <w:tr>
        <w:trPr>
          <w:trHeight w:val="216"/>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20" w:type="dxa"/>
            <w:vAlign w:val="bottom"/>
            <w:tcBorders>
              <w:bottom w:val="single" w:sz="8" w:color="CCEEFF"/>
            </w:tcBorders>
          </w:tcPr>
          <w:p>
            <w:pPr>
              <w:spacing w:after="0"/>
              <w:rPr>
                <w:sz w:val="18"/>
                <w:szCs w:val="18"/>
                <w:color w:val="auto"/>
              </w:rPr>
            </w:pPr>
          </w:p>
        </w:tc>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Revolver capacity committed as regulatory requirement</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9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340" w:hanging="332"/>
        <w:spacing w:after="0" w:line="226" w:lineRule="auto"/>
        <w:tabs>
          <w:tab w:leader="none" w:pos="327"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$2.25 billion under our CEI Revolving Credit Facility, maturing in January 2028, less $40 million reserved for specific purposes, and $10 million under our Baltimore Revolving Credit Facility, maturing in July 2023.</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2023, our operating activities generated cash inflows of $174 million, as compared to operating cash outflows of $246 million during the three months ended March 31, 2022, due to the results of operations described above.</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7" w:name="page38"/>
    <w:bookmarkEnd w:id="37"/>
    <w:p>
      <w:pPr>
        <w:jc w:val="both"/>
        <w:spacing w:after="0" w:line="289" w:lineRule="auto"/>
        <w:rPr>
          <w:sz w:val="20"/>
          <w:szCs w:val="20"/>
          <w:color w:val="auto"/>
        </w:rPr>
      </w:pPr>
      <w:r>
        <w:rPr>
          <w:rFonts w:ascii="Arial" w:cs="Arial" w:eastAsia="Arial" w:hAnsi="Arial"/>
          <w:sz w:val="16"/>
          <w:szCs w:val="16"/>
          <w:color w:val="auto"/>
        </w:rPr>
        <w:t>On February 6, 2023, we entered into an Incremental Assumption Agreement No. 2 pursuant to which we incurred a new senior secured term loan facility in an aggregate principal amount of $2.5 billion (the “CEI Term Loan B” and, together with the CEI Term Loan A, the “CEI Term Loans”) as a new term loan under the CEI Credit Agreement. The CEI Term Loan B requires scheduled quarterly amortization payments in amounts equal to 0.25% of the original aggregate principal amount of the CEI Term Loan B, with the balance payable at maturity. Borrowings under the CEI Term Loan B bear interest at a rate equal to, at the Company’s option, either (a) a forward-looking term rate based on the Adjusted Term SOFR, subject to a floor of 0.50% or (b) a base rate (the “Base Rate”) determined by reference to the highest of (i)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Base Rate loan, subject to one 0.25% step-down based on our net total leverage ratio. The CEI Term Loan B was issued at a price of 99.0% of the principal amount and will mature in February 2030.</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6, 2023, concurrently with the issuance of the CEI Term Loan B, we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net proceeds from the CEI Term Loan B, along with the net proceeds from the issuance of the CEI Senior Secured Notes due 2030 described above, were used to repay the outstanding principal balance, including accrued and unpaid interest, of both the CRC Term Loan and the CRC Incremental Term Loan. Upon the termination of the CRC Term Loan and the CRC Incremental Term Loan, we recorded a loss on extinguishment of debt of $197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On May 1, 2023, we elected to prepay the outstanding $400 million Convention Center Mortgage Loan utilizing cash on hand.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the remainder of 2023 include expansion projects, the rebranding of certain properties, implementation and migration of our Caesars Sportsbook and iGaming apps in certain states to our Liberty platform, and continued investment into new markets with our Caesars Sportsbook and iGaming applications in our Caesars Digital segment. In addition, we may, from time to time, seek to repurchase or prepay our outstanding indebtedness. Any such purchases or prepayments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We continue to expand into new markets with projects such as our partnership with the Eastern Band of Cherokee Indians to build and develop Caesars Virginia which is estimated to open in late 2024. The development has a budget of $650 million and is expected to include a premier destination resort casino along with a 500 room hotel and world-class casino floor including 1,300 slot machines, 85 live table games, a WSOP Poker Room, a Caesars Sportsbook, a live entertainment theater and 40,000 square feet of meeting and convention space. Additionally, Caesars announced plans to expand into Nebraska with the development of a Harrah’s casino and racetrack. The casino development is expected to feature a new one-mile horse racing surface, a 40,000-square-foot-casino and sportsbook with more than 400 slot machines and 20 table games, as well as a restaurant and retail space. </w:t>
      </w:r>
      <w:r>
        <w:rPr>
          <w:rFonts w:ascii="Arial" w:cs="Arial" w:eastAsia="Arial" w:hAnsi="Arial"/>
          <w:sz w:val="18"/>
          <w:szCs w:val="18"/>
          <w:color w:val="000000"/>
        </w:rPr>
        <w:t>During the</w:t>
      </w:r>
      <w:r>
        <w:rPr>
          <w:rFonts w:ascii="Arial" w:cs="Arial" w:eastAsia="Arial" w:hAnsi="Arial"/>
          <w:sz w:val="18"/>
          <w:szCs w:val="18"/>
          <w:color w:val="212529"/>
        </w:rPr>
        <w:t xml:space="preserve"> </w:t>
      </w:r>
      <w:r>
        <w:rPr>
          <w:rFonts w:ascii="Arial" w:cs="Arial" w:eastAsia="Arial" w:hAnsi="Arial"/>
          <w:sz w:val="18"/>
          <w:szCs w:val="18"/>
          <w:color w:val="000000"/>
        </w:rPr>
        <w:t>construction of Caesars Virginia and Harrah’s in Nebraska, we anticipate opening and operating temporary facilities during 2023 while the permanent facilities are completed.</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2020, we funded $400 million in escrow to provide funds for a three year capital expenditure plan in the state of New Jersey. As of March 31, 2023 and December 31, 2022, the restricted cash balance remaining in the escrow account was $88 million and $118 million, respectively, for future capital expenditures in New Jersey. The capital plan includes significant room renovations at both Caesars Atlantic City and Harrah’s Atlantic City, as well as the addition of new celebrity partnered restaurants. This amount is currently included in restricted cash in Other assets, net.</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on or around Harrah’s New Orleans by July 15, 2024. The capital investment will involve the rebranding of the property to Caesars New Orleans which includes a renovation and full interior and exterior redesign, updated casino floor, new culinary experiences and a new 340-room hotel tower. The project has a current capital plan of approximately $430 million and, as of March 31, 2023, total capital expenditures have been $145 million since the project began.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Cash spent for capital expenditures totaled $272 million </w:t>
      </w:r>
      <w:r>
        <w:rPr>
          <w:rFonts w:ascii="Arial" w:cs="Arial" w:eastAsia="Arial" w:hAnsi="Arial"/>
          <w:sz w:val="18"/>
          <w:szCs w:val="18"/>
          <w:color w:val="000000"/>
        </w:rPr>
        <w:t>and $210 million</w:t>
      </w:r>
      <w:r>
        <w:rPr>
          <w:rFonts w:ascii="Arial" w:cs="Arial" w:eastAsia="Arial" w:hAnsi="Arial"/>
          <w:sz w:val="18"/>
          <w:szCs w:val="18"/>
          <w:color w:val="212529"/>
        </w:rPr>
        <w:t xml:space="preserve"> for the three months ended </w:t>
      </w:r>
      <w:r>
        <w:rPr>
          <w:rFonts w:ascii="Arial" w:cs="Arial" w:eastAsia="Arial" w:hAnsi="Arial"/>
          <w:sz w:val="18"/>
          <w:szCs w:val="18"/>
          <w:color w:val="000000"/>
        </w:rPr>
        <w:t>March 31, 2023 and 2022</w:t>
      </w:r>
      <w:r>
        <w:rPr>
          <w:rFonts w:ascii="Arial" w:cs="Arial" w:eastAsia="Arial" w:hAnsi="Arial"/>
          <w:sz w:val="18"/>
          <w:szCs w:val="18"/>
          <w:color w:val="212529"/>
        </w:rPr>
        <w:t xml:space="preserve">, respectively, related to our growth, renovation, maintenance, and other capital projects. The following table summarizes our capital expenditures for the three months ended March 31, 2023, and an estimated range of capital expenditures for the remainder of </w:t>
      </w:r>
      <w:r>
        <w:rPr>
          <w:rFonts w:ascii="Arial" w:cs="Arial" w:eastAsia="Arial" w:hAnsi="Arial"/>
          <w:sz w:val="18"/>
          <w:szCs w:val="18"/>
          <w:color w:val="000000"/>
        </w:rPr>
        <w:t>2023</w:t>
      </w:r>
      <w:r>
        <w:rPr>
          <w:rFonts w:ascii="Arial" w:cs="Arial" w:eastAsia="Arial" w:hAnsi="Arial"/>
          <w:sz w:val="18"/>
          <w:szCs w:val="18"/>
          <w:color w:val="212529"/>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34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2"/>
              </w:rPr>
              <w:t>Estimate of Remaining Capital Expenditures 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2023</w:t>
            </w:r>
          </w:p>
        </w:tc>
        <w:tc>
          <w:tcPr>
            <w:tcW w:w="100" w:type="dxa"/>
            <w:vAlign w:val="bottom"/>
          </w:tcPr>
          <w:p>
            <w:pPr>
              <w:spacing w:after="0"/>
              <w:rPr>
                <w:sz w:val="18"/>
                <w:szCs w:val="18"/>
                <w:color w:val="auto"/>
              </w:rPr>
            </w:pPr>
          </w:p>
        </w:tc>
        <w:tc>
          <w:tcPr>
            <w:tcW w:w="214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79"/>
              <w:spacing w:after="0" w:line="142" w:lineRule="exact"/>
              <w:rPr>
                <w:sz w:val="20"/>
                <w:szCs w:val="20"/>
                <w:color w:val="auto"/>
              </w:rPr>
            </w:pPr>
            <w:r>
              <w:rPr>
                <w:rFonts w:ascii="Arial" w:cs="Arial" w:eastAsia="Arial" w:hAnsi="Arial"/>
                <w:sz w:val="16"/>
                <w:szCs w:val="16"/>
                <w:b w:val="1"/>
                <w:bCs w:val="1"/>
                <w:color w:val="auto"/>
                <w:w w:val="93"/>
              </w:rPr>
              <w:t>Actual</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ind w:left="620"/>
              <w:spacing w:after="0" w:line="142" w:lineRule="exact"/>
              <w:rPr>
                <w:sz w:val="20"/>
                <w:szCs w:val="20"/>
                <w:color w:val="auto"/>
              </w:rPr>
            </w:pPr>
            <w:r>
              <w:rPr>
                <w:rFonts w:ascii="Arial" w:cs="Arial" w:eastAsia="Arial" w:hAnsi="Arial"/>
                <w:sz w:val="16"/>
                <w:szCs w:val="16"/>
                <w:b w:val="1"/>
                <w:bCs w:val="1"/>
                <w:color w:val="auto"/>
              </w:rPr>
              <w:t>Low</w:t>
            </w: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19"/>
              <w:spacing w:after="0" w:line="142" w:lineRule="exact"/>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Indiana racing operations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Growth and renovation projects</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Maintenance projects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estimated capital expenditures from unrestricted cash</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Caesars Virginia </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6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line="217" w:lineRule="auto"/>
        <w:tabs>
          <w:tab w:leader="none" w:pos="327"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We expect to receive approximately $200 million from the combination of our temporary casino operations and contributions from our joint venture partners to support the development of Caesars Virginia.</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liquidity needs are for debt service and payments associated with our leases. Our estimated debt service (including principal and interest) is approximately $601 million for the remainder of 2023. We also lease certain real property assets from third parties, including VICI and GLPI. The VICI Leases are subject to annual escalations based on the Consumer Price Index (“CPI”). The increase in the CPI over the prior year resulted in an increase in our annual lease payments to VICI, which took effect in November 2022. We estimate our lease payments to VICI and GLPI to be approximately $1.0 billion for the remainder of 2023.</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have periodically divested assets to raise capital or, in previous cases, to comply with conditions, terms, obligations or restrictions imposed by antitrust, gaming and other regulatory entities. </w:t>
      </w:r>
      <w:r>
        <w:rPr>
          <w:rFonts w:ascii="Arial" w:cs="Arial" w:eastAsia="Arial" w:hAnsi="Arial"/>
          <w:sz w:val="18"/>
          <w:szCs w:val="18"/>
          <w:color w:val="212529"/>
        </w:rPr>
        <w:t>If the agreed upon selling price for future divestitures does not exceed the carrying value of the assets, we may be</w:t>
      </w:r>
      <w:r>
        <w:rPr>
          <w:rFonts w:ascii="Arial" w:cs="Arial" w:eastAsia="Arial" w:hAnsi="Arial"/>
          <w:sz w:val="18"/>
          <w:szCs w:val="18"/>
          <w:color w:val="auto"/>
        </w:rPr>
        <w:t xml:space="preserve"> </w:t>
      </w:r>
      <w:r>
        <w:rPr>
          <w:rFonts w:ascii="Arial" w:cs="Arial" w:eastAsia="Arial" w:hAnsi="Arial"/>
          <w:sz w:val="18"/>
          <w:szCs w:val="18"/>
          <w:color w:val="212529"/>
        </w:rPr>
        <w:t>required to record additional impairment charges in future periods which may be material.</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color w:val="212529"/>
        </w:rPr>
        <w:t>expect that our current liquidity, cash flows from operations, availability of borrowings under committed credit facilities and proceeds from the</w:t>
      </w:r>
      <w:r>
        <w:rPr>
          <w:rFonts w:ascii="Arial" w:cs="Arial" w:eastAsia="Arial" w:hAnsi="Arial"/>
          <w:sz w:val="16"/>
          <w:szCs w:val="16"/>
          <w:color w:val="auto"/>
        </w:rPr>
        <w:t xml:space="preserve"> </w:t>
      </w:r>
      <w:r>
        <w:rPr>
          <w:rFonts w:ascii="Arial" w:cs="Arial" w:eastAsia="Arial" w:hAnsi="Arial"/>
          <w:sz w:val="16"/>
          <w:szCs w:val="16"/>
          <w:color w:val="212529"/>
        </w:rPr>
        <w:t>announced asset sales will be sufficient to fund our operations, capital requirements and service our outstanding indebtedness for the next twelve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Senior Credit Facilities, the CEI Term Loan B, the Baltimore Term Loan, the Baltimore Revolving Credit Facility and the indentures governing the CEI Senior Secured Notes due 2025, the CEI Senior Secured Notes due 2030, the CEI Senior Notes due 2027, the CRC Senior Secured Notes and the CEI Senior Notes due 2029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9" w:name="page40"/>
    <w:bookmarkEnd w:id="39"/>
    <w:p>
      <w:pPr>
        <w:jc w:val="both"/>
        <w:spacing w:after="0" w:line="254" w:lineRule="auto"/>
        <w:rPr>
          <w:sz w:val="20"/>
          <w:szCs w:val="20"/>
          <w:color w:val="auto"/>
        </w:rPr>
      </w:pPr>
      <w:r>
        <w:rPr>
          <w:rFonts w:ascii="Arial" w:cs="Arial" w:eastAsia="Arial" w:hAnsi="Arial"/>
          <w:sz w:val="18"/>
          <w:szCs w:val="18"/>
          <w:color w:val="auto"/>
        </w:rPr>
        <w:t>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Amended CEI Revolving Credit Facility will be tested solely to the extent that certain testing conditions are satisfied. The Baltimore Revolving Credit Facility includes a net senior secured leverage ratio financial covenant of 5.0:1. Failure to comply with such covenants could result in an acceleration of the maturity of indebtedness outstanding under the relevant debt document.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Leases and VICI Leases contain certain covenants requiring minimum capital expenditures based on a percentage of net revenues along with maintaining certain financial ratios.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March 31, 2023, we have acquired 223,823 shares of common stock under the Share Repurchase Program at an aggregate value of $9 million and an average of $40.80 per share. No shares were repurchased during the </w:t>
      </w:r>
      <w:r>
        <w:rPr>
          <w:rFonts w:ascii="Arial" w:cs="Arial" w:eastAsia="Arial" w:hAnsi="Arial"/>
          <w:sz w:val="18"/>
          <w:szCs w:val="18"/>
          <w:color w:val="212529"/>
        </w:rPr>
        <w:t>three months ended March 31, 2023</w:t>
      </w:r>
      <w:r>
        <w:rPr>
          <w:rFonts w:ascii="Arial" w:cs="Arial" w:eastAsia="Arial" w:hAnsi="Arial"/>
          <w:sz w:val="18"/>
          <w:szCs w:val="18"/>
          <w:color w:val="auto"/>
        </w:rPr>
        <w:t xml:space="preserve"> and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material changes during the three months ended March 31, 2023 to our contractual obligations as disclosed in Part II, Item 7 of our Annual Report on Form 10-K for the year ended December 31, 2022. See Note 7 to our unaudited Financial Statements, which is included elsewhere in this report, for additional information regarding contractual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faced with certain contingencies, from time to time, involving litigation, claims, assessments, environmental remediation or compliance. These commitments and contingencies are discussed in greater detail in “Part II, Item 1. Legal Proceedings” and Note 7 to our unaudited Financial Statements, both of which are included elsewhere in this report. See “Part I, Item 1A. Risk Factors—Risks Related to Our Business” which is included elsewhere in our Annual Report on Form 10-K for the year ended December 31,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2022. There have been no material changes since December 31, 2022. We have not substantively changed the application of our policies, and there have been no material changes in assumptions or estimation techniques used as compared to those described in our Annual Report on Form 10-K for the year ended December 31, 2022.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and foreign exchange risks associated with certain transactions.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long-term variable-rate borrowings totaled $3.5 billion under the CEI Term Loans and the Baltimore Term Loan, and no amounts were outstanding under the CEI Revolving Credit Facility or the Baltimore Revolving Credit Facility. Long-term variable-rate borrowings under the CEI Term Loans and the Baltimore Term Loan represented</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approximately 27% of consolidated long-term debt as of March 31, 2023. As of March 31, 2023, the weighted average interest rates on our variable and fixed rate debt were 7.70% and 6.53%, respectively.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variable rate debt instruments which are subject to London Interbank Offered Rate (“LIBOR”) and Term SOFR interest rates plus a reasonable margin. Our Baltimore Term Loan is subject to LIBOR, which was discontinued by lending institutions for new debt agreements and after June 30, 2023 no additional LIBOR rates are expected to be available. The Baltimore Term Loan will be subject to an alternate borrowing rate upon the termination of LIBOR, which will continue to be a variable rate.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other material quantitative changes in our market risk exposure, or how such risks are managed, for the three months ended March 31, 2023.</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There were no significant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Legal Proceedings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our “Legal Proceedings,” refer to Note 7 to our Consolidated Condensed Financial Statements located elsewhere in this Quarterly Report on Form 10-Q and Note 11 to our Consolidated Financial Statements included in our Annual Report on Form 10-K for the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Cautionary Statements Regarding Forward-Looking Information</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74" w:lineRule="exact"/>
        <w:rPr>
          <w:rFonts w:ascii="Arial" w:cs="Arial" w:eastAsia="Arial" w:hAnsi="Arial"/>
          <w:sz w:val="17"/>
          <w:szCs w:val="17"/>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economic trends, inflation and the COVID-19 public health emergency on our business and financial condition;</w:t>
      </w:r>
    </w:p>
    <w:p>
      <w:pPr>
        <w:spacing w:after="0" w:line="63" w:lineRule="exact"/>
        <w:rPr>
          <w:rFonts w:ascii="Arial" w:cs="Arial" w:eastAsia="Arial" w:hAnsi="Arial"/>
          <w:sz w:val="18"/>
          <w:szCs w:val="18"/>
          <w:color w:val="auto"/>
        </w:rPr>
      </w:pPr>
    </w:p>
    <w:p>
      <w:pPr>
        <w:ind w:left="660" w:hanging="652"/>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additional acquisitions and divestitures;</w:t>
      </w:r>
    </w:p>
    <w:p>
      <w:pPr>
        <w:spacing w:after="0" w:line="63" w:lineRule="exact"/>
        <w:rPr>
          <w:rFonts w:ascii="Arial" w:cs="Arial" w:eastAsia="Arial" w:hAnsi="Arial"/>
          <w:sz w:val="18"/>
          <w:szCs w:val="18"/>
          <w:color w:val="auto"/>
        </w:rPr>
      </w:pPr>
    </w:p>
    <w:p>
      <w:pPr>
        <w:ind w:left="660" w:hanging="652"/>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 and</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factors impacting our ability to successfully operate our digital betting and iGaming platform and expand its user base.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that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These risks and uncertainties include: (a) the impacts of economic and market conditions; (b) our ability to successfully operate our digital betting and iGaming platform and expand its user base; (c) risks associated with our leverage and our ability to reduce our leverage; (d) the effects of competition on our business and results of operations; (e) the effects of inflation, supply chain constraints and continuing impacts of COVID-19; and (f) additional factors discussed in the sections entitled “Risk Factors” and “Management’s Discussion and Analysis of Financial Condition and Results of Operations” contained in this Quarterly Report on Form 10-Q and our most recent Annual Reports on Form 10-K as filed with the Securities and Exchange Commission. Actual results may differ materially from any future results, performance or achievements expressed or implied by such statements and forward-looking statements should not be regarded as a representation by us or any other person that the forward-looking statements will be achieved.</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these forward-looking statements speak only as of the date on which the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that reports issued by securities analysts contain projections, forecasts or opinions, those reports are not our responsibility and are not endorsed by us.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BF2115"/>
        </w:rPr>
        <w:t>Item 1A. Risk Factors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10-K for the year ended December 31, 2022. There have been no material changes to those risk factors during the three months ended March 31, 2023.</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Defaults Upon Senior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5. 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3" w:name="page44"/>
    <w:bookmarkEnd w:id="43"/>
    <w:p>
      <w:pPr>
        <w:spacing w:after="0"/>
        <w:rPr>
          <w:sz w:val="20"/>
          <w:szCs w:val="20"/>
          <w:color w:val="auto"/>
        </w:rPr>
      </w:pPr>
      <w:r>
        <w:rPr>
          <w:rFonts w:ascii="Arial" w:cs="Arial" w:eastAsia="Arial" w:hAnsi="Arial"/>
          <w:sz w:val="19"/>
          <w:szCs w:val="19"/>
          <w:b w:val="1"/>
          <w:bCs w:val="1"/>
          <w:color w:val="BF2115"/>
        </w:rPr>
        <w:t>Item 6. Exhibits</w:t>
      </w:r>
    </w:p>
    <w:p>
      <w:pPr>
        <w:sectPr>
          <w:pgSz w:w="11900" w:h="16838" w:orient="portrait"/>
          <w:cols w:equalWidth="0" w:num="1">
            <w:col w:w="11080"/>
          </w:cols>
          <w:pgMar w:left="320" w:top="1314" w:right="49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340" w:type="dxa"/>
            <w:vAlign w:val="bottom"/>
            <w:gridSpan w:val="15"/>
            <w:vMerge w:val="restart"/>
          </w:tcPr>
          <w:p>
            <w:pPr>
              <w:ind w:left="34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9"/>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340" w:type="dxa"/>
            <w:vAlign w:val="bottom"/>
            <w:gridSpan w:val="1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9"/>
                <w:szCs w:val="19"/>
                <w:color w:val="auto"/>
              </w:rPr>
            </w:pPr>
          </w:p>
        </w:tc>
        <w:tc>
          <w:tcPr>
            <w:tcW w:w="8460" w:type="dxa"/>
            <w:vAlign w:val="bottom"/>
            <w:tcBorders>
              <w:top w:val="single" w:sz="8" w:color="auto"/>
            </w:tcBorders>
            <w:gridSpan w:val="18"/>
          </w:tcPr>
          <w:p>
            <w:pPr>
              <w:ind w:left="20"/>
              <w:spacing w:after="0"/>
              <w:rPr>
                <w:rFonts w:ascii="Arial" w:cs="Arial" w:eastAsia="Arial" w:hAnsi="Arial"/>
                <w:sz w:val="16"/>
                <w:szCs w:val="16"/>
                <w:color w:val="0000FF"/>
              </w:rPr>
            </w:pPr>
            <w:hyperlink r:id="rId57">
              <w:r>
                <w:rPr>
                  <w:rFonts w:ascii="Arial" w:cs="Arial" w:eastAsia="Arial" w:hAnsi="Arial"/>
                  <w:sz w:val="16"/>
                  <w:szCs w:val="16"/>
                  <w:color w:val="0000FF"/>
                </w:rPr>
                <w:t>Composite Certificate of Incorporation of Caesars Entertainment, Inc.</w:t>
              </w:r>
            </w:hyperlink>
          </w:p>
        </w:tc>
        <w:tc>
          <w:tcPr>
            <w:tcW w:w="0" w:type="dxa"/>
            <w:vAlign w:val="bottom"/>
          </w:tcPr>
          <w:p>
            <w:pPr>
              <w:spacing w:after="0"/>
              <w:rPr>
                <w:sz w:val="1"/>
                <w:szCs w:val="1"/>
                <w:color w:val="auto"/>
              </w:rPr>
            </w:pPr>
          </w:p>
        </w:tc>
      </w:tr>
      <w:tr>
        <w:trPr>
          <w:trHeight w:val="574"/>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4540" w:type="dxa"/>
            <w:vAlign w:val="bottom"/>
            <w:tcBorders>
              <w:top w:val="single" w:sz="8" w:color="0000FF"/>
            </w:tcBorders>
            <w:gridSpan w:val="6"/>
          </w:tcPr>
          <w:p>
            <w:pPr>
              <w:ind w:left="20"/>
              <w:spacing w:after="0"/>
              <w:rPr>
                <w:rFonts w:ascii="Arial" w:cs="Arial" w:eastAsia="Arial" w:hAnsi="Arial"/>
                <w:sz w:val="16"/>
                <w:szCs w:val="16"/>
                <w:color w:val="0000FF"/>
              </w:rPr>
            </w:pPr>
            <w:hyperlink r:id="rId58">
              <w:r>
                <w:rPr>
                  <w:rFonts w:ascii="Arial" w:cs="Arial" w:eastAsia="Arial" w:hAnsi="Arial"/>
                  <w:sz w:val="16"/>
                  <w:szCs w:val="16"/>
                  <w:color w:val="0000FF"/>
                </w:rPr>
                <w:t>Amended and Restated Bylaws of Caesars Entertainment, Inc.</w:t>
              </w:r>
            </w:hyperlink>
          </w:p>
        </w:tc>
        <w:tc>
          <w:tcPr>
            <w:tcW w:w="39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340" w:type="dxa"/>
            <w:vAlign w:val="bottom"/>
            <w:tcBorders>
              <w:bottom w:val="single" w:sz="8" w:color="0000FF"/>
            </w:tcBorders>
            <w:gridSpan w:val="16"/>
          </w:tcPr>
          <w:p>
            <w:pPr>
              <w:ind w:left="20"/>
              <w:spacing w:after="0"/>
              <w:rPr>
                <w:rFonts w:ascii="Arial" w:cs="Arial" w:eastAsia="Arial" w:hAnsi="Arial"/>
                <w:sz w:val="16"/>
                <w:szCs w:val="16"/>
                <w:color w:val="0000FF"/>
                <w:w w:val="90"/>
              </w:rPr>
            </w:pPr>
            <w:hyperlink r:id="rId59">
              <w:r>
                <w:rPr>
                  <w:rFonts w:ascii="Arial" w:cs="Arial" w:eastAsia="Arial" w:hAnsi="Arial"/>
                  <w:sz w:val="16"/>
                  <w:szCs w:val="16"/>
                  <w:color w:val="0000FF"/>
                  <w:w w:val="90"/>
                </w:rPr>
                <w:t>Indenture, dated as of February 6, 2023, by and among Caesars Entertainment, Inc., the subsidiary guarantors party thereto, U.S.</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380" w:type="dxa"/>
            <w:vAlign w:val="bottom"/>
            <w:tcBorders>
              <w:bottom w:val="single" w:sz="8" w:color="0000FF"/>
            </w:tcBorders>
            <w:gridSpan w:val="11"/>
          </w:tcPr>
          <w:p>
            <w:pPr>
              <w:ind w:left="20"/>
              <w:spacing w:after="0" w:line="183" w:lineRule="exact"/>
              <w:rPr>
                <w:rFonts w:ascii="Arial" w:cs="Arial" w:eastAsia="Arial" w:hAnsi="Arial"/>
                <w:sz w:val="16"/>
                <w:szCs w:val="16"/>
                <w:color w:val="0000FF"/>
                <w:w w:val="91"/>
              </w:rPr>
            </w:pPr>
            <w:hyperlink r:id="rId59">
              <w:r>
                <w:rPr>
                  <w:rFonts w:ascii="Arial" w:cs="Arial" w:eastAsia="Arial" w:hAnsi="Arial"/>
                  <w:sz w:val="16"/>
                  <w:szCs w:val="16"/>
                  <w:color w:val="0000FF"/>
                  <w:w w:val="91"/>
                </w:rPr>
                <w:t>Bank Trust Company, National Association, as Trustee, and U.S. Bank National Association, as Collateral Agent.</w:t>
              </w:r>
            </w:hyperlink>
          </w:p>
        </w:tc>
        <w:tc>
          <w:tcPr>
            <w:tcW w:w="10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8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0000FF"/>
                <w:w w:val="98"/>
              </w:rPr>
              <w:t>Supplemental Indenture, dated as of March 24, 2023, to Indenture, dated as of February 6, 2023, by and among Caesars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gridSpan w:val="18"/>
          </w:tcPr>
          <w:p>
            <w:pPr>
              <w:ind w:left="20"/>
              <w:spacing w:after="0" w:line="183" w:lineRule="exact"/>
              <w:rPr>
                <w:sz w:val="20"/>
                <w:szCs w:val="20"/>
                <w:color w:val="auto"/>
              </w:rPr>
            </w:pPr>
            <w:r>
              <w:rPr>
                <w:rFonts w:ascii="Arial" w:cs="Arial" w:eastAsia="Arial" w:hAnsi="Arial"/>
                <w:sz w:val="16"/>
                <w:szCs w:val="16"/>
                <w:color w:val="0000FF"/>
                <w:w w:val="91"/>
              </w:rPr>
              <w:t>Entertainment, Inc., the subsidiary guarantors party thereto, U.S. Bank Trust Company, National Association, as Trustee, and U.S.</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40" w:type="dxa"/>
            <w:vAlign w:val="bottom"/>
            <w:tcBorders>
              <w:top w:val="single" w:sz="8" w:color="0000FF"/>
            </w:tcBorders>
            <w:gridSpan w:val="17"/>
          </w:tcPr>
          <w:p>
            <w:pPr>
              <w:ind w:left="20"/>
              <w:spacing w:after="0" w:line="169" w:lineRule="exact"/>
              <w:rPr>
                <w:sz w:val="20"/>
                <w:szCs w:val="20"/>
                <w:color w:val="auto"/>
              </w:rPr>
            </w:pPr>
            <w:r>
              <w:rPr>
                <w:rFonts w:ascii="Arial" w:cs="Arial" w:eastAsia="Arial" w:hAnsi="Arial"/>
                <w:sz w:val="16"/>
                <w:szCs w:val="16"/>
                <w:color w:val="0000FF"/>
              </w:rPr>
              <w:t>Bank National Association, as Collateral Agent.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89"/>
              </w:rPr>
              <w:t>10.1†</w:t>
            </w:r>
          </w:p>
        </w:tc>
        <w:tc>
          <w:tcPr>
            <w:tcW w:w="1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2"/>
            <w:vMerge w:val="continue"/>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0000FF"/>
                <w:w w:val="95"/>
              </w:rPr>
              <w:t>Amended and Restated Executive Employment Agreement, dated as of August 1, 2022, by and between Caesars Enterprise</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Borders>
              <w:top w:val="single" w:sz="8" w:color="0000FF"/>
              <w:bottom w:val="single" w:sz="8" w:color="0000FF"/>
            </w:tcBorders>
            <w:gridSpan w:val="2"/>
          </w:tcPr>
          <w:p>
            <w:pPr>
              <w:ind w:left="20"/>
              <w:spacing w:after="0" w:line="183" w:lineRule="exact"/>
              <w:rPr>
                <w:sz w:val="20"/>
                <w:szCs w:val="20"/>
                <w:color w:val="auto"/>
              </w:rPr>
            </w:pPr>
            <w:r>
              <w:rPr>
                <w:rFonts w:ascii="Arial" w:cs="Arial" w:eastAsia="Arial" w:hAnsi="Arial"/>
                <w:sz w:val="16"/>
                <w:szCs w:val="16"/>
                <w:color w:val="0000FF"/>
                <w:w w:val="91"/>
              </w:rPr>
              <w:t>Services, LLC and Stephanie Lepori.</w:t>
            </w:r>
          </w:p>
        </w:tc>
        <w:tc>
          <w:tcPr>
            <w:tcW w:w="5580" w:type="dxa"/>
            <w:vAlign w:val="bottom"/>
            <w:tcBorders>
              <w:top w:val="single" w:sz="8" w:color="0000FF"/>
            </w:tcBorders>
            <w:gridSpan w:val="12"/>
          </w:tcPr>
          <w:p>
            <w:pPr>
              <w:spacing w:after="0"/>
              <w:rPr>
                <w:sz w:val="15"/>
                <w:szCs w:val="15"/>
                <w:color w:val="auto"/>
              </w:rPr>
            </w:pPr>
          </w:p>
        </w:tc>
        <w:tc>
          <w:tcPr>
            <w:tcW w:w="4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0" w:type="dxa"/>
            <w:vAlign w:val="bottom"/>
          </w:tcPr>
          <w:p>
            <w:pPr>
              <w:spacing w:after="0"/>
              <w:rPr>
                <w:sz w:val="24"/>
                <w:szCs w:val="24"/>
                <w:color w:val="auto"/>
              </w:rPr>
            </w:pPr>
          </w:p>
        </w:tc>
        <w:tc>
          <w:tcPr>
            <w:tcW w:w="7820" w:type="dxa"/>
            <w:vAlign w:val="bottom"/>
            <w:tcBorders>
              <w:bottom w:val="single" w:sz="8" w:color="0000FF"/>
            </w:tcBorders>
            <w:gridSpan w:val="13"/>
          </w:tcPr>
          <w:p>
            <w:pPr>
              <w:ind w:left="20"/>
              <w:spacing w:after="0"/>
              <w:rPr>
                <w:rFonts w:ascii="Arial" w:cs="Arial" w:eastAsia="Arial" w:hAnsi="Arial"/>
                <w:sz w:val="16"/>
                <w:szCs w:val="16"/>
                <w:color w:val="0000FF"/>
                <w:w w:val="90"/>
              </w:rPr>
            </w:pPr>
            <w:hyperlink r:id="rId60">
              <w:r>
                <w:rPr>
                  <w:rFonts w:ascii="Arial" w:cs="Arial" w:eastAsia="Arial" w:hAnsi="Arial"/>
                  <w:sz w:val="16"/>
                  <w:szCs w:val="16"/>
                  <w:color w:val="0000FF"/>
                  <w:w w:val="90"/>
                </w:rPr>
                <w:t>Incremental Assumption Agreement No. 2, dated as of February 6, 2023, by and among Caesars Entertainment, Inc., the</w:t>
              </w:r>
            </w:hyperlink>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60" w:type="dxa"/>
            <w:vAlign w:val="bottom"/>
            <w:gridSpan w:val="18"/>
          </w:tcPr>
          <w:p>
            <w:pPr>
              <w:ind w:left="20"/>
              <w:spacing w:after="0" w:line="183" w:lineRule="exact"/>
              <w:rPr>
                <w:rFonts w:ascii="Arial" w:cs="Arial" w:eastAsia="Arial" w:hAnsi="Arial"/>
                <w:sz w:val="16"/>
                <w:szCs w:val="16"/>
                <w:color w:val="0000FF"/>
                <w:w w:val="99"/>
              </w:rPr>
            </w:pPr>
            <w:hyperlink r:id="rId60">
              <w:r>
                <w:rPr>
                  <w:rFonts w:ascii="Arial" w:cs="Arial" w:eastAsia="Arial" w:hAnsi="Arial"/>
                  <w:sz w:val="16"/>
                  <w:szCs w:val="16"/>
                  <w:color w:val="0000FF"/>
                  <w:w w:val="99"/>
                </w:rPr>
                <w:t>subsidiary guarantors party thereto, the lenders party thereto and JPMorgan Chase Bank, N.A., as administrative agent.</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20" w:type="dxa"/>
            <w:vAlign w:val="bottom"/>
            <w:tcBorders>
              <w:bottom w:val="single" w:sz="8" w:color="0000FF"/>
            </w:tcBorders>
            <w:gridSpan w:val="15"/>
          </w:tcPr>
          <w:p>
            <w:pPr>
              <w:ind w:left="20"/>
              <w:spacing w:after="0"/>
              <w:rPr>
                <w:sz w:val="20"/>
                <w:szCs w:val="20"/>
                <w:color w:val="auto"/>
              </w:rPr>
            </w:pPr>
            <w:r>
              <w:rPr>
                <w:rFonts w:ascii="Arial" w:cs="Arial" w:eastAsia="Arial" w:hAnsi="Arial"/>
                <w:sz w:val="16"/>
                <w:szCs w:val="16"/>
                <w:color w:val="0000FF"/>
                <w:w w:val="90"/>
              </w:rPr>
              <w:t>Twelfth Amendment to Lease, dated as of August 25, 2022, by and among the entities listed on Schedules A and B thereto and</w:t>
            </w:r>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0000FF"/>
            </w:tcBorders>
          </w:tcPr>
          <w:p>
            <w:pPr>
              <w:ind w:left="20"/>
              <w:spacing w:after="0" w:line="183" w:lineRule="exact"/>
              <w:rPr>
                <w:sz w:val="20"/>
                <w:szCs w:val="20"/>
                <w:color w:val="auto"/>
              </w:rPr>
            </w:pPr>
            <w:r>
              <w:rPr>
                <w:rFonts w:ascii="Arial" w:cs="Arial" w:eastAsia="Arial" w:hAnsi="Arial"/>
                <w:sz w:val="16"/>
                <w:szCs w:val="16"/>
                <w:color w:val="0000FF"/>
                <w:w w:val="92"/>
              </w:rPr>
              <w:t>Propco TRS LLC.</w:t>
            </w:r>
          </w:p>
        </w:tc>
        <w:tc>
          <w:tcPr>
            <w:tcW w:w="72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0000FF"/>
              </w:rPr>
              <w:t>Certification of Thomas R. Reeg pursuant to Rule 13a-14a and Rule 15d-14(a)</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24"/>
                <w:szCs w:val="24"/>
                <w:color w:val="auto"/>
              </w:rPr>
            </w:pPr>
          </w:p>
        </w:tc>
        <w:tc>
          <w:tcPr>
            <w:tcW w:w="5100" w:type="dxa"/>
            <w:vAlign w:val="bottom"/>
            <w:tcBorders>
              <w:top w:val="single" w:sz="8" w:color="0000FF"/>
            </w:tcBorders>
            <w:gridSpan w:val="10"/>
          </w:tcPr>
          <w:p>
            <w:pPr>
              <w:ind w:left="20"/>
              <w:spacing w:after="0"/>
              <w:rPr>
                <w:sz w:val="20"/>
                <w:szCs w:val="20"/>
                <w:color w:val="auto"/>
              </w:rPr>
            </w:pPr>
            <w:r>
              <w:rPr>
                <w:rFonts w:ascii="Arial" w:cs="Arial" w:eastAsia="Arial" w:hAnsi="Arial"/>
                <w:sz w:val="16"/>
                <w:szCs w:val="16"/>
                <w:color w:val="0000FF"/>
                <w:w w:val="97"/>
              </w:rPr>
              <w:t>Certification of Bret Yunker pursuant to Rule 13a-14a and Rule 15d-14(a)</w:t>
            </w:r>
          </w:p>
        </w:tc>
        <w:tc>
          <w:tcPr>
            <w:tcW w:w="3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32.1</w:t>
            </w:r>
          </w:p>
        </w:tc>
        <w:tc>
          <w:tcPr>
            <w:tcW w:w="80" w:type="dxa"/>
            <w:vAlign w:val="bottom"/>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0000FF"/>
              </w:rPr>
              <w:t>Certification of Thomas R. Reeg in accordance with 18 U.S.C. Section 1350</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80" w:type="dxa"/>
            <w:vAlign w:val="bottom"/>
          </w:tcPr>
          <w:p>
            <w:pPr>
              <w:spacing w:after="0"/>
              <w:rPr>
                <w:sz w:val="24"/>
                <w:szCs w:val="24"/>
                <w:color w:val="auto"/>
              </w:rPr>
            </w:pPr>
          </w:p>
        </w:tc>
        <w:tc>
          <w:tcPr>
            <w:tcW w:w="4960" w:type="dxa"/>
            <w:vAlign w:val="bottom"/>
            <w:tcBorders>
              <w:top w:val="single" w:sz="8" w:color="0000FF"/>
            </w:tcBorders>
            <w:gridSpan w:val="9"/>
          </w:tcPr>
          <w:p>
            <w:pPr>
              <w:ind w:left="20"/>
              <w:spacing w:after="0"/>
              <w:rPr>
                <w:sz w:val="20"/>
                <w:szCs w:val="20"/>
                <w:color w:val="auto"/>
              </w:rPr>
            </w:pPr>
            <w:r>
              <w:rPr>
                <w:rFonts w:ascii="Arial" w:cs="Arial" w:eastAsia="Arial" w:hAnsi="Arial"/>
                <w:sz w:val="16"/>
                <w:szCs w:val="16"/>
                <w:color w:val="0000FF"/>
                <w:w w:val="98"/>
              </w:rPr>
              <w:t>Certification of Bret Yunker in accordance with 18 U.S.C. Section 1350</w:t>
            </w:r>
          </w:p>
        </w:tc>
        <w:tc>
          <w:tcPr>
            <w:tcW w:w="3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80" w:type="dxa"/>
            <w:vAlign w:val="bottom"/>
          </w:tcPr>
          <w:p>
            <w:pPr>
              <w:spacing w:after="0"/>
              <w:rPr>
                <w:sz w:val="24"/>
                <w:szCs w:val="24"/>
                <w:color w:val="auto"/>
              </w:rPr>
            </w:pPr>
          </w:p>
        </w:tc>
        <w:tc>
          <w:tcPr>
            <w:tcW w:w="372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6"/>
                <w:szCs w:val="16"/>
                <w:color w:val="0000FF"/>
                <w:w w:val="93"/>
              </w:rPr>
              <w:t>Financial Information of Caesars Resort Collection, LLC</w:t>
            </w:r>
          </w:p>
        </w:tc>
        <w:tc>
          <w:tcPr>
            <w:tcW w:w="940" w:type="dxa"/>
            <w:vAlign w:val="bottom"/>
            <w:tcBorders>
              <w:top w:val="single" w:sz="8" w:color="0000FF"/>
            </w:tcBorders>
            <w:gridSpan w:val="3"/>
          </w:tcPr>
          <w:p>
            <w:pPr>
              <w:spacing w:after="0"/>
              <w:rPr>
                <w:sz w:val="24"/>
                <w:szCs w:val="24"/>
                <w:color w:val="auto"/>
              </w:rPr>
            </w:pPr>
          </w:p>
        </w:tc>
        <w:tc>
          <w:tcPr>
            <w:tcW w:w="38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4"/>
                <w:szCs w:val="24"/>
                <w:color w:val="auto"/>
              </w:rPr>
            </w:pPr>
          </w:p>
        </w:tc>
        <w:tc>
          <w:tcPr>
            <w:tcW w:w="8460" w:type="dxa"/>
            <w:vAlign w:val="bottom"/>
            <w:gridSpan w:val="18"/>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wp:posOffset>
            </wp:positionV>
            <wp:extent cx="11144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70"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Previously filed on Form 10-Q filed on August 4, 2021.</w:t>
      </w:r>
    </w:p>
    <w:p>
      <w:pPr>
        <w:spacing w:after="0" w:line="65"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Previously filed on Form 8-K filed on August 1, 2022.</w:t>
      </w:r>
    </w:p>
    <w:p>
      <w:pPr>
        <w:spacing w:after="0" w:line="65"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Previously filed on Form 8-K filed on February 6, 2023.</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6"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Previously filed on Form 8-K filed on February 6, 2023.</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35" w:lineRule="exact"/>
        <w:rPr>
          <w:sz w:val="20"/>
          <w:szCs w:val="20"/>
          <w:color w:val="auto"/>
        </w:rPr>
      </w:pPr>
    </w:p>
    <w:p>
      <w:pPr>
        <w:sectPr>
          <w:pgSz w:w="11900" w:h="16838" w:orient="portrait"/>
          <w:cols w:equalWidth="0" w:num="2">
            <w:col w:w="9340" w:space="120"/>
            <w:col w:w="1620"/>
          </w:cols>
          <w:pgMar w:left="320" w:top="1314" w:right="49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w:t>
      </w:r>
    </w:p>
    <w:p>
      <w:pPr>
        <w:spacing w:after="0" w:line="6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6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14" w:right="499" w:bottom="1440" w:gutter="0" w:footer="0" w:header="0"/>
          <w:type w:val="continuous"/>
        </w:sectPr>
      </w:pPr>
    </w:p>
    <w:bookmarkStart w:id="44" w:name="page45"/>
    <w:bookmarkEnd w:id="44"/>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May 2, 2023</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May 2, 2023</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80"/>
          </w:cols>
          <w:pgMar w:left="320" w:top="1440"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SUPPLEMENTAL INDENTURE</w:t>
      </w:r>
    </w:p>
    <w:p>
      <w:pPr>
        <w:spacing w:after="0" w:line="185" w:lineRule="exact"/>
        <w:rPr>
          <w:sz w:val="20"/>
          <w:szCs w:val="20"/>
          <w:color w:val="auto"/>
        </w:rPr>
      </w:pPr>
    </w:p>
    <w:p>
      <w:pPr>
        <w:ind w:right="60" w:firstLine="648"/>
        <w:spacing w:after="0" w:line="214" w:lineRule="auto"/>
        <w:rPr>
          <w:sz w:val="20"/>
          <w:szCs w:val="20"/>
          <w:color w:val="auto"/>
        </w:rPr>
      </w:pPr>
      <w:r>
        <w:rPr>
          <w:rFonts w:ascii="Arial" w:cs="Arial" w:eastAsia="Arial" w:hAnsi="Arial"/>
          <w:sz w:val="22"/>
          <w:szCs w:val="22"/>
          <w:color w:val="auto"/>
        </w:rPr>
        <w:t>THIS FIRST SUPPLEMENTAL INDENTURE (this “</w:t>
      </w:r>
      <w:r>
        <w:rPr>
          <w:rFonts w:ascii="Arial" w:cs="Arial" w:eastAsia="Arial" w:hAnsi="Arial"/>
          <w:sz w:val="22"/>
          <w:szCs w:val="22"/>
          <w:u w:val="single" w:color="auto"/>
          <w:color w:val="auto"/>
        </w:rPr>
        <w:t>Supplemental Indenture</w:t>
      </w:r>
      <w:r>
        <w:rPr>
          <w:rFonts w:ascii="Arial" w:cs="Arial" w:eastAsia="Arial" w:hAnsi="Arial"/>
          <w:sz w:val="22"/>
          <w:szCs w:val="22"/>
          <w:color w:val="auto"/>
        </w:rPr>
        <w:t>”) dated as of March 24, 2023, among Tropicana Atlantic City Corp., a New Jersey corporation (the “</w:t>
      </w:r>
      <w:r>
        <w:rPr>
          <w:rFonts w:ascii="Arial" w:cs="Arial" w:eastAsia="Arial" w:hAnsi="Arial"/>
          <w:sz w:val="22"/>
          <w:szCs w:val="22"/>
          <w:u w:val="single" w:color="auto"/>
          <w:color w:val="auto"/>
        </w:rPr>
        <w:t>New Guarantor</w:t>
      </w:r>
      <w:r>
        <w:rPr>
          <w:rFonts w:ascii="Arial" w:cs="Arial" w:eastAsia="Arial" w:hAnsi="Arial"/>
          <w:sz w:val="22"/>
          <w:szCs w:val="22"/>
          <w:color w:val="auto"/>
        </w:rPr>
        <w:t>”), as a subsidiary of CAESARS ENTERTAINMENT, INC. or its permitted successor,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the other Subsidiary Guarantors (as defined in the Indenture referred to herein), U.S. BANK TRUST COMPANY, NATIONAL ASSOCIATION, as trustee (in such capacity, the “</w:t>
      </w:r>
      <w:r>
        <w:rPr>
          <w:rFonts w:ascii="Arial" w:cs="Arial" w:eastAsia="Arial" w:hAnsi="Arial"/>
          <w:sz w:val="22"/>
          <w:szCs w:val="22"/>
          <w:u w:val="single" w:color="auto"/>
          <w:color w:val="auto"/>
        </w:rPr>
        <w:t>Trustee</w:t>
      </w:r>
      <w:r>
        <w:rPr>
          <w:rFonts w:ascii="Arial" w:cs="Arial" w:eastAsia="Arial" w:hAnsi="Arial"/>
          <w:sz w:val="22"/>
          <w:szCs w:val="22"/>
          <w:color w:val="auto"/>
        </w:rPr>
        <w:t>”), and U.S. BANK NATIONAL ASSOCIATION, as collateral agent (in such capacity, the “</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w:t>
      </w:r>
    </w:p>
    <w:p>
      <w:pPr>
        <w:spacing w:after="0" w:line="179" w:lineRule="exact"/>
        <w:rPr>
          <w:sz w:val="20"/>
          <w:szCs w:val="20"/>
          <w:color w:val="auto"/>
        </w:rPr>
      </w:pPr>
    </w:p>
    <w:p>
      <w:pPr>
        <w:ind w:right="100" w:firstLine="648"/>
        <w:spacing w:after="0" w:line="247" w:lineRule="auto"/>
        <w:rPr>
          <w:sz w:val="20"/>
          <w:szCs w:val="20"/>
          <w:color w:val="auto"/>
        </w:rPr>
      </w:pPr>
      <w:r>
        <w:rPr>
          <w:rFonts w:ascii="Arial" w:cs="Arial" w:eastAsia="Arial" w:hAnsi="Arial"/>
          <w:sz w:val="19"/>
          <w:szCs w:val="19"/>
          <w:color w:val="auto"/>
        </w:rPr>
        <w:t>WHEREAS, the Company has heretofore executed and delivered to the Trustee and the Collateral Agent an indenture (as amended, supplemented or otherwise modified, the “</w:t>
      </w:r>
      <w:r>
        <w:rPr>
          <w:rFonts w:ascii="Arial" w:cs="Arial" w:eastAsia="Arial" w:hAnsi="Arial"/>
          <w:sz w:val="19"/>
          <w:szCs w:val="19"/>
          <w:u w:val="single" w:color="auto"/>
          <w:color w:val="auto"/>
        </w:rPr>
        <w:t>Indenture</w:t>
      </w:r>
      <w:r>
        <w:rPr>
          <w:rFonts w:ascii="Arial" w:cs="Arial" w:eastAsia="Arial" w:hAnsi="Arial"/>
          <w:sz w:val="19"/>
          <w:szCs w:val="19"/>
          <w:color w:val="auto"/>
        </w:rPr>
        <w:t>”) dated as of February 6, 2023, providing for the issuance of</w:t>
      </w:r>
    </w:p>
    <w:p>
      <w:pPr>
        <w:ind w:right="520"/>
        <w:spacing w:after="0" w:line="217" w:lineRule="auto"/>
        <w:rPr>
          <w:sz w:val="20"/>
          <w:szCs w:val="20"/>
          <w:color w:val="auto"/>
        </w:rPr>
      </w:pPr>
      <w:r>
        <w:rPr>
          <w:rFonts w:ascii="Arial" w:cs="Arial" w:eastAsia="Arial" w:hAnsi="Arial"/>
          <w:sz w:val="22"/>
          <w:szCs w:val="22"/>
          <w:color w:val="auto"/>
        </w:rPr>
        <w:t>7.000% Senior Secured Notes due 2030 (the “</w:t>
      </w:r>
      <w:r>
        <w:rPr>
          <w:rFonts w:ascii="Arial" w:cs="Arial" w:eastAsia="Arial" w:hAnsi="Arial"/>
          <w:sz w:val="22"/>
          <w:szCs w:val="22"/>
          <w:u w:val="single" w:color="auto"/>
          <w:color w:val="auto"/>
        </w:rPr>
        <w:t>Notes</w:t>
      </w:r>
      <w:r>
        <w:rPr>
          <w:rFonts w:ascii="Arial" w:cs="Arial" w:eastAsia="Arial" w:hAnsi="Arial"/>
          <w:sz w:val="22"/>
          <w:szCs w:val="22"/>
          <w:color w:val="auto"/>
        </w:rPr>
        <w:t>”), initially in the aggregate principal amount of $2,000,000,000, by and among the Company, the Subsidiary Guarantors party thereto, the Trustee and the Collateral Agent (as further amended, supplemented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w:t>
      </w:r>
    </w:p>
    <w:p>
      <w:pPr>
        <w:spacing w:after="0" w:line="160"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WHEREAS, Section 4.11 of the Indenture provides that under certain circumstances the Company is required to cause the New Guarantor to execute and deliver to the Trustee a supplemental indenture pursuant to which the New Guarantor shall unconditionally guarantee all the Company’s Obligations under the Notes and the Indenture pursuant to a Note Guarantee on the terms and conditions set forth herein; and</w:t>
      </w:r>
    </w:p>
    <w:p>
      <w:pPr>
        <w:spacing w:after="0" w:line="161" w:lineRule="exact"/>
        <w:rPr>
          <w:sz w:val="20"/>
          <w:szCs w:val="20"/>
          <w:color w:val="auto"/>
        </w:rPr>
      </w:pPr>
    </w:p>
    <w:p>
      <w:pPr>
        <w:ind w:right="40" w:firstLine="648"/>
        <w:spacing w:after="0" w:line="232" w:lineRule="auto"/>
        <w:rPr>
          <w:sz w:val="20"/>
          <w:szCs w:val="20"/>
          <w:color w:val="auto"/>
        </w:rPr>
      </w:pPr>
      <w:r>
        <w:rPr>
          <w:rFonts w:ascii="Arial" w:cs="Arial" w:eastAsia="Arial" w:hAnsi="Arial"/>
          <w:sz w:val="22"/>
          <w:szCs w:val="22"/>
          <w:color w:val="auto"/>
        </w:rPr>
        <w:t>WHEREAS, pursuant to Section 9.01 of the Indenture, the Trustee, the Collateral Agent, the Company and the Subsidiary Guarantors, if any, are authorized to execute and deliver this Supplemental Indenture;</w:t>
      </w:r>
    </w:p>
    <w:p>
      <w:pPr>
        <w:spacing w:after="0" w:line="159" w:lineRule="exact"/>
        <w:rPr>
          <w:sz w:val="20"/>
          <w:szCs w:val="20"/>
          <w:color w:val="auto"/>
        </w:rPr>
      </w:pPr>
    </w:p>
    <w:p>
      <w:pPr>
        <w:jc w:val="both"/>
        <w:ind w:right="560" w:firstLine="648"/>
        <w:spacing w:after="0" w:line="268"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of which is hereby acknowledged, the New Guarantor, the Company, the Subsidiary Guarantors, the Collateral Agent and the Trustee mutually covenant and agree for the equal and ratable benefit of the holders of the Notes as follows:</w:t>
      </w:r>
    </w:p>
    <w:p>
      <w:pPr>
        <w:spacing w:after="0" w:line="132" w:lineRule="exact"/>
        <w:rPr>
          <w:sz w:val="20"/>
          <w:szCs w:val="20"/>
          <w:color w:val="auto"/>
        </w:rPr>
      </w:pPr>
    </w:p>
    <w:p>
      <w:pPr>
        <w:ind w:right="40" w:firstLine="656"/>
        <w:spacing w:after="0" w:line="216" w:lineRule="auto"/>
        <w:tabs>
          <w:tab w:leader="none" w:pos="1296" w:val="left"/>
        </w:tabs>
        <w:numPr>
          <w:ilvl w:val="0"/>
          <w:numId w:val="24"/>
        </w:numPr>
        <w:rPr>
          <w:rFonts w:ascii="Arial" w:cs="Arial" w:eastAsia="Arial" w:hAnsi="Arial"/>
          <w:sz w:val="20"/>
          <w:szCs w:val="20"/>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spacing w:after="0" w:line="157" w:lineRule="exact"/>
        <w:rPr>
          <w:rFonts w:ascii="Arial" w:cs="Arial" w:eastAsia="Arial" w:hAnsi="Arial"/>
          <w:sz w:val="20"/>
          <w:szCs w:val="20"/>
          <w:color w:val="auto"/>
        </w:rPr>
      </w:pPr>
    </w:p>
    <w:p>
      <w:pPr>
        <w:jc w:val="both"/>
        <w:ind w:right="160" w:firstLine="656"/>
        <w:spacing w:after="0" w:line="229" w:lineRule="auto"/>
        <w:tabs>
          <w:tab w:leader="none" w:pos="1296" w:val="left"/>
        </w:tabs>
        <w:numPr>
          <w:ilvl w:val="0"/>
          <w:numId w:val="24"/>
        </w:numPr>
        <w:rPr>
          <w:rFonts w:ascii="Arial" w:cs="Arial" w:eastAsia="Arial" w:hAnsi="Arial"/>
          <w:sz w:val="19"/>
          <w:szCs w:val="19"/>
          <w:color w:val="auto"/>
        </w:rPr>
      </w:pPr>
      <w:r>
        <w:rPr>
          <w:rFonts w:ascii="Arial" w:cs="Arial" w:eastAsia="Arial" w:hAnsi="Arial"/>
          <w:sz w:val="21"/>
          <w:szCs w:val="21"/>
          <w:u w:val="single" w:color="auto"/>
          <w:color w:val="auto"/>
        </w:rPr>
        <w:t>Agreement to Guarantee</w:t>
      </w:r>
      <w:r>
        <w:rPr>
          <w:rFonts w:ascii="Arial" w:cs="Arial" w:eastAsia="Arial" w:hAnsi="Arial"/>
          <w:sz w:val="21"/>
          <w:szCs w:val="21"/>
          <w:color w:val="auto"/>
        </w:rPr>
        <w:t>. The New Guarantor hereby agrees, jointly and severally with all existing guarantors (if any), to unconditionally guarantee the Company’s Obligations under the Notes and the Indenture on the terms and subject to the conditions set forth in Article XIII of the Indenture and to be bound by all other applicable provisions of the Indenture and the Notes and to perform all of the obligations and agreements of a guarantor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|US-DOCS\139508554.6||</w:t>
      </w:r>
    </w:p>
    <w:p>
      <w:pPr>
        <w:sectPr>
          <w:pgSz w:w="11900" w:h="16838" w:orient="portrait"/>
          <w:cols w:equalWidth="0" w:num="1">
            <w:col w:w="11240"/>
          </w:cols>
          <w:pgMar w:left="320" w:top="98" w:right="339" w:bottom="1440" w:gutter="0" w:footer="0" w:header="0"/>
        </w:sectPr>
      </w:pPr>
    </w:p>
    <w:bookmarkStart w:id="46" w:name="page47"/>
    <w:bookmarkEnd w:id="46"/>
    <w:p>
      <w:pPr>
        <w:ind w:right="340"/>
        <w:spacing w:after="0" w:line="232" w:lineRule="auto"/>
        <w:rPr>
          <w:sz w:val="20"/>
          <w:szCs w:val="20"/>
          <w:color w:val="auto"/>
        </w:rPr>
      </w:pPr>
      <w:r>
        <w:rPr>
          <w:rFonts w:ascii="Arial" w:cs="Arial" w:eastAsia="Arial" w:hAnsi="Arial"/>
          <w:sz w:val="22"/>
          <w:szCs w:val="22"/>
          <w:color w:val="auto"/>
        </w:rPr>
        <w:t>Indenture. From and after the date hereof, all references in the Indenture to the “Subsidiary Guarantors” shall include the New Guarantor.</w:t>
      </w:r>
    </w:p>
    <w:p>
      <w:pPr>
        <w:spacing w:after="0" w:line="159" w:lineRule="exact"/>
        <w:rPr>
          <w:sz w:val="20"/>
          <w:szCs w:val="20"/>
          <w:color w:val="auto"/>
        </w:rPr>
      </w:pPr>
    </w:p>
    <w:p>
      <w:pPr>
        <w:ind w:right="280" w:firstLine="656"/>
        <w:spacing w:after="0" w:line="223"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to the New Guarantor shall be given at the following address: Caesars Entertainment, Inc., 100 West Liberty Street, Suite 1150, Reno, Nevada 89501, Facsimile: (775) 337-9218 Attn: Chief Financial Officer.</w:t>
      </w:r>
    </w:p>
    <w:p>
      <w:pPr>
        <w:spacing w:after="0" w:line="158" w:lineRule="exact"/>
        <w:rPr>
          <w:rFonts w:ascii="Arial" w:cs="Arial" w:eastAsia="Arial" w:hAnsi="Arial"/>
          <w:sz w:val="20"/>
          <w:szCs w:val="20"/>
          <w:color w:val="auto"/>
        </w:rPr>
      </w:pPr>
    </w:p>
    <w:p>
      <w:pPr>
        <w:ind w:right="300" w:firstLine="656"/>
        <w:spacing w:after="0" w:line="232"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2"/>
          <w:szCs w:val="22"/>
          <w:u w:val="single" w:color="auto"/>
          <w:color w:val="auto"/>
        </w:rPr>
        <w:t>Execution and Delivery</w:t>
      </w:r>
      <w:r>
        <w:rPr>
          <w:rFonts w:ascii="Arial" w:cs="Arial" w:eastAsia="Arial" w:hAnsi="Arial"/>
          <w:sz w:val="22"/>
          <w:szCs w:val="22"/>
          <w:color w:val="auto"/>
        </w:rPr>
        <w:t>. The New Guarantor agrees that its Note Guarantee shall remain in full force and effect notwithstanding the absence of the endorsement of any notation of such Note Guarantee.</w:t>
      </w:r>
    </w:p>
    <w:p>
      <w:pPr>
        <w:spacing w:after="0" w:line="158" w:lineRule="exact"/>
        <w:rPr>
          <w:rFonts w:ascii="Arial" w:cs="Arial" w:eastAsia="Arial" w:hAnsi="Arial"/>
          <w:sz w:val="20"/>
          <w:szCs w:val="20"/>
          <w:color w:val="auto"/>
        </w:rPr>
      </w:pPr>
    </w:p>
    <w:p>
      <w:pPr>
        <w:ind w:right="20" w:firstLine="656"/>
        <w:spacing w:after="0" w:line="221"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21"/>
          <w:szCs w:val="21"/>
          <w:u w:val="single" w:color="auto"/>
          <w:color w:val="auto"/>
        </w:rPr>
        <w:t>Confirmation of Security Interests</w:t>
      </w:r>
      <w:r>
        <w:rPr>
          <w:rFonts w:ascii="Arial" w:cs="Arial" w:eastAsia="Arial" w:hAnsi="Arial"/>
          <w:sz w:val="21"/>
          <w:szCs w:val="21"/>
          <w:color w:val="auto"/>
        </w:rPr>
        <w:t>. Each of the Company and the Subsidiary Guarantors (including the New Guarantor) hereby confirms that (a) the Notes are entitled to the benefits of the security interests set forth or created in the Collateral Agreement and the other Security Documents and (b) the Collateral Agreement and the other Security Documents are, and shall continue to be, in full force and effect and are hereby ratified and confirmed in all respects after giving effect to this Supplemental Indenture. Each of the Company and the Subsidiary Guarantors (including the New Guarantor) ratifies and confirms its prior grant and the validity of all Liens granted, conveyed, or assigned to the Collateral Agent by such Person pursuant to each Security Document to which it is a party with all such Liens continuing in full force and effect after giving effect to this Supplemental Indenture, and such Liens are not released or reduced hereby, and secure full payment and performance of the Notes Obligations.</w:t>
      </w:r>
    </w:p>
    <w:p>
      <w:pPr>
        <w:spacing w:after="0" w:line="158" w:lineRule="exact"/>
        <w:rPr>
          <w:rFonts w:ascii="Arial" w:cs="Arial" w:eastAsia="Arial" w:hAnsi="Arial"/>
          <w:sz w:val="19"/>
          <w:szCs w:val="19"/>
          <w:color w:val="auto"/>
        </w:rPr>
      </w:pPr>
    </w:p>
    <w:p>
      <w:pPr>
        <w:jc w:val="both"/>
        <w:ind w:right="160" w:firstLine="656"/>
        <w:spacing w:after="0" w:line="218"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2"/>
          <w:szCs w:val="22"/>
          <w:u w:val="single" w:color="auto"/>
          <w:color w:val="auto"/>
        </w:rPr>
        <w:t>Ratification of Indenture; Supplemental Indentures Part of Indenture</w:t>
      </w:r>
      <w:r>
        <w:rPr>
          <w:rFonts w:ascii="Arial" w:cs="Arial" w:eastAsia="Arial" w:hAnsi="Arial"/>
          <w:sz w:val="22"/>
          <w:szCs w:val="2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53" w:lineRule="exact"/>
        <w:rPr>
          <w:rFonts w:ascii="Arial" w:cs="Arial" w:eastAsia="Arial" w:hAnsi="Arial"/>
          <w:sz w:val="20"/>
          <w:szCs w:val="20"/>
          <w:color w:val="auto"/>
        </w:rPr>
      </w:pPr>
    </w:p>
    <w:p>
      <w:pPr>
        <w:ind w:left="1300" w:hanging="644"/>
        <w:spacing w:after="0"/>
        <w:tabs>
          <w:tab w:leader="none" w:pos="1300" w:val="left"/>
        </w:tabs>
        <w:numPr>
          <w:ilvl w:val="0"/>
          <w:numId w:val="25"/>
        </w:numPr>
        <w:rPr>
          <w:rFonts w:ascii="Arial" w:cs="Arial" w:eastAsia="Arial" w:hAnsi="Arial"/>
          <w:sz w:val="19"/>
          <w:szCs w:val="19"/>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w:t>
      </w:r>
      <w:r>
        <w:rPr>
          <w:rFonts w:ascii="Arial" w:cs="Arial" w:eastAsia="Arial" w:hAnsi="Arial"/>
          <w:sz w:val="21"/>
          <w:szCs w:val="21"/>
          <w:b w:val="1"/>
          <w:bCs w:val="1"/>
          <w:color w:val="auto"/>
        </w:rPr>
        <w:t>THIS SUPPLEMENTAL INDENTURE SHALL BE GOVERNED BY, AND CONSTRUED</w:t>
      </w:r>
    </w:p>
    <w:p>
      <w:pPr>
        <w:spacing w:after="0"/>
        <w:rPr>
          <w:rFonts w:ascii="Arial" w:cs="Arial" w:eastAsia="Arial" w:hAnsi="Arial"/>
          <w:sz w:val="19"/>
          <w:szCs w:val="19"/>
          <w:color w:val="auto"/>
        </w:rPr>
      </w:pPr>
      <w:r>
        <w:rPr>
          <w:rFonts w:ascii="Arial" w:cs="Arial" w:eastAsia="Arial" w:hAnsi="Arial"/>
          <w:sz w:val="22"/>
          <w:szCs w:val="22"/>
          <w:b w:val="1"/>
          <w:bCs w:val="1"/>
          <w:color w:val="auto"/>
        </w:rPr>
        <w:t>IN ACCORDANCE WITH, THE LAWS OF THE STATE OF NEW YORK.</w:t>
      </w:r>
    </w:p>
    <w:p>
      <w:pPr>
        <w:spacing w:after="0" w:line="161" w:lineRule="exact"/>
        <w:rPr>
          <w:rFonts w:ascii="Arial" w:cs="Arial" w:eastAsia="Arial" w:hAnsi="Arial"/>
          <w:sz w:val="19"/>
          <w:szCs w:val="19"/>
          <w:color w:val="auto"/>
        </w:rPr>
      </w:pPr>
    </w:p>
    <w:p>
      <w:pPr>
        <w:ind w:firstLine="656"/>
        <w:spacing w:after="0" w:line="226"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21"/>
          <w:szCs w:val="21"/>
          <w:u w:val="single" w:color="auto"/>
          <w:color w:val="auto"/>
        </w:rPr>
        <w:t>No Recourse Against Others</w:t>
      </w:r>
      <w:r>
        <w:rPr>
          <w:rFonts w:ascii="Arial" w:cs="Arial" w:eastAsia="Arial" w:hAnsi="Arial"/>
          <w:sz w:val="21"/>
          <w:szCs w:val="21"/>
          <w:color w:val="auto"/>
        </w:rPr>
        <w:t>. No director, officer, employee, manager, incorporator or holder of any Equity Interests in the New Guarantor or any direct or indirect parent corporation, as such, shall have any liability for any obligations of the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59" w:lineRule="exact"/>
        <w:rPr>
          <w:rFonts w:ascii="Arial" w:cs="Arial" w:eastAsia="Arial" w:hAnsi="Arial"/>
          <w:sz w:val="19"/>
          <w:szCs w:val="19"/>
          <w:color w:val="auto"/>
        </w:rPr>
      </w:pPr>
    </w:p>
    <w:p>
      <w:pPr>
        <w:ind w:right="140" w:firstLine="656"/>
        <w:spacing w:after="0" w:line="232"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2"/>
          <w:szCs w:val="22"/>
          <w:u w:val="single" w:color="auto"/>
          <w:color w:val="auto"/>
        </w:rPr>
        <w:t>Trustee Makes No Representation</w:t>
      </w:r>
      <w:r>
        <w:rPr>
          <w:rFonts w:ascii="Arial" w:cs="Arial" w:eastAsia="Arial" w:hAnsi="Arial"/>
          <w:sz w:val="22"/>
          <w:szCs w:val="22"/>
          <w:color w:val="auto"/>
        </w:rPr>
        <w:t>. The Trustee and the Collateral Agent make no representation as to the validity or sufficiency of this Supplemental Indenture.</w:t>
      </w:r>
    </w:p>
    <w:p>
      <w:pPr>
        <w:spacing w:after="0" w:line="158" w:lineRule="exact"/>
        <w:rPr>
          <w:rFonts w:ascii="Arial" w:cs="Arial" w:eastAsia="Arial" w:hAnsi="Arial"/>
          <w:sz w:val="20"/>
          <w:szCs w:val="20"/>
          <w:color w:val="auto"/>
        </w:rPr>
      </w:pPr>
    </w:p>
    <w:p>
      <w:pPr>
        <w:ind w:right="180" w:firstLine="656"/>
        <w:spacing w:after="0" w:line="232" w:lineRule="auto"/>
        <w:tabs>
          <w:tab w:leader="none" w:pos="1287" w:val="left"/>
        </w:tabs>
        <w:numPr>
          <w:ilvl w:val="0"/>
          <w:numId w:val="25"/>
        </w:numPr>
        <w:rPr>
          <w:rFonts w:ascii="Arial" w:cs="Arial" w:eastAsia="Arial" w:hAnsi="Arial"/>
          <w:sz w:val="20"/>
          <w:szCs w:val="20"/>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58" w:lineRule="exact"/>
        <w:rPr>
          <w:rFonts w:ascii="Arial" w:cs="Arial" w:eastAsia="Arial" w:hAnsi="Arial"/>
          <w:sz w:val="20"/>
          <w:szCs w:val="20"/>
          <w:color w:val="auto"/>
        </w:rPr>
      </w:pPr>
    </w:p>
    <w:p>
      <w:pPr>
        <w:ind w:left="1280" w:hanging="624"/>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effect the construction</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|US-DOCS\139508554.6||</w:t>
      </w:r>
    </w:p>
    <w:p>
      <w:pPr>
        <w:sectPr>
          <w:pgSz w:w="11900" w:h="16838" w:orient="portrait"/>
          <w:cols w:equalWidth="0" w:num="1">
            <w:col w:w="11240"/>
          </w:cols>
          <w:pgMar w:left="320" w:top="1401" w:right="339" w:bottom="1440" w:gutter="0" w:footer="0" w:header="0"/>
        </w:sectPr>
      </w:pPr>
    </w:p>
    <w:bookmarkStart w:id="47" w:name="page48"/>
    <w:bookmarkEnd w:id="47"/>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14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CAESARS ENTERTAINMENT, INC.,</w:t>
      </w:r>
    </w:p>
    <w:p>
      <w:pPr>
        <w:ind w:left="2600"/>
        <w:spacing w:after="0"/>
        <w:rPr>
          <w:sz w:val="20"/>
          <w:szCs w:val="20"/>
          <w:color w:val="auto"/>
        </w:rPr>
      </w:pPr>
      <w:r>
        <w:rPr>
          <w:rFonts w:ascii="Arial" w:cs="Arial" w:eastAsia="Arial" w:hAnsi="Arial"/>
          <w:sz w:val="22"/>
          <w:szCs w:val="22"/>
          <w:color w:val="auto"/>
        </w:rPr>
        <w:t>as Company</w:t>
      </w: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color w:val="4F4F4F"/>
        </w:rPr>
        <w:t>: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-5715</wp:posOffset>
            </wp:positionV>
            <wp:extent cx="1718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718310" cy="8255"/>
                    </a:xfrm>
                    <a:prstGeom prst="rect">
                      <a:avLst/>
                    </a:prstGeom>
                    <a:noFill/>
                  </pic:spPr>
                </pic:pic>
              </a:graphicData>
            </a:graphic>
          </wp:anchor>
        </w:drawing>
      </w:r>
    </w:p>
    <w:p>
      <w:pPr>
        <w:ind w:left="2600"/>
        <w:spacing w:after="0" w:line="204" w:lineRule="auto"/>
        <w:rPr>
          <w:sz w:val="20"/>
          <w:szCs w:val="20"/>
          <w:color w:val="auto"/>
        </w:rPr>
      </w:pPr>
      <w:r>
        <w:rPr>
          <w:rFonts w:ascii="Arial" w:cs="Arial" w:eastAsia="Arial" w:hAnsi="Arial"/>
          <w:sz w:val="22"/>
          <w:szCs w:val="22"/>
          <w:color w:val="auto"/>
        </w:rPr>
        <w:t>Name: Edmund L. Quatmann, Jr.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Executive Vice President, Chief Legal Officer and Secretary</w:t>
      </w: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AZTAR RIVERBOAT HOLDING COMPANY, LLC</w:t>
      </w:r>
    </w:p>
    <w:p>
      <w:pPr>
        <w:ind w:left="2600"/>
        <w:spacing w:after="0" w:line="204" w:lineRule="auto"/>
        <w:rPr>
          <w:sz w:val="20"/>
          <w:szCs w:val="20"/>
          <w:color w:val="auto"/>
        </w:rPr>
      </w:pPr>
      <w:r>
        <w:rPr>
          <w:rFonts w:ascii="Arial" w:cs="Arial" w:eastAsia="Arial" w:hAnsi="Arial"/>
          <w:sz w:val="22"/>
          <w:szCs w:val="22"/>
          <w:color w:val="auto"/>
        </w:rPr>
        <w:t>BLACK HAWK HOLDINGS, L.L.C.</w:t>
      </w:r>
    </w:p>
    <w:p>
      <w:pPr>
        <w:ind w:left="2600"/>
        <w:spacing w:after="0" w:line="205" w:lineRule="auto"/>
        <w:rPr>
          <w:sz w:val="20"/>
          <w:szCs w:val="20"/>
          <w:color w:val="auto"/>
        </w:rPr>
      </w:pPr>
      <w:r>
        <w:rPr>
          <w:rFonts w:ascii="Arial" w:cs="Arial" w:eastAsia="Arial" w:hAnsi="Arial"/>
          <w:sz w:val="22"/>
          <w:szCs w:val="22"/>
          <w:color w:val="auto"/>
        </w:rPr>
        <w:t>CAESARS DUBAI, LLC</w:t>
      </w:r>
    </w:p>
    <w:p>
      <w:pPr>
        <w:ind w:left="2600"/>
        <w:spacing w:after="0" w:line="205" w:lineRule="auto"/>
        <w:rPr>
          <w:sz w:val="20"/>
          <w:szCs w:val="20"/>
          <w:color w:val="auto"/>
        </w:rPr>
      </w:pPr>
      <w:r>
        <w:rPr>
          <w:rFonts w:ascii="Arial" w:cs="Arial" w:eastAsia="Arial" w:hAnsi="Arial"/>
          <w:sz w:val="22"/>
          <w:szCs w:val="22"/>
          <w:color w:val="auto"/>
        </w:rPr>
        <w:t>CAESARS GROWTH PARTNERS, LLC</w:t>
      </w:r>
    </w:p>
    <w:p>
      <w:pPr>
        <w:ind w:left="2600"/>
        <w:spacing w:after="0" w:line="205" w:lineRule="auto"/>
        <w:rPr>
          <w:sz w:val="20"/>
          <w:szCs w:val="20"/>
          <w:color w:val="auto"/>
        </w:rPr>
      </w:pPr>
      <w:r>
        <w:rPr>
          <w:rFonts w:ascii="Arial" w:cs="Arial" w:eastAsia="Arial" w:hAnsi="Arial"/>
          <w:sz w:val="22"/>
          <w:szCs w:val="22"/>
          <w:color w:val="auto"/>
        </w:rPr>
        <w:t>CAESARS HOLDINGS, INC.</w:t>
      </w:r>
    </w:p>
    <w:p>
      <w:pPr>
        <w:ind w:left="2600"/>
        <w:spacing w:after="0" w:line="205" w:lineRule="auto"/>
        <w:rPr>
          <w:sz w:val="20"/>
          <w:szCs w:val="20"/>
          <w:color w:val="auto"/>
        </w:rPr>
      </w:pPr>
      <w:r>
        <w:rPr>
          <w:rFonts w:ascii="Arial" w:cs="Arial" w:eastAsia="Arial" w:hAnsi="Arial"/>
          <w:sz w:val="22"/>
          <w:szCs w:val="22"/>
          <w:color w:val="auto"/>
        </w:rPr>
        <w:t>CAESARS HOSPITALITY, LLC</w:t>
      </w:r>
    </w:p>
    <w:p>
      <w:pPr>
        <w:ind w:left="2600"/>
        <w:spacing w:after="0" w:line="205" w:lineRule="auto"/>
        <w:rPr>
          <w:sz w:val="20"/>
          <w:szCs w:val="20"/>
          <w:color w:val="auto"/>
        </w:rPr>
      </w:pPr>
      <w:r>
        <w:rPr>
          <w:rFonts w:ascii="Arial" w:cs="Arial" w:eastAsia="Arial" w:hAnsi="Arial"/>
          <w:sz w:val="22"/>
          <w:szCs w:val="22"/>
          <w:color w:val="auto"/>
        </w:rPr>
        <w:t>CAESARS INTERNATIONAL HOSPITALITY, LLC</w:t>
      </w:r>
    </w:p>
    <w:p>
      <w:pPr>
        <w:ind w:left="2600"/>
        <w:spacing w:after="0" w:line="205" w:lineRule="auto"/>
        <w:rPr>
          <w:sz w:val="20"/>
          <w:szCs w:val="20"/>
          <w:color w:val="auto"/>
        </w:rPr>
      </w:pPr>
      <w:r>
        <w:rPr>
          <w:rFonts w:ascii="Arial" w:cs="Arial" w:eastAsia="Arial" w:hAnsi="Arial"/>
          <w:sz w:val="22"/>
          <w:szCs w:val="22"/>
          <w:color w:val="auto"/>
        </w:rPr>
        <w:t>CAESARS PARLAY HOLDING, LLC</w:t>
      </w:r>
    </w:p>
    <w:p>
      <w:pPr>
        <w:ind w:left="2600"/>
        <w:spacing w:after="0" w:line="205" w:lineRule="auto"/>
        <w:rPr>
          <w:sz w:val="20"/>
          <w:szCs w:val="20"/>
          <w:color w:val="auto"/>
        </w:rPr>
      </w:pPr>
      <w:r>
        <w:rPr>
          <w:rFonts w:ascii="Arial" w:cs="Arial" w:eastAsia="Arial" w:hAnsi="Arial"/>
          <w:sz w:val="22"/>
          <w:szCs w:val="22"/>
          <w:color w:val="auto"/>
        </w:rPr>
        <w:t>CCR NEWCO, LLC</w:t>
      </w:r>
    </w:p>
    <w:p>
      <w:pPr>
        <w:ind w:left="2600"/>
        <w:spacing w:after="0" w:line="205" w:lineRule="auto"/>
        <w:rPr>
          <w:sz w:val="20"/>
          <w:szCs w:val="20"/>
          <w:color w:val="auto"/>
        </w:rPr>
      </w:pPr>
      <w:r>
        <w:rPr>
          <w:rFonts w:ascii="Arial" w:cs="Arial" w:eastAsia="Arial" w:hAnsi="Arial"/>
          <w:sz w:val="22"/>
          <w:szCs w:val="22"/>
          <w:color w:val="auto"/>
        </w:rPr>
        <w:t>CCSC/BLACKHAWK, INC.</w:t>
      </w:r>
    </w:p>
    <w:p>
      <w:pPr>
        <w:ind w:left="2600"/>
        <w:spacing w:after="0" w:line="205" w:lineRule="auto"/>
        <w:rPr>
          <w:sz w:val="20"/>
          <w:szCs w:val="20"/>
          <w:color w:val="auto"/>
        </w:rPr>
      </w:pPr>
      <w:r>
        <w:rPr>
          <w:rFonts w:ascii="Arial" w:cs="Arial" w:eastAsia="Arial" w:hAnsi="Arial"/>
          <w:sz w:val="22"/>
          <w:szCs w:val="22"/>
          <w:color w:val="auto"/>
        </w:rPr>
        <w:t>CIE GROWTH, LLC</w:t>
      </w:r>
    </w:p>
    <w:p>
      <w:pPr>
        <w:ind w:left="2600"/>
        <w:spacing w:after="0" w:line="205" w:lineRule="auto"/>
        <w:rPr>
          <w:sz w:val="20"/>
          <w:szCs w:val="20"/>
          <w:color w:val="auto"/>
        </w:rPr>
      </w:pPr>
      <w:r>
        <w:rPr>
          <w:rFonts w:ascii="Arial" w:cs="Arial" w:eastAsia="Arial" w:hAnsi="Arial"/>
          <w:sz w:val="22"/>
          <w:szCs w:val="22"/>
          <w:color w:val="auto"/>
        </w:rPr>
        <w:t>CIRCUS AND ELDORADO JOINT VENTURE, LLC</w:t>
      </w:r>
    </w:p>
    <w:p>
      <w:pPr>
        <w:ind w:left="2600"/>
        <w:spacing w:after="0" w:line="205" w:lineRule="auto"/>
        <w:rPr>
          <w:sz w:val="20"/>
          <w:szCs w:val="20"/>
          <w:color w:val="auto"/>
        </w:rPr>
      </w:pPr>
      <w:r>
        <w:rPr>
          <w:rFonts w:ascii="Arial" w:cs="Arial" w:eastAsia="Arial" w:hAnsi="Arial"/>
          <w:sz w:val="22"/>
          <w:szCs w:val="22"/>
          <w:color w:val="auto"/>
        </w:rPr>
        <w:t>CRS ANNEX, LLC</w:t>
      </w:r>
    </w:p>
    <w:p>
      <w:pPr>
        <w:ind w:left="2600"/>
        <w:spacing w:after="0" w:line="205" w:lineRule="auto"/>
        <w:rPr>
          <w:sz w:val="20"/>
          <w:szCs w:val="20"/>
          <w:color w:val="auto"/>
        </w:rPr>
      </w:pPr>
      <w:r>
        <w:rPr>
          <w:rFonts w:ascii="Arial" w:cs="Arial" w:eastAsia="Arial" w:hAnsi="Arial"/>
          <w:sz w:val="22"/>
          <w:szCs w:val="22"/>
          <w:color w:val="auto"/>
        </w:rPr>
        <w:t>EASTSIDE CONVENTION CENTER, LLC</w:t>
      </w:r>
    </w:p>
    <w:p>
      <w:pPr>
        <w:ind w:left="2600"/>
        <w:spacing w:after="0" w:line="205" w:lineRule="auto"/>
        <w:rPr>
          <w:sz w:val="20"/>
          <w:szCs w:val="20"/>
          <w:color w:val="auto"/>
        </w:rPr>
      </w:pPr>
      <w:r>
        <w:rPr>
          <w:rFonts w:ascii="Arial" w:cs="Arial" w:eastAsia="Arial" w:hAnsi="Arial"/>
          <w:sz w:val="22"/>
          <w:szCs w:val="22"/>
          <w:color w:val="auto"/>
        </w:rPr>
        <w:t>ELDO FIT, LLC</w:t>
      </w:r>
    </w:p>
    <w:p>
      <w:pPr>
        <w:ind w:left="2600"/>
        <w:spacing w:after="0" w:line="204" w:lineRule="auto"/>
        <w:rPr>
          <w:sz w:val="20"/>
          <w:szCs w:val="20"/>
          <w:color w:val="auto"/>
        </w:rPr>
      </w:pPr>
      <w:r>
        <w:rPr>
          <w:rFonts w:ascii="Arial" w:cs="Arial" w:eastAsia="Arial" w:hAnsi="Arial"/>
          <w:sz w:val="22"/>
          <w:szCs w:val="22"/>
          <w:color w:val="auto"/>
        </w:rPr>
        <w:t>ELDORADO HOLDCO LLC</w:t>
      </w:r>
    </w:p>
    <w:p>
      <w:pPr>
        <w:ind w:left="2600"/>
        <w:spacing w:after="0" w:line="205" w:lineRule="auto"/>
        <w:rPr>
          <w:sz w:val="20"/>
          <w:szCs w:val="20"/>
          <w:color w:val="auto"/>
        </w:rPr>
      </w:pPr>
      <w:r>
        <w:rPr>
          <w:rFonts w:ascii="Arial" w:cs="Arial" w:eastAsia="Arial" w:hAnsi="Arial"/>
          <w:sz w:val="22"/>
          <w:szCs w:val="22"/>
          <w:color w:val="auto"/>
        </w:rPr>
        <w:t>ELDORADO LIMITED LIABILITY COMPANY</w:t>
      </w:r>
    </w:p>
    <w:p>
      <w:pPr>
        <w:ind w:left="2600"/>
        <w:spacing w:after="0" w:line="205" w:lineRule="auto"/>
        <w:rPr>
          <w:sz w:val="20"/>
          <w:szCs w:val="20"/>
          <w:color w:val="auto"/>
        </w:rPr>
      </w:pPr>
      <w:r>
        <w:rPr>
          <w:rFonts w:ascii="Arial" w:cs="Arial" w:eastAsia="Arial" w:hAnsi="Arial"/>
          <w:sz w:val="22"/>
          <w:szCs w:val="22"/>
          <w:color w:val="auto"/>
        </w:rPr>
        <w:t>ELDORADO SHREVEPORT #1, LLC</w:t>
      </w:r>
    </w:p>
    <w:p>
      <w:pPr>
        <w:ind w:left="2600"/>
        <w:spacing w:after="0" w:line="205" w:lineRule="auto"/>
        <w:rPr>
          <w:sz w:val="20"/>
          <w:szCs w:val="20"/>
          <w:color w:val="auto"/>
        </w:rPr>
      </w:pPr>
      <w:r>
        <w:rPr>
          <w:rFonts w:ascii="Arial" w:cs="Arial" w:eastAsia="Arial" w:hAnsi="Arial"/>
          <w:sz w:val="22"/>
          <w:szCs w:val="22"/>
          <w:color w:val="auto"/>
        </w:rPr>
        <w:t>ELDORADO SHREVEPORT #2, LLC</w:t>
      </w:r>
    </w:p>
    <w:p>
      <w:pPr>
        <w:ind w:left="2600"/>
        <w:spacing w:after="0" w:line="205" w:lineRule="auto"/>
        <w:rPr>
          <w:sz w:val="20"/>
          <w:szCs w:val="20"/>
          <w:color w:val="auto"/>
        </w:rPr>
      </w:pPr>
      <w:r>
        <w:rPr>
          <w:rFonts w:ascii="Arial" w:cs="Arial" w:eastAsia="Arial" w:hAnsi="Arial"/>
          <w:sz w:val="22"/>
          <w:szCs w:val="22"/>
          <w:color w:val="auto"/>
        </w:rPr>
        <w:t>ELGIN HOLDINGS I LLC</w:t>
      </w:r>
    </w:p>
    <w:p>
      <w:pPr>
        <w:ind w:left="2600"/>
        <w:spacing w:after="0" w:line="205" w:lineRule="auto"/>
        <w:rPr>
          <w:sz w:val="20"/>
          <w:szCs w:val="20"/>
          <w:color w:val="auto"/>
        </w:rPr>
      </w:pPr>
      <w:r>
        <w:rPr>
          <w:rFonts w:ascii="Arial" w:cs="Arial" w:eastAsia="Arial" w:hAnsi="Arial"/>
          <w:sz w:val="22"/>
          <w:szCs w:val="22"/>
          <w:color w:val="auto"/>
        </w:rPr>
        <w:t>ELGIN HOLDINGS II LLC</w:t>
      </w:r>
    </w:p>
    <w:p>
      <w:pPr>
        <w:ind w:left="2600"/>
        <w:spacing w:after="0" w:line="205" w:lineRule="auto"/>
        <w:rPr>
          <w:sz w:val="20"/>
          <w:szCs w:val="20"/>
          <w:color w:val="auto"/>
        </w:rPr>
      </w:pPr>
      <w:r>
        <w:rPr>
          <w:rFonts w:ascii="Arial" w:cs="Arial" w:eastAsia="Arial" w:hAnsi="Arial"/>
          <w:sz w:val="22"/>
          <w:szCs w:val="22"/>
          <w:color w:val="auto"/>
        </w:rPr>
        <w:t>ELGIN RIVERBOAT RESORT–RIVERBOAT CASINO</w:t>
      </w:r>
    </w:p>
    <w:p>
      <w:pPr>
        <w:ind w:left="2600"/>
        <w:spacing w:after="0" w:line="205" w:lineRule="auto"/>
        <w:rPr>
          <w:sz w:val="20"/>
          <w:szCs w:val="20"/>
          <w:color w:val="auto"/>
        </w:rPr>
      </w:pPr>
      <w:r>
        <w:rPr>
          <w:rFonts w:ascii="Arial" w:cs="Arial" w:eastAsia="Arial" w:hAnsi="Arial"/>
          <w:sz w:val="22"/>
          <w:szCs w:val="22"/>
          <w:color w:val="auto"/>
        </w:rPr>
        <w:t>GB INVESTOR, LLC,</w:t>
      </w:r>
    </w:p>
    <w:p>
      <w:pPr>
        <w:ind w:left="2600"/>
        <w:spacing w:after="0"/>
        <w:rPr>
          <w:sz w:val="20"/>
          <w:szCs w:val="20"/>
          <w:color w:val="auto"/>
        </w:rPr>
      </w:pPr>
      <w:r>
        <w:rPr>
          <w:rFonts w:ascii="Arial" w:cs="Arial" w:eastAsia="Arial" w:hAnsi="Arial"/>
          <w:sz w:val="22"/>
          <w:szCs w:val="22"/>
          <w:color w:val="auto"/>
        </w:rPr>
        <w:t>as a Subsidiary Guarantor</w:t>
      </w: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color w:val="4F4F4F"/>
        </w:rPr>
        <w:t>: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-5715</wp:posOffset>
            </wp:positionV>
            <wp:extent cx="17183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718310" cy="8890"/>
                    </a:xfrm>
                    <a:prstGeom prst="rect">
                      <a:avLst/>
                    </a:prstGeom>
                    <a:noFill/>
                  </pic:spPr>
                </pic:pic>
              </a:graphicData>
            </a:graphic>
          </wp:anchor>
        </w:drawing>
      </w:r>
    </w:p>
    <w:p>
      <w:pPr>
        <w:ind w:left="2600"/>
        <w:spacing w:after="0" w:line="204" w:lineRule="auto"/>
        <w:rPr>
          <w:sz w:val="20"/>
          <w:szCs w:val="20"/>
          <w:color w:val="auto"/>
        </w:rPr>
      </w:pPr>
      <w:r>
        <w:rPr>
          <w:rFonts w:ascii="Arial" w:cs="Arial" w:eastAsia="Arial" w:hAnsi="Arial"/>
          <w:sz w:val="22"/>
          <w:szCs w:val="22"/>
          <w:color w:val="auto"/>
        </w:rPr>
        <w:t>Name: Edmund L. Quatmann, Jr.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First Supplemental Indenture</w:t>
      </w:r>
      <w:r>
        <w:rPr>
          <w:rFonts w:ascii="Arial" w:cs="Arial" w:eastAsia="Arial" w:hAnsi="Arial"/>
          <w:sz w:val="20"/>
          <w:szCs w:val="20"/>
          <w:color w:val="auto"/>
        </w:rPr>
        <w:t>]</w:t>
      </w:r>
    </w:p>
    <w:p>
      <w:pPr>
        <w:sectPr>
          <w:pgSz w:w="11900" w:h="16838" w:orient="portrait"/>
          <w:cols w:equalWidth="0" w:num="1">
            <w:col w:w="11080"/>
          </w:cols>
          <w:pgMar w:left="320" w:top="1401" w:right="499" w:bottom="1440" w:gutter="0" w:footer="0" w:header="0"/>
        </w:sectPr>
      </w:pPr>
    </w:p>
    <w:bookmarkStart w:id="48" w:name="page49"/>
    <w:bookmarkEnd w:id="48"/>
    <w:p>
      <w:pPr>
        <w:ind w:left="1480"/>
        <w:spacing w:after="0"/>
        <w:rPr>
          <w:sz w:val="20"/>
          <w:szCs w:val="20"/>
          <w:color w:val="auto"/>
        </w:rPr>
      </w:pPr>
      <w:r>
        <w:rPr>
          <w:rFonts w:ascii="Arial" w:cs="Arial" w:eastAsia="Arial" w:hAnsi="Arial"/>
          <w:sz w:val="22"/>
          <w:szCs w:val="22"/>
          <w:color w:val="auto"/>
        </w:rPr>
        <w:t>IC HOLDINGS COLORADO, INC.</w:t>
      </w:r>
    </w:p>
    <w:p>
      <w:pPr>
        <w:ind w:left="1480"/>
        <w:spacing w:after="0" w:line="204" w:lineRule="auto"/>
        <w:rPr>
          <w:sz w:val="20"/>
          <w:szCs w:val="20"/>
          <w:color w:val="auto"/>
        </w:rPr>
      </w:pPr>
      <w:r>
        <w:rPr>
          <w:rFonts w:ascii="Arial" w:cs="Arial" w:eastAsia="Arial" w:hAnsi="Arial"/>
          <w:sz w:val="22"/>
          <w:szCs w:val="22"/>
          <w:color w:val="auto"/>
        </w:rPr>
        <w:t>IOC - BLACK HAWK DISTRIBUTION COMPANY, LLC</w:t>
      </w:r>
    </w:p>
    <w:p>
      <w:pPr>
        <w:ind w:left="1480"/>
        <w:spacing w:after="0" w:line="205" w:lineRule="auto"/>
        <w:rPr>
          <w:sz w:val="20"/>
          <w:szCs w:val="20"/>
          <w:color w:val="auto"/>
        </w:rPr>
      </w:pPr>
      <w:r>
        <w:rPr>
          <w:rFonts w:ascii="Arial" w:cs="Arial" w:eastAsia="Arial" w:hAnsi="Arial"/>
          <w:sz w:val="22"/>
          <w:szCs w:val="22"/>
          <w:color w:val="auto"/>
        </w:rPr>
        <w:t>IOC - BOONVILLE, INC.</w:t>
      </w:r>
    </w:p>
    <w:p>
      <w:pPr>
        <w:ind w:left="1480"/>
        <w:spacing w:after="0" w:line="205" w:lineRule="auto"/>
        <w:rPr>
          <w:sz w:val="20"/>
          <w:szCs w:val="20"/>
          <w:color w:val="auto"/>
        </w:rPr>
      </w:pPr>
      <w:r>
        <w:rPr>
          <w:rFonts w:ascii="Arial" w:cs="Arial" w:eastAsia="Arial" w:hAnsi="Arial"/>
          <w:sz w:val="22"/>
          <w:szCs w:val="22"/>
          <w:color w:val="auto"/>
        </w:rPr>
        <w:t>IOC - LULA, INC.</w:t>
      </w:r>
    </w:p>
    <w:p>
      <w:pPr>
        <w:ind w:left="1480"/>
        <w:spacing w:after="0" w:line="205" w:lineRule="auto"/>
        <w:rPr>
          <w:sz w:val="20"/>
          <w:szCs w:val="20"/>
          <w:color w:val="auto"/>
        </w:rPr>
      </w:pPr>
      <w:r>
        <w:rPr>
          <w:rFonts w:ascii="Arial" w:cs="Arial" w:eastAsia="Arial" w:hAnsi="Arial"/>
          <w:sz w:val="22"/>
          <w:szCs w:val="22"/>
          <w:color w:val="auto"/>
        </w:rPr>
        <w:t>IOC BLACK HAWK COUNTY, INC.</w:t>
      </w:r>
    </w:p>
    <w:p>
      <w:pPr>
        <w:ind w:left="1480"/>
        <w:spacing w:after="0" w:line="205" w:lineRule="auto"/>
        <w:rPr>
          <w:sz w:val="20"/>
          <w:szCs w:val="20"/>
          <w:color w:val="auto"/>
        </w:rPr>
      </w:pPr>
      <w:r>
        <w:rPr>
          <w:rFonts w:ascii="Arial" w:cs="Arial" w:eastAsia="Arial" w:hAnsi="Arial"/>
          <w:sz w:val="22"/>
          <w:szCs w:val="22"/>
          <w:color w:val="auto"/>
        </w:rPr>
        <w:t>IOC HOLDINGS, L.L.C.</w:t>
      </w:r>
    </w:p>
    <w:p>
      <w:pPr>
        <w:ind w:left="1480"/>
        <w:spacing w:after="0" w:line="205" w:lineRule="auto"/>
        <w:rPr>
          <w:sz w:val="20"/>
          <w:szCs w:val="20"/>
          <w:color w:val="auto"/>
        </w:rPr>
      </w:pPr>
      <w:r>
        <w:rPr>
          <w:rFonts w:ascii="Arial" w:cs="Arial" w:eastAsia="Arial" w:hAnsi="Arial"/>
          <w:sz w:val="22"/>
          <w:szCs w:val="22"/>
          <w:color w:val="auto"/>
        </w:rPr>
        <w:t>IOC-VICKSBURG, INC.</w:t>
      </w:r>
    </w:p>
    <w:p>
      <w:pPr>
        <w:ind w:left="1480"/>
        <w:spacing w:after="0" w:line="205" w:lineRule="auto"/>
        <w:rPr>
          <w:sz w:val="20"/>
          <w:szCs w:val="20"/>
          <w:color w:val="auto"/>
        </w:rPr>
      </w:pPr>
      <w:r>
        <w:rPr>
          <w:rFonts w:ascii="Arial" w:cs="Arial" w:eastAsia="Arial" w:hAnsi="Arial"/>
          <w:sz w:val="22"/>
          <w:szCs w:val="22"/>
          <w:color w:val="auto"/>
        </w:rPr>
        <w:t>IOC-VICKSBURG, L.L.C.</w:t>
      </w:r>
    </w:p>
    <w:p>
      <w:pPr>
        <w:ind w:left="1480"/>
        <w:spacing w:after="0" w:line="205" w:lineRule="auto"/>
        <w:rPr>
          <w:sz w:val="20"/>
          <w:szCs w:val="20"/>
          <w:color w:val="auto"/>
        </w:rPr>
      </w:pPr>
      <w:r>
        <w:rPr>
          <w:rFonts w:ascii="Arial" w:cs="Arial" w:eastAsia="Arial" w:hAnsi="Arial"/>
          <w:sz w:val="22"/>
          <w:szCs w:val="22"/>
          <w:color w:val="auto"/>
        </w:rPr>
        <w:t>ISLE OF CAPRI BETTENDORF, L.C.</w:t>
      </w:r>
    </w:p>
    <w:p>
      <w:pPr>
        <w:ind w:left="1480"/>
        <w:spacing w:after="0" w:line="205" w:lineRule="auto"/>
        <w:rPr>
          <w:sz w:val="20"/>
          <w:szCs w:val="20"/>
          <w:color w:val="auto"/>
        </w:rPr>
      </w:pPr>
      <w:r>
        <w:rPr>
          <w:rFonts w:ascii="Arial" w:cs="Arial" w:eastAsia="Arial" w:hAnsi="Arial"/>
          <w:sz w:val="22"/>
          <w:szCs w:val="22"/>
          <w:color w:val="auto"/>
        </w:rPr>
        <w:t>ISLE OF CAPRI BLACK HAWK, L.L.C.</w:t>
      </w:r>
    </w:p>
    <w:p>
      <w:pPr>
        <w:ind w:left="1480"/>
        <w:spacing w:after="0" w:line="205" w:lineRule="auto"/>
        <w:rPr>
          <w:sz w:val="20"/>
          <w:szCs w:val="20"/>
          <w:color w:val="auto"/>
        </w:rPr>
      </w:pPr>
      <w:r>
        <w:rPr>
          <w:rFonts w:ascii="Arial" w:cs="Arial" w:eastAsia="Arial" w:hAnsi="Arial"/>
          <w:sz w:val="22"/>
          <w:szCs w:val="22"/>
          <w:color w:val="auto"/>
        </w:rPr>
        <w:t>ISLE OF CAPRI CASINOS LLC</w:t>
      </w:r>
    </w:p>
    <w:p>
      <w:pPr>
        <w:ind w:left="1480"/>
        <w:spacing w:after="0" w:line="205" w:lineRule="auto"/>
        <w:rPr>
          <w:sz w:val="20"/>
          <w:szCs w:val="20"/>
          <w:color w:val="auto"/>
        </w:rPr>
      </w:pPr>
      <w:r>
        <w:rPr>
          <w:rFonts w:ascii="Arial" w:cs="Arial" w:eastAsia="Arial" w:hAnsi="Arial"/>
          <w:sz w:val="22"/>
          <w:szCs w:val="22"/>
          <w:color w:val="auto"/>
        </w:rPr>
        <w:t>LIGHTHOUSE POINT, LLC</w:t>
      </w:r>
    </w:p>
    <w:p>
      <w:pPr>
        <w:ind w:left="1480"/>
        <w:spacing w:after="0" w:line="205" w:lineRule="auto"/>
        <w:rPr>
          <w:sz w:val="20"/>
          <w:szCs w:val="20"/>
          <w:color w:val="auto"/>
        </w:rPr>
      </w:pPr>
      <w:r>
        <w:rPr>
          <w:rFonts w:ascii="Arial" w:cs="Arial" w:eastAsia="Arial" w:hAnsi="Arial"/>
          <w:sz w:val="22"/>
          <w:szCs w:val="22"/>
          <w:color w:val="auto"/>
        </w:rPr>
        <w:t>MTR GAMING GROUP, INC.</w:t>
      </w:r>
    </w:p>
    <w:p>
      <w:pPr>
        <w:ind w:left="1480"/>
        <w:spacing w:after="0" w:line="205" w:lineRule="auto"/>
        <w:rPr>
          <w:sz w:val="20"/>
          <w:szCs w:val="20"/>
          <w:color w:val="auto"/>
        </w:rPr>
      </w:pPr>
      <w:r>
        <w:rPr>
          <w:rFonts w:ascii="Arial" w:cs="Arial" w:eastAsia="Arial" w:hAnsi="Arial"/>
          <w:sz w:val="22"/>
          <w:szCs w:val="22"/>
          <w:color w:val="auto"/>
        </w:rPr>
        <w:t>NEW JAZZ ENTERPRISES, L.L.C.</w:t>
      </w:r>
    </w:p>
    <w:p>
      <w:pPr>
        <w:ind w:left="1480"/>
        <w:spacing w:after="0" w:line="204" w:lineRule="auto"/>
        <w:rPr>
          <w:sz w:val="20"/>
          <w:szCs w:val="20"/>
          <w:color w:val="auto"/>
        </w:rPr>
      </w:pPr>
      <w:r>
        <w:rPr>
          <w:rFonts w:ascii="Arial" w:cs="Arial" w:eastAsia="Arial" w:hAnsi="Arial"/>
          <w:sz w:val="22"/>
          <w:szCs w:val="22"/>
          <w:color w:val="auto"/>
        </w:rPr>
        <w:t>NEW TROPICANA HOLDINGS, INC.</w:t>
      </w:r>
    </w:p>
    <w:p>
      <w:pPr>
        <w:ind w:left="1480"/>
        <w:spacing w:after="0" w:line="205" w:lineRule="auto"/>
        <w:rPr>
          <w:sz w:val="20"/>
          <w:szCs w:val="20"/>
          <w:color w:val="auto"/>
        </w:rPr>
      </w:pPr>
      <w:r>
        <w:rPr>
          <w:rFonts w:ascii="Arial" w:cs="Arial" w:eastAsia="Arial" w:hAnsi="Arial"/>
          <w:sz w:val="22"/>
          <w:szCs w:val="22"/>
          <w:color w:val="auto"/>
        </w:rPr>
        <w:t>NEW TROPICANA OPCO, INC.</w:t>
      </w:r>
    </w:p>
    <w:p>
      <w:pPr>
        <w:ind w:left="1480"/>
        <w:spacing w:after="0" w:line="205" w:lineRule="auto"/>
        <w:rPr>
          <w:sz w:val="20"/>
          <w:szCs w:val="20"/>
          <w:color w:val="auto"/>
        </w:rPr>
      </w:pPr>
      <w:r>
        <w:rPr>
          <w:rFonts w:ascii="Arial" w:cs="Arial" w:eastAsia="Arial" w:hAnsi="Arial"/>
          <w:sz w:val="22"/>
          <w:szCs w:val="22"/>
          <w:color w:val="auto"/>
        </w:rPr>
        <w:t>OLD PID, INC.</w:t>
      </w:r>
    </w:p>
    <w:p>
      <w:pPr>
        <w:ind w:left="1480"/>
        <w:spacing w:after="0" w:line="205" w:lineRule="auto"/>
        <w:rPr>
          <w:sz w:val="20"/>
          <w:szCs w:val="20"/>
          <w:color w:val="auto"/>
        </w:rPr>
      </w:pPr>
      <w:r>
        <w:rPr>
          <w:rFonts w:ascii="Arial" w:cs="Arial" w:eastAsia="Arial" w:hAnsi="Arial"/>
          <w:sz w:val="22"/>
          <w:szCs w:val="22"/>
          <w:color w:val="auto"/>
        </w:rPr>
        <w:t>POMPANO PARK HOLDINGS, L.L.C.</w:t>
      </w:r>
    </w:p>
    <w:p>
      <w:pPr>
        <w:ind w:left="1480"/>
        <w:spacing w:after="0" w:line="205" w:lineRule="auto"/>
        <w:rPr>
          <w:sz w:val="20"/>
          <w:szCs w:val="20"/>
          <w:color w:val="auto"/>
        </w:rPr>
      </w:pPr>
      <w:r>
        <w:rPr>
          <w:rFonts w:ascii="Arial" w:cs="Arial" w:eastAsia="Arial" w:hAnsi="Arial"/>
          <w:sz w:val="22"/>
          <w:szCs w:val="22"/>
          <w:color w:val="auto"/>
        </w:rPr>
        <w:t>PPI DEVELOPMENT HOLDINGS LLC</w:t>
      </w:r>
    </w:p>
    <w:p>
      <w:pPr>
        <w:ind w:left="1480"/>
        <w:spacing w:after="0" w:line="205" w:lineRule="auto"/>
        <w:rPr>
          <w:sz w:val="20"/>
          <w:szCs w:val="20"/>
          <w:color w:val="auto"/>
        </w:rPr>
      </w:pPr>
      <w:r>
        <w:rPr>
          <w:rFonts w:ascii="Arial" w:cs="Arial" w:eastAsia="Arial" w:hAnsi="Arial"/>
          <w:sz w:val="22"/>
          <w:szCs w:val="22"/>
          <w:color w:val="auto"/>
        </w:rPr>
        <w:t>PPI DEVELOPMENT LLC</w:t>
      </w:r>
    </w:p>
    <w:p>
      <w:pPr>
        <w:ind w:left="1480"/>
        <w:spacing w:after="0" w:line="205" w:lineRule="auto"/>
        <w:rPr>
          <w:sz w:val="20"/>
          <w:szCs w:val="20"/>
          <w:color w:val="auto"/>
        </w:rPr>
      </w:pPr>
      <w:r>
        <w:rPr>
          <w:rFonts w:ascii="Arial" w:cs="Arial" w:eastAsia="Arial" w:hAnsi="Arial"/>
          <w:sz w:val="22"/>
          <w:szCs w:val="22"/>
          <w:color w:val="auto"/>
        </w:rPr>
        <w:t>PPI, INC.</w:t>
      </w:r>
    </w:p>
    <w:p>
      <w:pPr>
        <w:ind w:left="1480"/>
        <w:spacing w:after="0" w:line="205" w:lineRule="auto"/>
        <w:rPr>
          <w:sz w:val="20"/>
          <w:szCs w:val="20"/>
          <w:color w:val="auto"/>
        </w:rPr>
      </w:pPr>
      <w:r>
        <w:rPr>
          <w:rFonts w:ascii="Arial" w:cs="Arial" w:eastAsia="Arial" w:hAnsi="Arial"/>
          <w:sz w:val="22"/>
          <w:szCs w:val="22"/>
          <w:color w:val="auto"/>
        </w:rPr>
        <w:t>ROMULUS RISK AND INSURANCE COMPANY, INC.</w:t>
      </w:r>
    </w:p>
    <w:p>
      <w:pPr>
        <w:ind w:left="1480"/>
        <w:spacing w:after="0" w:line="205" w:lineRule="auto"/>
        <w:rPr>
          <w:sz w:val="20"/>
          <w:szCs w:val="20"/>
          <w:color w:val="auto"/>
        </w:rPr>
      </w:pPr>
      <w:r>
        <w:rPr>
          <w:rFonts w:ascii="Arial" w:cs="Arial" w:eastAsia="Arial" w:hAnsi="Arial"/>
          <w:sz w:val="22"/>
          <w:szCs w:val="22"/>
          <w:color w:val="auto"/>
        </w:rPr>
        <w:t>SCIOTO DOWNS, INC.</w:t>
      </w:r>
    </w:p>
    <w:p>
      <w:pPr>
        <w:ind w:left="1480"/>
        <w:spacing w:after="0" w:line="205" w:lineRule="auto"/>
        <w:rPr>
          <w:sz w:val="20"/>
          <w:szCs w:val="20"/>
          <w:color w:val="auto"/>
        </w:rPr>
      </w:pPr>
      <w:r>
        <w:rPr>
          <w:rFonts w:ascii="Arial" w:cs="Arial" w:eastAsia="Arial" w:hAnsi="Arial"/>
          <w:sz w:val="22"/>
          <w:szCs w:val="22"/>
          <w:color w:val="auto"/>
        </w:rPr>
        <w:t>ST. CHARLES GAMING COMPANY, L.L.C.</w:t>
      </w:r>
    </w:p>
    <w:p>
      <w:pPr>
        <w:ind w:left="1480"/>
        <w:spacing w:after="0" w:line="205" w:lineRule="auto"/>
        <w:rPr>
          <w:sz w:val="20"/>
          <w:szCs w:val="20"/>
          <w:color w:val="auto"/>
        </w:rPr>
      </w:pPr>
      <w:r>
        <w:rPr>
          <w:rFonts w:ascii="Arial" w:cs="Arial" w:eastAsia="Arial" w:hAnsi="Arial"/>
          <w:sz w:val="22"/>
          <w:szCs w:val="22"/>
          <w:color w:val="auto"/>
        </w:rPr>
        <w:t>TEI (ES), LLC</w:t>
      </w:r>
    </w:p>
    <w:p>
      <w:pPr>
        <w:ind w:left="1480"/>
        <w:spacing w:after="0" w:line="205" w:lineRule="auto"/>
        <w:rPr>
          <w:sz w:val="20"/>
          <w:szCs w:val="20"/>
          <w:color w:val="auto"/>
        </w:rPr>
      </w:pPr>
      <w:r>
        <w:rPr>
          <w:rFonts w:ascii="Arial" w:cs="Arial" w:eastAsia="Arial" w:hAnsi="Arial"/>
          <w:sz w:val="22"/>
          <w:szCs w:val="22"/>
          <w:color w:val="auto"/>
        </w:rPr>
        <w:t>TEI (ST. LOUIS RE), LLC</w:t>
      </w:r>
    </w:p>
    <w:p>
      <w:pPr>
        <w:ind w:left="1480"/>
        <w:spacing w:after="0" w:line="205" w:lineRule="auto"/>
        <w:rPr>
          <w:sz w:val="20"/>
          <w:szCs w:val="20"/>
          <w:color w:val="auto"/>
        </w:rPr>
      </w:pPr>
      <w:r>
        <w:rPr>
          <w:rFonts w:ascii="Arial" w:cs="Arial" w:eastAsia="Arial" w:hAnsi="Arial"/>
          <w:sz w:val="22"/>
          <w:szCs w:val="22"/>
          <w:color w:val="auto"/>
        </w:rPr>
        <w:t>TEI (STLH), LLC</w:t>
      </w:r>
    </w:p>
    <w:p>
      <w:pPr>
        <w:ind w:left="1480"/>
        <w:spacing w:after="0" w:line="205" w:lineRule="auto"/>
        <w:rPr>
          <w:sz w:val="20"/>
          <w:szCs w:val="20"/>
          <w:color w:val="auto"/>
        </w:rPr>
      </w:pPr>
      <w:r>
        <w:rPr>
          <w:rFonts w:ascii="Arial" w:cs="Arial" w:eastAsia="Arial" w:hAnsi="Arial"/>
          <w:sz w:val="22"/>
          <w:szCs w:val="22"/>
          <w:color w:val="auto"/>
        </w:rPr>
        <w:t>TROPICANA ENTERTAINMENT INC.</w:t>
      </w:r>
    </w:p>
    <w:p>
      <w:pPr>
        <w:ind w:left="1480"/>
        <w:spacing w:after="0" w:line="204" w:lineRule="auto"/>
        <w:rPr>
          <w:sz w:val="20"/>
          <w:szCs w:val="20"/>
          <w:color w:val="auto"/>
        </w:rPr>
      </w:pPr>
      <w:r>
        <w:rPr>
          <w:rFonts w:ascii="Arial" w:cs="Arial" w:eastAsia="Arial" w:hAnsi="Arial"/>
          <w:sz w:val="22"/>
          <w:szCs w:val="22"/>
          <w:color w:val="auto"/>
        </w:rPr>
        <w:t>TROPICANA LAUGHLIN, LLC</w:t>
      </w:r>
    </w:p>
    <w:p>
      <w:pPr>
        <w:ind w:left="1480"/>
        <w:spacing w:after="0" w:line="205" w:lineRule="auto"/>
        <w:rPr>
          <w:sz w:val="20"/>
          <w:szCs w:val="20"/>
          <w:color w:val="auto"/>
        </w:rPr>
      </w:pPr>
      <w:r>
        <w:rPr>
          <w:rFonts w:ascii="Arial" w:cs="Arial" w:eastAsia="Arial" w:hAnsi="Arial"/>
          <w:sz w:val="22"/>
          <w:szCs w:val="22"/>
          <w:color w:val="auto"/>
        </w:rPr>
        <w:t>TROPICANA ST. LOUIS LLC</w:t>
      </w:r>
    </w:p>
    <w:p>
      <w:pPr>
        <w:ind w:left="1480"/>
        <w:spacing w:after="0" w:line="205" w:lineRule="auto"/>
        <w:rPr>
          <w:sz w:val="20"/>
          <w:szCs w:val="20"/>
          <w:color w:val="auto"/>
        </w:rPr>
      </w:pPr>
      <w:r>
        <w:rPr>
          <w:rFonts w:ascii="Arial" w:cs="Arial" w:eastAsia="Arial" w:hAnsi="Arial"/>
          <w:sz w:val="22"/>
          <w:szCs w:val="22"/>
          <w:color w:val="auto"/>
        </w:rPr>
        <w:t>VEGAS DEVELOPMENT LAND OWNER LLC,</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as a Subsidiary Guarantor</w:t>
      </w:r>
    </w:p>
    <w:p>
      <w:pPr>
        <w:spacing w:after="0" w:line="200" w:lineRule="exact"/>
        <w:rPr>
          <w:sz w:val="20"/>
          <w:szCs w:val="20"/>
          <w:color w:val="auto"/>
        </w:rPr>
      </w:pPr>
    </w:p>
    <w:p>
      <w:pPr>
        <w:spacing w:after="0" w:line="33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color w:val="4F4F4F"/>
        </w:rPr>
        <w:t>: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-5715</wp:posOffset>
            </wp:positionV>
            <wp:extent cx="17183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718310" cy="8890"/>
                    </a:xfrm>
                    <a:prstGeom prst="rect">
                      <a:avLst/>
                    </a:prstGeom>
                    <a:noFill/>
                  </pic:spPr>
                </pic:pic>
              </a:graphicData>
            </a:graphic>
          </wp:anchor>
        </w:drawing>
      </w:r>
    </w:p>
    <w:p>
      <w:pPr>
        <w:ind w:left="1480"/>
        <w:spacing w:after="0" w:line="204" w:lineRule="auto"/>
        <w:rPr>
          <w:sz w:val="20"/>
          <w:szCs w:val="20"/>
          <w:color w:val="auto"/>
        </w:rPr>
      </w:pPr>
      <w:r>
        <w:rPr>
          <w:rFonts w:ascii="Arial" w:cs="Arial" w:eastAsia="Arial" w:hAnsi="Arial"/>
          <w:sz w:val="22"/>
          <w:szCs w:val="22"/>
          <w:color w:val="auto"/>
        </w:rPr>
        <w:t>Name: Edmund L. Quatmann, Jr.</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First Supplemental Indenture</w:t>
      </w:r>
      <w:r>
        <w:rPr>
          <w:rFonts w:ascii="Arial" w:cs="Arial" w:eastAsia="Arial" w:hAnsi="Arial"/>
          <w:sz w:val="20"/>
          <w:szCs w:val="20"/>
          <w:color w:val="auto"/>
        </w:rPr>
        <w:t>]</w:t>
      </w:r>
    </w:p>
    <w:p>
      <w:pPr>
        <w:sectPr>
          <w:pgSz w:w="11900" w:h="16838" w:orient="portrait"/>
          <w:cols w:equalWidth="0" w:num="1">
            <w:col w:w="9019"/>
          </w:cols>
          <w:pgMar w:left="1440" w:top="1382" w:right="1440" w:bottom="1440" w:gutter="0" w:footer="0" w:header="0"/>
        </w:sectPr>
      </w:pPr>
    </w:p>
    <w:bookmarkStart w:id="49" w:name="page50"/>
    <w:bookmarkEnd w:id="49"/>
    <w:p>
      <w:pPr>
        <w:ind w:left="1480"/>
        <w:spacing w:after="0"/>
        <w:rPr>
          <w:sz w:val="20"/>
          <w:szCs w:val="20"/>
          <w:color w:val="auto"/>
        </w:rPr>
      </w:pPr>
      <w:r>
        <w:rPr>
          <w:rFonts w:ascii="Arial" w:cs="Arial" w:eastAsia="Arial" w:hAnsi="Arial"/>
          <w:sz w:val="22"/>
          <w:szCs w:val="22"/>
          <w:color w:val="auto"/>
        </w:rPr>
        <w:t>TROPICANA ATLANTIC CITY CORP.,</w:t>
      </w:r>
    </w:p>
    <w:p>
      <w:pPr>
        <w:ind w:left="1480"/>
        <w:spacing w:after="0"/>
        <w:rPr>
          <w:sz w:val="20"/>
          <w:szCs w:val="20"/>
          <w:color w:val="auto"/>
        </w:rPr>
      </w:pPr>
      <w:r>
        <w:rPr>
          <w:rFonts w:ascii="Arial" w:cs="Arial" w:eastAsia="Arial" w:hAnsi="Arial"/>
          <w:sz w:val="22"/>
          <w:szCs w:val="22"/>
          <w:color w:val="auto"/>
        </w:rPr>
        <w:t>as a Subsidiary Guarantor</w:t>
      </w:r>
    </w:p>
    <w:p>
      <w:pPr>
        <w:spacing w:after="0" w:line="200" w:lineRule="exact"/>
        <w:rPr>
          <w:sz w:val="20"/>
          <w:szCs w:val="20"/>
          <w:color w:val="auto"/>
        </w:rPr>
      </w:pPr>
    </w:p>
    <w:p>
      <w:pPr>
        <w:spacing w:after="0" w:line="21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color w:val="4F4F4F"/>
        </w:rPr>
        <w:t>: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-5715</wp:posOffset>
            </wp:positionV>
            <wp:extent cx="1718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718310" cy="8255"/>
                    </a:xfrm>
                    <a:prstGeom prst="rect">
                      <a:avLst/>
                    </a:prstGeom>
                    <a:noFill/>
                  </pic:spPr>
                </pic:pic>
              </a:graphicData>
            </a:graphic>
          </wp:anchor>
        </w:drawing>
      </w:r>
    </w:p>
    <w:p>
      <w:pPr>
        <w:ind w:left="1480"/>
        <w:spacing w:after="0" w:line="204" w:lineRule="auto"/>
        <w:rPr>
          <w:sz w:val="20"/>
          <w:szCs w:val="20"/>
          <w:color w:val="auto"/>
        </w:rPr>
      </w:pPr>
      <w:r>
        <w:rPr>
          <w:rFonts w:ascii="Arial" w:cs="Arial" w:eastAsia="Arial" w:hAnsi="Arial"/>
          <w:sz w:val="22"/>
          <w:szCs w:val="22"/>
          <w:color w:val="auto"/>
        </w:rPr>
        <w:t>Name: Edmund L. Quatmann, Jr.</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ectPr>
          <w:pgSz w:w="11900" w:h="16838" w:orient="portrait"/>
          <w:cols w:equalWidth="0" w:num="1">
            <w:col w:w="9019"/>
          </w:cols>
          <w:pgMar w:left="1440" w:top="1382" w:right="1440" w:bottom="1440" w:gutter="0" w:footer="0" w:header="0"/>
        </w:sectPr>
      </w:pPr>
    </w:p>
    <w:bookmarkStart w:id="50" w:name="page51"/>
    <w:bookmarkEnd w:id="50"/>
    <w:p>
      <w:pPr>
        <w:spacing w:after="0" w:line="204" w:lineRule="exact"/>
        <w:rPr>
          <w:sz w:val="20"/>
          <w:szCs w:val="20"/>
          <w:color w:val="auto"/>
        </w:rPr>
      </w:pPr>
    </w:p>
    <w:p>
      <w:pPr>
        <w:ind w:left="2780" w:right="639"/>
        <w:spacing w:after="0" w:line="232" w:lineRule="auto"/>
        <w:rPr>
          <w:sz w:val="20"/>
          <w:szCs w:val="20"/>
          <w:color w:val="auto"/>
        </w:rPr>
      </w:pPr>
      <w:r>
        <w:rPr>
          <w:rFonts w:ascii="Arial" w:cs="Arial" w:eastAsia="Arial" w:hAnsi="Arial"/>
          <w:sz w:val="22"/>
          <w:szCs w:val="22"/>
          <w:color w:val="auto"/>
        </w:rPr>
        <w:t>U.S. BANK TRUST COMPANY, NATIONAL ASSOCIATION, as Trustee</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color w:val="4F4F4F"/>
        </w:rPr>
        <w:t>: /s/ 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-5715</wp:posOffset>
            </wp:positionV>
            <wp:extent cx="12414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U.S. BANK NATIONAL ASSOCIATION, as Collateral Agent</w:t>
      </w:r>
    </w:p>
    <w:p>
      <w:pPr>
        <w:spacing w:after="0" w:line="1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color w:val="4F4F4F"/>
        </w:rPr>
        <w:t>: /s/ Laurel Casasanta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-5715</wp:posOffset>
            </wp:positionV>
            <wp:extent cx="12414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278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EXECUTIVE EMPLOYMENT AGREEMENT</w:t>
      </w:r>
    </w:p>
    <w:p>
      <w:pPr>
        <w:spacing w:after="0" w:line="293" w:lineRule="exact"/>
        <w:rPr>
          <w:sz w:val="20"/>
          <w:szCs w:val="20"/>
          <w:color w:val="auto"/>
        </w:rPr>
      </w:pPr>
    </w:p>
    <w:p>
      <w:pPr>
        <w:jc w:val="both"/>
        <w:ind w:right="220" w:firstLine="648"/>
        <w:spacing w:after="0" w:line="223" w:lineRule="auto"/>
        <w:rPr>
          <w:sz w:val="20"/>
          <w:szCs w:val="20"/>
          <w:color w:val="auto"/>
        </w:rPr>
      </w:pPr>
      <w:r>
        <w:rPr>
          <w:rFonts w:ascii="Arial" w:cs="Arial" w:eastAsia="Arial" w:hAnsi="Arial"/>
          <w:sz w:val="22"/>
          <w:szCs w:val="22"/>
          <w:color w:val="auto"/>
        </w:rPr>
        <w:t xml:space="preserve">THIS AMENDED AND RESTATED EXECUTIVE EMPLOYMENT AGREEMENT (this “Agreement”) is made and entered into as of August 1, 2022 (the “Effective Date”), by and between Caesars Enterprise Services, LLC, a Delaware limited liability company (the “Company”), and </w:t>
      </w:r>
      <w:r>
        <w:rPr>
          <w:rFonts w:ascii="Arial" w:cs="Arial" w:eastAsia="Arial" w:hAnsi="Arial"/>
          <w:sz w:val="22"/>
          <w:szCs w:val="22"/>
          <w:b w:val="1"/>
          <w:bCs w:val="1"/>
          <w:color w:val="auto"/>
        </w:rPr>
        <w:t>Stephanie Lepori</w:t>
      </w:r>
      <w:r>
        <w:rPr>
          <w:rFonts w:ascii="Arial" w:cs="Arial" w:eastAsia="Arial" w:hAnsi="Arial"/>
          <w:sz w:val="22"/>
          <w:szCs w:val="22"/>
          <w:color w:val="auto"/>
        </w:rPr>
        <w:t xml:space="preserve"> (the “Executive”).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E T H</w:t>
      </w:r>
    </w:p>
    <w:p>
      <w:pPr>
        <w:spacing w:after="0" w:line="293"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WHEREAS, the Company and the Executive are parties to that certain Executive Employment Agreement dated as of December 28, 2021 (the “Prior Agreement”);</w:t>
      </w:r>
    </w:p>
    <w:p>
      <w:pPr>
        <w:spacing w:after="0" w:line="15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WHEREAS, the Company and the Executive desire to amend and restate the Prior Agreement in its entirety and enter into this Agreement to modify certain terms of the Executive’s employment.</w:t>
      </w:r>
    </w:p>
    <w:p>
      <w:pPr>
        <w:spacing w:after="0" w:line="159" w:lineRule="exact"/>
        <w:rPr>
          <w:sz w:val="20"/>
          <w:szCs w:val="20"/>
          <w:color w:val="auto"/>
        </w:rPr>
      </w:pPr>
    </w:p>
    <w:p>
      <w:pPr>
        <w:ind w:right="240" w:firstLine="648"/>
        <w:spacing w:after="0" w:line="223" w:lineRule="auto"/>
        <w:rPr>
          <w:sz w:val="20"/>
          <w:szCs w:val="20"/>
          <w:color w:val="auto"/>
        </w:rPr>
      </w:pPr>
      <w:r>
        <w:rPr>
          <w:rFonts w:ascii="Arial" w:cs="Arial" w:eastAsia="Arial" w:hAnsi="Arial"/>
          <w:sz w:val="22"/>
          <w:szCs w:val="22"/>
          <w:color w:val="auto"/>
        </w:rPr>
        <w:t>NOW, THEREFORE, in consideration of the premises and mutual covenants contained herein and for other good and valuable consideration, the receipt of which is mutually acknowledged, the Company and the Executive (individually a “Party” and together the “Parties”) agree as follows: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185" w:lineRule="exact"/>
        <w:rPr>
          <w:sz w:val="20"/>
          <w:szCs w:val="20"/>
          <w:color w:val="auto"/>
        </w:rPr>
      </w:pPr>
    </w:p>
    <w:p>
      <w:pPr>
        <w:ind w:left="2600" w:hanging="648"/>
        <w:spacing w:after="0"/>
        <w:tabs>
          <w:tab w:leader="none" w:pos="2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“Base Salary” shall mean the salary provided for in Article 4 below.</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“Board” shall mean the Board of Directors of the Parent.</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“Cause” shall mean the Executive’s:</w:t>
      </w:r>
    </w:p>
    <w:p>
      <w:pPr>
        <w:spacing w:after="0" w:line="179" w:lineRule="exact"/>
        <w:rPr>
          <w:sz w:val="20"/>
          <w:szCs w:val="20"/>
          <w:color w:val="auto"/>
        </w:rPr>
      </w:pPr>
    </w:p>
    <w:p>
      <w:pPr>
        <w:ind w:left="2600" w:right="1000" w:hanging="648"/>
        <w:spacing w:after="0" w:line="298" w:lineRule="auto"/>
        <w:tabs>
          <w:tab w:leader="none" w:pos="2592" w:val="left"/>
        </w:tabs>
        <w:numPr>
          <w:ilvl w:val="0"/>
          <w:numId w:val="27"/>
        </w:numPr>
        <w:rPr>
          <w:rFonts w:ascii="Arial" w:cs="Arial" w:eastAsia="Arial" w:hAnsi="Arial"/>
          <w:sz w:val="19"/>
          <w:szCs w:val="19"/>
          <w:color w:val="auto"/>
        </w:rPr>
      </w:pPr>
      <w:r>
        <w:rPr>
          <w:rFonts w:ascii="Arial" w:cs="Arial" w:eastAsia="Arial" w:hAnsi="Arial"/>
          <w:sz w:val="19"/>
          <w:szCs w:val="19"/>
          <w:color w:val="auto"/>
        </w:rPr>
        <w:t>Willful failure to substantially perform her duties with the Parent, Company or any of its Subsidiaries (other than any such failure resulting from the Executive’s Disability);</w:t>
      </w:r>
    </w:p>
    <w:p>
      <w:pPr>
        <w:spacing w:after="0" w:line="105" w:lineRule="exact"/>
        <w:rPr>
          <w:rFonts w:ascii="Arial" w:cs="Arial" w:eastAsia="Arial" w:hAnsi="Arial"/>
          <w:sz w:val="19"/>
          <w:szCs w:val="19"/>
          <w:color w:val="auto"/>
        </w:rPr>
      </w:pPr>
    </w:p>
    <w:p>
      <w:pPr>
        <w:ind w:left="2660" w:hanging="708"/>
        <w:spacing w:after="0"/>
        <w:tabs>
          <w:tab w:leader="none" w:pos="2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Gross negligence in the performance of the Executive’s duties;</w:t>
      </w:r>
    </w:p>
    <w:p>
      <w:pPr>
        <w:spacing w:after="0" w:line="179" w:lineRule="exact"/>
        <w:rPr>
          <w:rFonts w:ascii="Arial" w:cs="Arial" w:eastAsia="Arial" w:hAnsi="Arial"/>
          <w:sz w:val="22"/>
          <w:szCs w:val="22"/>
          <w:color w:val="auto"/>
        </w:rPr>
      </w:pPr>
    </w:p>
    <w:p>
      <w:pPr>
        <w:ind w:left="2600" w:right="220" w:hanging="648"/>
        <w:spacing w:after="0" w:line="218" w:lineRule="auto"/>
        <w:tabs>
          <w:tab w:leader="none" w:pos="2591" w:val="left"/>
        </w:tabs>
        <w:numPr>
          <w:ilvl w:val="0"/>
          <w:numId w:val="27"/>
        </w:numPr>
        <w:rPr>
          <w:rFonts w:ascii="Arial" w:cs="Arial" w:eastAsia="Arial" w:hAnsi="Arial"/>
          <w:sz w:val="22"/>
          <w:szCs w:val="22"/>
          <w:color w:val="auto"/>
        </w:rPr>
      </w:pPr>
      <w:r>
        <w:rPr>
          <w:rFonts w:ascii="Arial" w:cs="Arial" w:eastAsia="Arial" w:hAnsi="Arial"/>
          <w:sz w:val="22"/>
          <w:szCs w:val="22"/>
          <w:color w:val="auto"/>
        </w:rPr>
        <w:t>Commission of or indictment for, or plea of guilty or nolo contendere to, any felony or a lesser crime or offense which, in the reasonable opinion of the Company, could materially adversely affect the business or reputation of the Parent or any of its Subsidiaries or affiliates (including the Company);</w:t>
      </w:r>
    </w:p>
    <w:p>
      <w:pPr>
        <w:spacing w:after="0" w:line="160" w:lineRule="exact"/>
        <w:rPr>
          <w:rFonts w:ascii="Arial" w:cs="Arial" w:eastAsia="Arial" w:hAnsi="Arial"/>
          <w:sz w:val="22"/>
          <w:szCs w:val="22"/>
          <w:color w:val="auto"/>
        </w:rPr>
      </w:pPr>
    </w:p>
    <w:p>
      <w:pPr>
        <w:ind w:left="2600" w:right="80" w:hanging="648"/>
        <w:spacing w:after="0" w:line="232" w:lineRule="auto"/>
        <w:tabs>
          <w:tab w:leader="none" w:pos="2578" w:val="left"/>
        </w:tabs>
        <w:numPr>
          <w:ilvl w:val="0"/>
          <w:numId w:val="27"/>
        </w:numPr>
        <w:rPr>
          <w:rFonts w:ascii="Arial" w:cs="Arial" w:eastAsia="Arial" w:hAnsi="Arial"/>
          <w:sz w:val="22"/>
          <w:szCs w:val="22"/>
          <w:color w:val="auto"/>
        </w:rPr>
      </w:pPr>
      <w:r>
        <w:rPr>
          <w:rFonts w:ascii="Arial" w:cs="Arial" w:eastAsia="Arial" w:hAnsi="Arial"/>
          <w:sz w:val="22"/>
          <w:szCs w:val="22"/>
          <w:color w:val="auto"/>
        </w:rPr>
        <w:t>Willful engagement in conduct that is materially injurious to the Parent or any of its Subsidiaries or affiliates (including the Company), monetarily or otherwise;</w:t>
      </w:r>
    </w:p>
    <w:p>
      <w:pPr>
        <w:spacing w:after="0" w:line="158" w:lineRule="exact"/>
        <w:rPr>
          <w:rFonts w:ascii="Arial" w:cs="Arial" w:eastAsia="Arial" w:hAnsi="Arial"/>
          <w:sz w:val="22"/>
          <w:szCs w:val="22"/>
          <w:color w:val="auto"/>
        </w:rPr>
      </w:pPr>
    </w:p>
    <w:p>
      <w:pPr>
        <w:ind w:left="2600" w:right="20" w:hanging="648"/>
        <w:spacing w:after="0" w:line="232" w:lineRule="auto"/>
        <w:tabs>
          <w:tab w:leader="none" w:pos="2586" w:val="left"/>
        </w:tabs>
        <w:numPr>
          <w:ilvl w:val="0"/>
          <w:numId w:val="27"/>
        </w:numPr>
        <w:rPr>
          <w:rFonts w:ascii="Arial" w:cs="Arial" w:eastAsia="Arial" w:hAnsi="Arial"/>
          <w:sz w:val="22"/>
          <w:szCs w:val="22"/>
          <w:color w:val="auto"/>
        </w:rPr>
      </w:pPr>
      <w:r>
        <w:rPr>
          <w:rFonts w:ascii="Arial" w:cs="Arial" w:eastAsia="Arial" w:hAnsi="Arial"/>
          <w:sz w:val="22"/>
          <w:szCs w:val="22"/>
          <w:color w:val="auto"/>
        </w:rPr>
        <w:t>Willful violation of any provision of the Parent’s Code of Business Ethics, as amended from time to time;</w:t>
      </w:r>
    </w:p>
    <w:p>
      <w:pPr>
        <w:spacing w:after="0" w:line="158" w:lineRule="exact"/>
        <w:rPr>
          <w:rFonts w:ascii="Arial" w:cs="Arial" w:eastAsia="Arial" w:hAnsi="Arial"/>
          <w:sz w:val="22"/>
          <w:szCs w:val="22"/>
          <w:color w:val="auto"/>
        </w:rPr>
      </w:pPr>
    </w:p>
    <w:p>
      <w:pPr>
        <w:ind w:left="2600" w:right="760" w:hanging="648"/>
        <w:spacing w:after="0" w:line="232" w:lineRule="auto"/>
        <w:tabs>
          <w:tab w:leader="none" w:pos="2592" w:val="left"/>
        </w:tabs>
        <w:numPr>
          <w:ilvl w:val="0"/>
          <w:numId w:val="27"/>
        </w:numPr>
        <w:rPr>
          <w:rFonts w:ascii="Arial" w:cs="Arial" w:eastAsia="Arial" w:hAnsi="Arial"/>
          <w:sz w:val="22"/>
          <w:szCs w:val="22"/>
          <w:color w:val="auto"/>
        </w:rPr>
      </w:pPr>
      <w:r>
        <w:rPr>
          <w:rFonts w:ascii="Arial" w:cs="Arial" w:eastAsia="Arial" w:hAnsi="Arial"/>
          <w:sz w:val="22"/>
          <w:szCs w:val="22"/>
          <w:color w:val="auto"/>
        </w:rPr>
        <w:t>Violation of any of the covenants contained in Articles 11 through 15 of this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52" w:name="page53"/>
    <w:bookmarkEnd w:id="52"/>
    <w:p>
      <w:pPr>
        <w:spacing w:after="0" w:line="177" w:lineRule="exact"/>
        <w:rPr>
          <w:sz w:val="20"/>
          <w:szCs w:val="20"/>
          <w:color w:val="auto"/>
        </w:rPr>
      </w:pPr>
    </w:p>
    <w:p>
      <w:pPr>
        <w:ind w:left="2600" w:right="60" w:hanging="648"/>
        <w:spacing w:after="0" w:line="247" w:lineRule="auto"/>
        <w:tabs>
          <w:tab w:leader="none" w:pos="2599" w:val="left"/>
        </w:tabs>
        <w:numPr>
          <w:ilvl w:val="0"/>
          <w:numId w:val="28"/>
        </w:numPr>
        <w:rPr>
          <w:rFonts w:ascii="Arial" w:cs="Arial" w:eastAsia="Arial" w:hAnsi="Arial"/>
          <w:sz w:val="21"/>
          <w:szCs w:val="21"/>
          <w:color w:val="auto"/>
        </w:rPr>
      </w:pPr>
      <w:r>
        <w:rPr>
          <w:rFonts w:ascii="Arial" w:cs="Arial" w:eastAsia="Arial" w:hAnsi="Arial"/>
          <w:sz w:val="21"/>
          <w:szCs w:val="21"/>
          <w:color w:val="auto"/>
        </w:rPr>
        <w:t>Engaging in any act of dishonesty resulting in, or intended to result in, personal gain at the expense of the Parent or any of its Subsidiaries or affiliates (including the Company);</w:t>
      </w:r>
    </w:p>
    <w:p>
      <w:pPr>
        <w:spacing w:after="0" w:line="150" w:lineRule="exact"/>
        <w:rPr>
          <w:rFonts w:ascii="Arial" w:cs="Arial" w:eastAsia="Arial" w:hAnsi="Arial"/>
          <w:sz w:val="21"/>
          <w:szCs w:val="21"/>
          <w:color w:val="auto"/>
        </w:rPr>
      </w:pPr>
    </w:p>
    <w:p>
      <w:pPr>
        <w:ind w:left="2600" w:right="140" w:hanging="648"/>
        <w:spacing w:after="0" w:line="247" w:lineRule="auto"/>
        <w:tabs>
          <w:tab w:leader="none" w:pos="2591" w:val="left"/>
        </w:tabs>
        <w:numPr>
          <w:ilvl w:val="0"/>
          <w:numId w:val="28"/>
        </w:numPr>
        <w:rPr>
          <w:rFonts w:ascii="Arial" w:cs="Arial" w:eastAsia="Arial" w:hAnsi="Arial"/>
          <w:sz w:val="21"/>
          <w:szCs w:val="21"/>
          <w:color w:val="auto"/>
        </w:rPr>
      </w:pPr>
      <w:r>
        <w:rPr>
          <w:rFonts w:ascii="Arial" w:cs="Arial" w:eastAsia="Arial" w:hAnsi="Arial"/>
          <w:sz w:val="21"/>
          <w:szCs w:val="21"/>
          <w:color w:val="auto"/>
        </w:rPr>
        <w:t>Determination by any state gaming regulatory agency that the Executive is not suitable to hold her position or otherwise to participate in a gaming enterprise in the state in question;</w:t>
      </w:r>
    </w:p>
    <w:p>
      <w:pPr>
        <w:spacing w:after="0" w:line="150" w:lineRule="exact"/>
        <w:rPr>
          <w:rFonts w:ascii="Arial" w:cs="Arial" w:eastAsia="Arial" w:hAnsi="Arial"/>
          <w:sz w:val="21"/>
          <w:szCs w:val="21"/>
          <w:color w:val="auto"/>
        </w:rPr>
      </w:pPr>
    </w:p>
    <w:p>
      <w:pPr>
        <w:ind w:left="2600" w:right="420" w:hanging="648"/>
        <w:spacing w:after="0" w:line="229" w:lineRule="auto"/>
        <w:tabs>
          <w:tab w:leader="none" w:pos="2592" w:val="left"/>
        </w:tabs>
        <w:numPr>
          <w:ilvl w:val="0"/>
          <w:numId w:val="28"/>
        </w:numPr>
        <w:rPr>
          <w:rFonts w:ascii="Arial" w:cs="Arial" w:eastAsia="Arial" w:hAnsi="Arial"/>
          <w:sz w:val="21"/>
          <w:szCs w:val="21"/>
          <w:color w:val="auto"/>
        </w:rPr>
      </w:pPr>
      <w:r>
        <w:rPr>
          <w:rFonts w:ascii="Arial" w:cs="Arial" w:eastAsia="Arial" w:hAnsi="Arial"/>
          <w:sz w:val="21"/>
          <w:szCs w:val="21"/>
          <w:color w:val="auto"/>
        </w:rPr>
        <w:t>Engaging in any act that is intended to harm, or may be reasonably expected to harm, the reputation, business prospects, or operations of the Parent or any of its Subsidiaries or affiliates (including the Company); provided, however, that this subclause (ix) shall not apply during the two-year period beginning on the date of a Change in Control; or</w:t>
      </w:r>
    </w:p>
    <w:p>
      <w:pPr>
        <w:spacing w:after="0" w:line="158" w:lineRule="exact"/>
        <w:rPr>
          <w:rFonts w:ascii="Arial" w:cs="Arial" w:eastAsia="Arial" w:hAnsi="Arial"/>
          <w:sz w:val="21"/>
          <w:szCs w:val="21"/>
          <w:color w:val="auto"/>
        </w:rPr>
      </w:pPr>
    </w:p>
    <w:p>
      <w:pPr>
        <w:ind w:left="2600" w:right="60" w:hanging="648"/>
        <w:spacing w:after="0" w:line="232" w:lineRule="auto"/>
        <w:tabs>
          <w:tab w:leader="none" w:pos="26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other action or inaction by the Executive that constitutes a material breach by the Executive of the terms and conditions of this Agreement.</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22"/>
          <w:szCs w:val="22"/>
          <w:color w:val="auto"/>
        </w:rPr>
        <w:t>For purposes of this Article 1(c), no act or omission by the Executive shall be considered “willful” unless it is done or omitted in bad faith or without reasonable belief that the Executive’s action or omission was in the best interests of the Parent or any of its Subsidiaries or affiliates (including the Company). Any act or failure to act based upon: (i) authority given pursuant to a resolution duly adopted by the Board; or (ii) formal advice of counsel for the Company, shall be conclusively presumed to be done or omitted to be done by the Executive in good faith and in the best interests of the Parent or any of its Subsidiaries or affiliates (including the Company).</w:t>
      </w:r>
    </w:p>
    <w:p>
      <w:pPr>
        <w:spacing w:after="0" w:line="159"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color w:val="auto"/>
        </w:rPr>
        <w:t>For purposes of this Agreement, there shall be no termination for Cause pursuant to Articles 1(c)(ii) through (x) above, unless a written notice, containing a detailed description of the grounds constituting Cause hereunder, is delivered to the Executive stating the basis for the termination. With respect to Subsections (v), (vi) and (x) upon receipt of such notice, the Executive shall be given thirty (30) days to fully cure (if such violation, neglect, or conduct is capable of cure) the violation, neglect, or conduct that is the basis of such claim. If, in the Board’s opinion, cure has not been accomplished by the Executive at the conclusion of such thirty (30) day period, the Executive will be given a reasonable opportunity to be heard before termination.</w:t>
      </w:r>
    </w:p>
    <w:p>
      <w:pPr>
        <w:spacing w:after="0" w:line="144" w:lineRule="exact"/>
        <w:rPr>
          <w:sz w:val="20"/>
          <w:szCs w:val="20"/>
          <w:color w:val="auto"/>
        </w:rPr>
      </w:pPr>
    </w:p>
    <w:p>
      <w:pPr>
        <w:ind w:left="2640" w:hanging="688"/>
        <w:spacing w:after="0"/>
        <w:tabs>
          <w:tab w:leader="none" w:pos="26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“Change in Control” means the occurrence of any of the following events with regard to the</w:t>
      </w:r>
    </w:p>
    <w:p>
      <w:pPr>
        <w:ind w:left="1300"/>
        <w:spacing w:after="0"/>
        <w:rPr>
          <w:sz w:val="20"/>
          <w:szCs w:val="20"/>
          <w:color w:val="auto"/>
        </w:rPr>
      </w:pPr>
      <w:r>
        <w:rPr>
          <w:rFonts w:ascii="Arial" w:cs="Arial" w:eastAsia="Arial" w:hAnsi="Arial"/>
          <w:sz w:val="22"/>
          <w:szCs w:val="22"/>
          <w:color w:val="auto"/>
        </w:rPr>
        <w:t>Parent:</w:t>
      </w:r>
    </w:p>
    <w:p>
      <w:pPr>
        <w:spacing w:after="0" w:line="161" w:lineRule="exact"/>
        <w:rPr>
          <w:sz w:val="20"/>
          <w:szCs w:val="20"/>
          <w:color w:val="auto"/>
        </w:rPr>
      </w:pPr>
    </w:p>
    <w:p>
      <w:pPr>
        <w:ind w:left="2600" w:hanging="648"/>
        <w:spacing w:after="0"/>
        <w:tabs>
          <w:tab w:leader="none" w:pos="26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w:t>
      </w:r>
    </w:p>
    <w:p>
      <w:pPr>
        <w:spacing w:after="0" w:line="15" w:lineRule="exact"/>
        <w:rPr>
          <w:rFonts w:ascii="Arial" w:cs="Arial" w:eastAsia="Arial" w:hAnsi="Arial"/>
          <w:sz w:val="19"/>
          <w:szCs w:val="19"/>
          <w:color w:val="auto"/>
        </w:rPr>
      </w:pPr>
    </w:p>
    <w:p>
      <w:pPr>
        <w:ind w:left="2600" w:right="140"/>
        <w:spacing w:after="0" w:line="237"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of beneficial ownership (within the meaning of Rule 13d-3 promulgated under the Exchange Act) of more than 50% of the combined voting power of the then-outstanding securities entitled to vote generally in the election of members of the Board (the “Voting Power”) at such time; provided that the following acquisitions shall not constitute a Change in Control: (A) any such acquisition directly from the Parent; (B) any such acquisition by the Parent; (C) any such acquisition by any employee benefit plan (or related trust) sponsored or maintained by the Parent or any of its subsidiaries; or</w:t>
      </w:r>
    </w:p>
    <w:p>
      <w:pPr>
        <w:spacing w:after="0" w:line="1" w:lineRule="exact"/>
        <w:rPr>
          <w:rFonts w:ascii="Arial" w:cs="Arial" w:eastAsia="Arial" w:hAnsi="Arial"/>
          <w:sz w:val="19"/>
          <w:szCs w:val="19"/>
          <w:color w:val="auto"/>
        </w:rPr>
      </w:pPr>
    </w:p>
    <w:p>
      <w:pPr>
        <w:ind w:left="2600" w:right="340"/>
        <w:spacing w:after="0" w:line="224" w:lineRule="auto"/>
        <w:rPr>
          <w:rFonts w:ascii="Arial" w:cs="Arial" w:eastAsia="Arial" w:hAnsi="Arial"/>
          <w:sz w:val="19"/>
          <w:szCs w:val="19"/>
          <w:color w:val="auto"/>
        </w:rPr>
      </w:pPr>
      <w:r>
        <w:rPr>
          <w:rFonts w:ascii="Arial" w:cs="Arial" w:eastAsia="Arial" w:hAnsi="Arial"/>
          <w:sz w:val="22"/>
          <w:szCs w:val="22"/>
          <w:color w:val="auto"/>
        </w:rPr>
        <w:t>(D) any such acquisition pursuant to a transaction that complies with clauses (A), (B) and (C) of paragraph (iii)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77" w:lineRule="exact"/>
        <w:rPr>
          <w:sz w:val="20"/>
          <w:szCs w:val="20"/>
          <w:color w:val="auto"/>
        </w:rPr>
      </w:pPr>
    </w:p>
    <w:p>
      <w:pPr>
        <w:ind w:left="2600" w:right="60" w:hanging="648"/>
        <w:spacing w:after="0" w:line="243" w:lineRule="auto"/>
        <w:tabs>
          <w:tab w:leader="none" w:pos="2599"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individuals who, as of the Effective Date, constitute the Board (the “Incumbent Board”) cease for any reason (other than death or disability) to constitute at least a majority of the Board; provided, that any individual becoming a director subsequent to the Effective Date, whose election, or nomination for election by the Parent’s stockholders, was approved by a vote of the directors then comprising the Incumbent Board (either by a specific vote or by approval of the proxy statement of the Parent in which such person is named as a nominee for director, without objection to such nomination) shall be considered as though such individual was a member of the Incumbent Board, but excluding for this purpose, any such individual whose initial assumption of office occurs as a result of or in connection with an actual or threatened election contest with respect to the election or removal of directors or other actual or threatened solicitation of proxies or consents by or on behalf of a Person other than the Board; or</w:t>
      </w:r>
    </w:p>
    <w:p>
      <w:pPr>
        <w:spacing w:after="0" w:line="158" w:lineRule="exact"/>
        <w:rPr>
          <w:rFonts w:ascii="Arial" w:cs="Arial" w:eastAsia="Arial" w:hAnsi="Arial"/>
          <w:sz w:val="19"/>
          <w:szCs w:val="19"/>
          <w:color w:val="auto"/>
        </w:rPr>
      </w:pPr>
    </w:p>
    <w:p>
      <w:pPr>
        <w:ind w:left="2600" w:hanging="648"/>
        <w:spacing w:after="0"/>
        <w:tabs>
          <w:tab w:leader="none" w:pos="2591"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Parent (a “Business Combination”), in each case, unless following such Business Combination, (A) all or substantially all of the individuals and entities who were the beneficial owners of the Voting Power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Parent or substantially all of the Parent’s assets either directly or through one or more subsidiaries) in substantially the same proportions relative to each other as their ownership immediately prior to such Business Combination of the securities representing the Voting Power, (B) no Person (excluding any entity resulting from such Business Combination or any employee benefit plan (or related trust) sponsored or maintained by the Parent or such entity resulting from such Business Combination) beneficially owns, directly or indirectly, more than 50% of, respectively, the then-outstanding shares of common stock of the entity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the action of the Board providing for such Business Combination; or</w:t>
      </w:r>
    </w:p>
    <w:p>
      <w:pPr>
        <w:spacing w:after="0" w:line="382" w:lineRule="exact"/>
        <w:rPr>
          <w:rFonts w:ascii="Arial" w:cs="Arial" w:eastAsia="Arial" w:hAnsi="Arial"/>
          <w:sz w:val="19"/>
          <w:szCs w:val="19"/>
          <w:color w:val="auto"/>
        </w:rPr>
      </w:pPr>
    </w:p>
    <w:p>
      <w:pPr>
        <w:ind w:left="2580" w:hanging="628"/>
        <w:spacing w:after="0"/>
        <w:tabs>
          <w:tab w:leader="none" w:pos="25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approval by the stockholders of the Parent of a complete liquidation or dissolution of the Parent.</w:t>
      </w:r>
    </w:p>
    <w:p>
      <w:pPr>
        <w:spacing w:after="0" w:line="214" w:lineRule="exact"/>
        <w:rPr>
          <w:sz w:val="20"/>
          <w:szCs w:val="20"/>
          <w:color w:val="auto"/>
        </w:rPr>
      </w:pPr>
    </w:p>
    <w:p>
      <w:pPr>
        <w:ind w:right="140" w:firstLine="648"/>
        <w:spacing w:after="0" w:line="223" w:lineRule="auto"/>
        <w:rPr>
          <w:sz w:val="20"/>
          <w:szCs w:val="20"/>
          <w:color w:val="auto"/>
        </w:rPr>
      </w:pPr>
      <w:r>
        <w:rPr>
          <w:rFonts w:ascii="Arial" w:cs="Arial" w:eastAsia="Arial" w:hAnsi="Arial"/>
          <w:sz w:val="22"/>
          <w:szCs w:val="22"/>
          <w:color w:val="auto"/>
        </w:rPr>
        <w:t>Notwithstanding the foregoing, if a Change in Control constitutes a payment event with respect to any deferral of compensation that is subject to Section 409A of the Code, then, to the extent required to avoid the imposition of additional taxes under Section 409A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77" w:lineRule="exact"/>
        <w:rPr>
          <w:sz w:val="20"/>
          <w:szCs w:val="20"/>
          <w:color w:val="auto"/>
        </w:rPr>
      </w:pPr>
    </w:p>
    <w:p>
      <w:pPr>
        <w:ind w:right="260"/>
        <w:spacing w:after="0" w:line="234" w:lineRule="auto"/>
        <w:rPr>
          <w:sz w:val="20"/>
          <w:szCs w:val="20"/>
          <w:color w:val="auto"/>
        </w:rPr>
      </w:pPr>
      <w:r>
        <w:rPr>
          <w:rFonts w:ascii="Arial" w:cs="Arial" w:eastAsia="Arial" w:hAnsi="Arial"/>
          <w:sz w:val="21"/>
          <w:szCs w:val="21"/>
          <w:color w:val="auto"/>
        </w:rPr>
        <w:t>transaction or event described in paragraph (i), (ii), (iii) or (iv) above, with respect to such deferral of compensation, shall only constitute a Change in Control for purposes of the payment timing of such deferral of compensation if such transaction also constitutes a “change in control event,” as defined in Treasury Regulation §1.409A-3(i)(5).</w:t>
      </w:r>
    </w:p>
    <w:p>
      <w:pPr>
        <w:spacing w:after="0" w:line="158" w:lineRule="exact"/>
        <w:rPr>
          <w:sz w:val="20"/>
          <w:szCs w:val="20"/>
          <w:color w:val="auto"/>
        </w:rPr>
      </w:pPr>
    </w:p>
    <w:p>
      <w:pPr>
        <w:ind w:left="2600" w:hanging="648"/>
        <w:spacing w:after="0"/>
        <w:tabs>
          <w:tab w:leader="none" w:pos="26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179" w:lineRule="exact"/>
        <w:rPr>
          <w:rFonts w:ascii="Arial" w:cs="Arial" w:eastAsia="Arial" w:hAnsi="Arial"/>
          <w:sz w:val="22"/>
          <w:szCs w:val="22"/>
          <w:color w:val="auto"/>
        </w:rPr>
      </w:pPr>
    </w:p>
    <w:p>
      <w:pPr>
        <w:ind w:left="1300" w:right="320" w:firstLine="652"/>
        <w:spacing w:after="0" w:line="247" w:lineRule="auto"/>
        <w:tabs>
          <w:tab w:leader="none" w:pos="2596" w:val="left"/>
        </w:tabs>
        <w:numPr>
          <w:ilvl w:val="0"/>
          <w:numId w:val="32"/>
        </w:numPr>
        <w:rPr>
          <w:rFonts w:ascii="Arial" w:cs="Arial" w:eastAsia="Arial" w:hAnsi="Arial"/>
          <w:sz w:val="21"/>
          <w:szCs w:val="21"/>
          <w:color w:val="auto"/>
        </w:rPr>
      </w:pPr>
      <w:r>
        <w:rPr>
          <w:rFonts w:ascii="Arial" w:cs="Arial" w:eastAsia="Arial" w:hAnsi="Arial"/>
          <w:sz w:val="21"/>
          <w:szCs w:val="21"/>
          <w:color w:val="auto"/>
        </w:rPr>
        <w:t>“Compensation Committee” shall mean the Compensation Committee of the Board or any other committee appointed by the Board to perform the functions of the Compensation Committee.</w:t>
      </w:r>
    </w:p>
    <w:p>
      <w:pPr>
        <w:spacing w:after="0" w:line="150" w:lineRule="exact"/>
        <w:rPr>
          <w:rFonts w:ascii="Arial" w:cs="Arial" w:eastAsia="Arial" w:hAnsi="Arial"/>
          <w:sz w:val="21"/>
          <w:szCs w:val="21"/>
          <w:color w:val="auto"/>
        </w:rPr>
      </w:pPr>
    </w:p>
    <w:p>
      <w:pPr>
        <w:ind w:left="1300" w:right="640" w:firstLine="652"/>
        <w:spacing w:after="0" w:line="232" w:lineRule="auto"/>
        <w:tabs>
          <w:tab w:leader="none" w:pos="2591" w:val="left"/>
        </w:tabs>
        <w:numPr>
          <w:ilvl w:val="0"/>
          <w:numId w:val="32"/>
        </w:numPr>
        <w:rPr>
          <w:rFonts w:ascii="Arial" w:cs="Arial" w:eastAsia="Arial" w:hAnsi="Arial"/>
          <w:sz w:val="22"/>
          <w:szCs w:val="22"/>
          <w:color w:val="auto"/>
        </w:rPr>
      </w:pPr>
      <w:r>
        <w:rPr>
          <w:rFonts w:ascii="Arial" w:cs="Arial" w:eastAsia="Arial" w:hAnsi="Arial"/>
          <w:sz w:val="22"/>
          <w:szCs w:val="22"/>
          <w:color w:val="auto"/>
        </w:rPr>
        <w:t>“Date of Termination” shall mean the date on which the Executive incurs a “separation from service” within the meaning of Section 409A of the Code.</w:t>
      </w:r>
    </w:p>
    <w:p>
      <w:pPr>
        <w:spacing w:after="0" w:line="158" w:lineRule="exact"/>
        <w:rPr>
          <w:rFonts w:ascii="Arial" w:cs="Arial" w:eastAsia="Arial" w:hAnsi="Arial"/>
          <w:sz w:val="22"/>
          <w:szCs w:val="22"/>
          <w:color w:val="auto"/>
        </w:rPr>
      </w:pPr>
    </w:p>
    <w:p>
      <w:pPr>
        <w:ind w:left="1300" w:firstLine="652"/>
        <w:spacing w:after="0" w:line="226" w:lineRule="auto"/>
        <w:tabs>
          <w:tab w:leader="none" w:pos="2591" w:val="left"/>
        </w:tabs>
        <w:numPr>
          <w:ilvl w:val="0"/>
          <w:numId w:val="32"/>
        </w:numPr>
        <w:rPr>
          <w:rFonts w:ascii="Arial" w:cs="Arial" w:eastAsia="Arial" w:hAnsi="Arial"/>
          <w:sz w:val="21"/>
          <w:szCs w:val="21"/>
          <w:color w:val="auto"/>
        </w:rPr>
      </w:pPr>
      <w:r>
        <w:rPr>
          <w:rFonts w:ascii="Arial" w:cs="Arial" w:eastAsia="Arial" w:hAnsi="Arial"/>
          <w:sz w:val="21"/>
          <w:szCs w:val="21"/>
          <w:color w:val="auto"/>
        </w:rPr>
        <w:t>“Disability” (i) shall mean the Executive’s permanent and total disability as defined by the long-term disability plan in effect for senior executives of the Company or (ii) in the event there is no such plan in effect, shall mean that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spacing w:after="0" w:line="159" w:lineRule="exact"/>
        <w:rPr>
          <w:rFonts w:ascii="Arial" w:cs="Arial" w:eastAsia="Arial" w:hAnsi="Arial"/>
          <w:sz w:val="21"/>
          <w:szCs w:val="21"/>
          <w:color w:val="auto"/>
        </w:rPr>
      </w:pPr>
    </w:p>
    <w:p>
      <w:pPr>
        <w:ind w:left="1300" w:right="800" w:firstLine="652"/>
        <w:spacing w:after="0" w:line="232" w:lineRule="auto"/>
        <w:tabs>
          <w:tab w:leader="none" w:pos="2584" w:val="left"/>
        </w:tabs>
        <w:numPr>
          <w:ilvl w:val="0"/>
          <w:numId w:val="32"/>
        </w:numPr>
        <w:rPr>
          <w:rFonts w:ascii="Arial" w:cs="Arial" w:eastAsia="Arial" w:hAnsi="Arial"/>
          <w:sz w:val="22"/>
          <w:szCs w:val="22"/>
          <w:color w:val="auto"/>
        </w:rPr>
      </w:pPr>
      <w:r>
        <w:rPr>
          <w:rFonts w:ascii="Arial" w:cs="Arial" w:eastAsia="Arial" w:hAnsi="Arial"/>
          <w:sz w:val="22"/>
          <w:szCs w:val="22"/>
          <w:color w:val="auto"/>
        </w:rPr>
        <w:t>“Good Reason” shall mean the occurrence of any one or more of the following without the Executive’s express written consent:</w:t>
      </w:r>
    </w:p>
    <w:p>
      <w:pPr>
        <w:spacing w:after="0" w:line="159" w:lineRule="exact"/>
        <w:rPr>
          <w:sz w:val="20"/>
          <w:szCs w:val="20"/>
          <w:color w:val="auto"/>
        </w:rPr>
      </w:pPr>
    </w:p>
    <w:p>
      <w:pPr>
        <w:ind w:left="2600" w:right="300" w:hanging="648"/>
        <w:spacing w:after="0" w:line="232" w:lineRule="auto"/>
        <w:tabs>
          <w:tab w:leader="none" w:pos="2592"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Parent or Company changes the Executive’s title or material job duties such that it results in material diminution in Executive’s authority, duties, or responsibilities;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9"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Parent or Company materially reduces the amount of the Executive’s then current Base Salary or the target opportunity for her annual incentive award; or</w:t>
      </w:r>
    </w:p>
    <w:p>
      <w:pPr>
        <w:spacing w:after="0" w:line="158" w:lineRule="exact"/>
        <w:rPr>
          <w:rFonts w:ascii="Arial" w:cs="Arial" w:eastAsia="Arial" w:hAnsi="Arial"/>
          <w:sz w:val="22"/>
          <w:szCs w:val="22"/>
          <w:color w:val="auto"/>
        </w:rPr>
      </w:pPr>
    </w:p>
    <w:p>
      <w:pPr>
        <w:ind w:left="2600" w:right="100" w:hanging="648"/>
        <w:spacing w:after="0" w:line="218" w:lineRule="auto"/>
        <w:tabs>
          <w:tab w:leader="none" w:pos="2591"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Parent or Company requires the Executive to be permanently based at a location in excess of fifty (50) miles from the location of (x) the Executive’s principal job location or (y) if Executive is working-from-home under a Company-approved arrangement, the Executive’s primary residence; or</w:t>
      </w:r>
    </w:p>
    <w:p>
      <w:pPr>
        <w:spacing w:after="0" w:line="160" w:lineRule="exact"/>
        <w:rPr>
          <w:rFonts w:ascii="Arial" w:cs="Arial" w:eastAsia="Arial" w:hAnsi="Arial"/>
          <w:sz w:val="22"/>
          <w:szCs w:val="22"/>
          <w:color w:val="auto"/>
        </w:rPr>
      </w:pPr>
    </w:p>
    <w:p>
      <w:pPr>
        <w:jc w:val="both"/>
        <w:ind w:left="2600" w:right="100" w:hanging="648"/>
        <w:spacing w:after="0" w:line="223" w:lineRule="auto"/>
        <w:tabs>
          <w:tab w:leader="none" w:pos="25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failure of the Company to obtain in writing the obligation to perform or be bound by the terms of this Agreement by any successor to the Company or a purchaser of all or substantially all of the assets of the Company; or</w:t>
      </w:r>
    </w:p>
    <w:p>
      <w:pPr>
        <w:spacing w:after="0" w:line="158" w:lineRule="exact"/>
        <w:rPr>
          <w:rFonts w:ascii="Arial" w:cs="Arial" w:eastAsia="Arial" w:hAnsi="Arial"/>
          <w:sz w:val="22"/>
          <w:szCs w:val="22"/>
          <w:color w:val="auto"/>
        </w:rPr>
      </w:pPr>
    </w:p>
    <w:p>
      <w:pPr>
        <w:ind w:left="2600" w:right="60" w:hanging="648"/>
        <w:spacing w:after="0" w:line="232" w:lineRule="auto"/>
        <w:tabs>
          <w:tab w:leader="none" w:pos="258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provides the Executive with a notice of non-renewal in accordance with the terms of Article 2 of this Agreement; or</w:t>
      </w:r>
    </w:p>
    <w:p>
      <w:pPr>
        <w:spacing w:after="0" w:line="158" w:lineRule="exact"/>
        <w:rPr>
          <w:rFonts w:ascii="Arial" w:cs="Arial" w:eastAsia="Arial" w:hAnsi="Arial"/>
          <w:sz w:val="22"/>
          <w:szCs w:val="22"/>
          <w:color w:val="auto"/>
        </w:rPr>
      </w:pPr>
    </w:p>
    <w:p>
      <w:pPr>
        <w:ind w:left="2600" w:right="100" w:hanging="648"/>
        <w:spacing w:after="0" w:line="232" w:lineRule="auto"/>
        <w:tabs>
          <w:tab w:leader="none" w:pos="2592"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other action or inaction by the Company that constitutes a material breach by the Company of the terms and conditions of this Agreement.</w:t>
      </w:r>
    </w:p>
    <w:p>
      <w:pPr>
        <w:spacing w:after="0" w:line="159" w:lineRule="exact"/>
        <w:rPr>
          <w:sz w:val="20"/>
          <w:szCs w:val="20"/>
          <w:color w:val="auto"/>
        </w:rPr>
      </w:pPr>
    </w:p>
    <w:p>
      <w:pPr>
        <w:jc w:val="both"/>
        <w:ind w:right="420" w:firstLine="648"/>
        <w:spacing w:after="0" w:line="223" w:lineRule="auto"/>
        <w:rPr>
          <w:sz w:val="20"/>
          <w:szCs w:val="20"/>
          <w:color w:val="auto"/>
        </w:rPr>
      </w:pPr>
      <w:r>
        <w:rPr>
          <w:rFonts w:ascii="Arial" w:cs="Arial" w:eastAsia="Arial" w:hAnsi="Arial"/>
          <w:sz w:val="22"/>
          <w:szCs w:val="22"/>
          <w:color w:val="auto"/>
        </w:rPr>
        <w:t>The Executive will not be deemed to have terminated for Good Reason unless (A) the Executive gives the Company written notice of the event or events that are the basis for such claim within thirty (30) days after the Executive first becomes aware of the initial occurrence,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events that would otherwise constitute Good Reason, describing such claim in reasonably sufficient detail to allow the Company to address the event or events, (B) the Company fails to cure the alleged condition during a period of not less than thirty (30) days after the delivery of such notice to the Company, and (C) the Executive terminates her employment within ninety (90) days after the Executive first becomes aware of the initial occurrence, event or events that are the basis for such claim.</w:t>
      </w:r>
    </w:p>
    <w:p>
      <w:pPr>
        <w:spacing w:after="0" w:line="144" w:lineRule="exact"/>
        <w:rPr>
          <w:sz w:val="20"/>
          <w:szCs w:val="20"/>
          <w:color w:val="auto"/>
        </w:rPr>
      </w:pPr>
    </w:p>
    <w:p>
      <w:pPr>
        <w:ind w:left="2580" w:hanging="628"/>
        <w:spacing w:after="0"/>
        <w:tabs>
          <w:tab w:leader="none" w:pos="25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“Parent” shall mean Caesars Entertainment, Inc.</w:t>
      </w:r>
    </w:p>
    <w:p>
      <w:pPr>
        <w:spacing w:after="0" w:line="179" w:lineRule="exact"/>
        <w:rPr>
          <w:rFonts w:ascii="Arial" w:cs="Arial" w:eastAsia="Arial" w:hAnsi="Arial"/>
          <w:sz w:val="22"/>
          <w:szCs w:val="22"/>
          <w:color w:val="auto"/>
        </w:rPr>
      </w:pPr>
    </w:p>
    <w:p>
      <w:pPr>
        <w:ind w:left="1300" w:right="880" w:firstLine="652"/>
        <w:spacing w:after="0" w:line="298" w:lineRule="auto"/>
        <w:tabs>
          <w:tab w:leader="none" w:pos="2591" w:val="left"/>
        </w:tabs>
        <w:numPr>
          <w:ilvl w:val="1"/>
          <w:numId w:val="34"/>
        </w:numPr>
        <w:rPr>
          <w:rFonts w:ascii="Arial" w:cs="Arial" w:eastAsia="Arial" w:hAnsi="Arial"/>
          <w:sz w:val="19"/>
          <w:szCs w:val="19"/>
          <w:color w:val="auto"/>
        </w:rPr>
      </w:pPr>
      <w:r>
        <w:rPr>
          <w:rFonts w:ascii="Arial" w:cs="Arial" w:eastAsia="Arial" w:hAnsi="Arial"/>
          <w:sz w:val="19"/>
          <w:szCs w:val="19"/>
          <w:color w:val="auto"/>
        </w:rPr>
        <w:t>“Person” shall mean any individual, corporation, partnership, association, limited liability company, joint-stock company, trust, unincorporated organization, government or political subdivision.</w:t>
      </w:r>
    </w:p>
    <w:p>
      <w:pPr>
        <w:spacing w:after="0" w:line="105" w:lineRule="exact"/>
        <w:rPr>
          <w:rFonts w:ascii="Arial" w:cs="Arial" w:eastAsia="Arial" w:hAnsi="Arial"/>
          <w:sz w:val="19"/>
          <w:szCs w:val="19"/>
          <w:color w:val="auto"/>
        </w:rPr>
      </w:pPr>
    </w:p>
    <w:p>
      <w:pPr>
        <w:ind w:left="2580" w:hanging="628"/>
        <w:spacing w:after="0"/>
        <w:tabs>
          <w:tab w:leader="none" w:pos="2580" w:val="left"/>
        </w:tabs>
        <w:numPr>
          <w:ilvl w:val="1"/>
          <w:numId w:val="34"/>
        </w:numPr>
        <w:rPr>
          <w:rFonts w:ascii="Arial" w:cs="Arial" w:eastAsia="Arial" w:hAnsi="Arial"/>
          <w:sz w:val="19"/>
          <w:szCs w:val="19"/>
          <w:color w:val="auto"/>
        </w:rPr>
      </w:pPr>
      <w:r>
        <w:rPr>
          <w:rFonts w:ascii="Arial" w:cs="Arial" w:eastAsia="Arial" w:hAnsi="Arial"/>
          <w:sz w:val="19"/>
          <w:szCs w:val="19"/>
          <w:color w:val="auto"/>
        </w:rPr>
        <w:t>“Pro Rata” shall equal the product of (A) and (B), where (A) is the applicable incentive amount and</w:t>
      </w:r>
    </w:p>
    <w:p>
      <w:pPr>
        <w:spacing w:after="0" w:line="15" w:lineRule="exact"/>
        <w:rPr>
          <w:rFonts w:ascii="Arial" w:cs="Arial" w:eastAsia="Arial" w:hAnsi="Arial"/>
          <w:sz w:val="19"/>
          <w:szCs w:val="19"/>
          <w:color w:val="auto"/>
        </w:rPr>
      </w:pPr>
    </w:p>
    <w:p>
      <w:pPr>
        <w:ind w:left="1300" w:firstLine="4"/>
        <w:spacing w:after="0" w:line="214" w:lineRule="auto"/>
        <w:tabs>
          <w:tab w:leader="none" w:pos="1642" w:val="left"/>
        </w:tabs>
        <w:numPr>
          <w:ilvl w:val="0"/>
          <w:numId w:val="35"/>
        </w:numPr>
        <w:rPr>
          <w:rFonts w:ascii="Arial" w:cs="Arial" w:eastAsia="Arial" w:hAnsi="Arial"/>
          <w:sz w:val="22"/>
          <w:szCs w:val="22"/>
          <w:color w:val="auto"/>
        </w:rPr>
      </w:pPr>
      <w:r>
        <w:rPr>
          <w:rFonts w:ascii="Arial" w:cs="Arial" w:eastAsia="Arial" w:hAnsi="Arial"/>
          <w:sz w:val="22"/>
          <w:szCs w:val="22"/>
          <w:color w:val="auto"/>
        </w:rPr>
        <w:t>is a fraction, the numerator of which is the number of calendar months that the Executive was employed by the Company during the applicable performance period or cycle and the denominator of which is the number of calendar months in the applicable performance period or cycle. Solely for determining the Pro Rata amount, any partial calendar month shall be treated as a full month.</w:t>
      </w:r>
    </w:p>
    <w:p>
      <w:pPr>
        <w:spacing w:after="0" w:line="159" w:lineRule="exact"/>
        <w:rPr>
          <w:rFonts w:ascii="Arial" w:cs="Arial" w:eastAsia="Arial" w:hAnsi="Arial"/>
          <w:sz w:val="22"/>
          <w:szCs w:val="22"/>
          <w:color w:val="auto"/>
        </w:rPr>
      </w:pPr>
    </w:p>
    <w:p>
      <w:pPr>
        <w:ind w:left="1300" w:right="20" w:firstLine="652"/>
        <w:spacing w:after="0" w:line="219" w:lineRule="auto"/>
        <w:tabs>
          <w:tab w:leader="none" w:pos="2584" w:val="left"/>
        </w:tabs>
        <w:numPr>
          <w:ilvl w:val="1"/>
          <w:numId w:val="35"/>
        </w:numPr>
        <w:rPr>
          <w:rFonts w:ascii="Arial" w:cs="Arial" w:eastAsia="Arial" w:hAnsi="Arial"/>
          <w:sz w:val="21"/>
          <w:szCs w:val="21"/>
          <w:color w:val="auto"/>
        </w:rPr>
      </w:pPr>
      <w:r>
        <w:rPr>
          <w:rFonts w:ascii="Arial" w:cs="Arial" w:eastAsia="Arial" w:hAnsi="Arial"/>
          <w:sz w:val="21"/>
          <w:szCs w:val="21"/>
          <w:color w:val="auto"/>
        </w:rPr>
        <w:t>“Protected Information” shall mean trade secrets, confidential and proprietary business information of the Parent and its Subsidiaries and affiliates (including the Company), and any other information of the Parent or any of its Subsidiaries or affiliates (including the Company), including, but not limited to, customer lists (including, without limitation, potential customers), sources of supply, processes, plans, materials, pricing information, internal memoranda, marketing plans, internal policies, and products and services that may be developed from time to time by the Parent or any of its Subsidiaries or affiliates (including the Company) or any of their respective agents or employees, including but not limited to the Executive; provided, however, that information that is in the public domain (other than as a result of a breach of this Agreement), approved for release by the Parent or the Company, as applicable, or lawfully obtained from third parties who are not bound by a confidentiality agreement with the Parent or any of its Subsidiaries or affiliates (including the Company), is not Protected Information.</w:t>
      </w:r>
    </w:p>
    <w:p>
      <w:pPr>
        <w:spacing w:after="0" w:line="168" w:lineRule="exact"/>
        <w:rPr>
          <w:rFonts w:ascii="Arial" w:cs="Arial" w:eastAsia="Arial" w:hAnsi="Arial"/>
          <w:sz w:val="21"/>
          <w:szCs w:val="21"/>
          <w:color w:val="auto"/>
        </w:rPr>
      </w:pPr>
    </w:p>
    <w:p>
      <w:pPr>
        <w:ind w:left="1300" w:right="340" w:firstLine="652"/>
        <w:spacing w:after="0" w:line="232" w:lineRule="auto"/>
        <w:tabs>
          <w:tab w:leader="none" w:pos="2591" w:val="left"/>
        </w:tabs>
        <w:numPr>
          <w:ilvl w:val="1"/>
          <w:numId w:val="35"/>
        </w:numPr>
        <w:rPr>
          <w:rFonts w:ascii="Arial" w:cs="Arial" w:eastAsia="Arial" w:hAnsi="Arial"/>
          <w:sz w:val="22"/>
          <w:szCs w:val="22"/>
          <w:color w:val="auto"/>
        </w:rPr>
      </w:pPr>
      <w:r>
        <w:rPr>
          <w:rFonts w:ascii="Arial" w:cs="Arial" w:eastAsia="Arial" w:hAnsi="Arial"/>
          <w:sz w:val="22"/>
          <w:szCs w:val="22"/>
          <w:color w:val="auto"/>
        </w:rPr>
        <w:t>“Release” means a general release of claims against the Parent and its Subsidiaries and affiliates (including the Company), in substantially the form attached hereto as Exhibit A.</w:t>
      </w:r>
    </w:p>
    <w:p>
      <w:pPr>
        <w:spacing w:after="0" w:line="158" w:lineRule="exact"/>
        <w:rPr>
          <w:rFonts w:ascii="Arial" w:cs="Arial" w:eastAsia="Arial" w:hAnsi="Arial"/>
          <w:sz w:val="22"/>
          <w:szCs w:val="22"/>
          <w:color w:val="auto"/>
        </w:rPr>
      </w:pPr>
    </w:p>
    <w:p>
      <w:pPr>
        <w:ind w:left="1300" w:right="260" w:firstLine="652"/>
        <w:spacing w:after="0" w:line="247" w:lineRule="auto"/>
        <w:tabs>
          <w:tab w:leader="none" w:pos="2591" w:val="left"/>
        </w:tabs>
        <w:numPr>
          <w:ilvl w:val="1"/>
          <w:numId w:val="35"/>
        </w:numPr>
        <w:rPr>
          <w:rFonts w:ascii="Arial" w:cs="Arial" w:eastAsia="Arial" w:hAnsi="Arial"/>
          <w:sz w:val="19"/>
          <w:szCs w:val="19"/>
          <w:color w:val="auto"/>
        </w:rPr>
      </w:pPr>
      <w:r>
        <w:rPr>
          <w:rFonts w:ascii="Arial" w:cs="Arial" w:eastAsia="Arial" w:hAnsi="Arial"/>
          <w:sz w:val="19"/>
          <w:szCs w:val="19"/>
          <w:color w:val="auto"/>
        </w:rPr>
        <w:t>“Subsidiary” means a corporation, company or other entity (i) more than fifty percent (50%)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fifty percent (50%) of whose ownership interest representing the right generally to make decisions for such other entity is, now or hereafter owned or controlled, directly or indirectly, by the Parent or the Company, as applicable, but such corporation, company or other entity shall be deemed to be a Subsidiary only so long as such ownership or control exists.</w:t>
      </w:r>
    </w:p>
    <w:p>
      <w:pPr>
        <w:spacing w:after="0" w:line="153" w:lineRule="exact"/>
        <w:rPr>
          <w:rFonts w:ascii="Arial" w:cs="Arial" w:eastAsia="Arial" w:hAnsi="Arial"/>
          <w:sz w:val="19"/>
          <w:szCs w:val="19"/>
          <w:color w:val="auto"/>
        </w:rPr>
      </w:pPr>
    </w:p>
    <w:p>
      <w:pPr>
        <w:ind w:left="1300" w:right="40" w:firstLine="652"/>
        <w:spacing w:after="0" w:line="232" w:lineRule="auto"/>
        <w:tabs>
          <w:tab w:leader="none" w:pos="2591" w:val="left"/>
        </w:tabs>
        <w:numPr>
          <w:ilvl w:val="1"/>
          <w:numId w:val="35"/>
        </w:numPr>
        <w:rPr>
          <w:rFonts w:ascii="Arial" w:cs="Arial" w:eastAsia="Arial" w:hAnsi="Arial"/>
          <w:sz w:val="22"/>
          <w:szCs w:val="22"/>
          <w:color w:val="auto"/>
        </w:rPr>
      </w:pPr>
      <w:r>
        <w:rPr>
          <w:rFonts w:ascii="Arial" w:cs="Arial" w:eastAsia="Arial" w:hAnsi="Arial"/>
          <w:sz w:val="22"/>
          <w:szCs w:val="22"/>
          <w:color w:val="auto"/>
        </w:rPr>
        <w:t>“Term of Employment” shall mean the period specified in Article 2 below (including any extension as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56" w:name="page57"/>
    <w:bookmarkEnd w:id="56"/>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The Term of Employment shall begin on the Effective Date, and shall extend until January 1, 2025 (the “Initial Term”), with automatic one (1) year renewals (each a “Renewal Term”) upon the expiration of the Initial Term or the current Renewal Term, as applicable, unless either Party notifies the other at least three (3) months before the scheduled expiration date of the Initial Term or Renewal Term, as applicable, that this Agreement is not to renew; provided that in the event of a Change in Control the Initial Term or then current Renewal Term shall automatically be extended an additional two (2) years from the date of consummation of such Change in Control (and such two (2) year extension period shall be a “Renewal Term” for purposes of this Agreement. Notwithstanding the foregoing, the Term of Employment may be earlier terminated by either Party in accordance with the provisions of Article 10.</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18"/>
          <w:szCs w:val="18"/>
          <w:b w:val="1"/>
          <w:bCs w:val="1"/>
          <w:u w:val="single" w:color="auto"/>
          <w:color w:val="auto"/>
        </w:rPr>
        <w:t>Position, Duties, and Responsibilities</w:t>
      </w:r>
      <w:r>
        <w:rPr>
          <w:rFonts w:ascii="Arial" w:cs="Arial" w:eastAsia="Arial" w:hAnsi="Arial"/>
          <w:sz w:val="18"/>
          <w:szCs w:val="18"/>
          <w:color w:val="auto"/>
        </w:rPr>
        <w:t>.</w:t>
      </w:r>
    </w:p>
    <w:p>
      <w:pPr>
        <w:spacing w:after="0" w:line="185" w:lineRule="exact"/>
        <w:rPr>
          <w:sz w:val="20"/>
          <w:szCs w:val="20"/>
          <w:color w:val="auto"/>
        </w:rPr>
      </w:pPr>
    </w:p>
    <w:p>
      <w:pPr>
        <w:ind w:left="1300" w:right="40" w:firstLine="652"/>
        <w:spacing w:after="0" w:line="218" w:lineRule="auto"/>
        <w:tabs>
          <w:tab w:leader="none" w:pos="2593" w:val="left"/>
        </w:tabs>
        <w:numPr>
          <w:ilvl w:val="0"/>
          <w:numId w:val="36"/>
        </w:numPr>
        <w:rPr>
          <w:rFonts w:ascii="Arial" w:cs="Arial" w:eastAsia="Arial" w:hAnsi="Arial"/>
          <w:sz w:val="21"/>
          <w:szCs w:val="21"/>
          <w:color w:val="auto"/>
        </w:rPr>
      </w:pPr>
      <w:r>
        <w:rPr>
          <w:rFonts w:ascii="Arial" w:cs="Arial" w:eastAsia="Arial" w:hAnsi="Arial"/>
          <w:sz w:val="21"/>
          <w:szCs w:val="21"/>
          <w:color w:val="auto"/>
        </w:rPr>
        <w:t>During the Term of Employment, the Executive shall serve as Chief Administrative Officer of the Parent and all other direct or indirect operating subsidiaries of the Parent, including the Company, and shall perform such duties consistent with her position as may be assigned to her from time to time by the Chief Executive Officer of the Parent or the Board. At the Parent’s request, the Executive shall serve the Parent, the Company, and/or its Subsidiaries and affiliates in other capacities in addition to the foregoing, consistent with the Executive’s position as Chief Administrative Officer. In the event that the Executive, during the Term of Employment, serves in any one or more of such additional capacities, the Executive’s compensation shall not be increased beyond that specified in Articles 4 through 7 hereof. In addition, in the event the Executive’s service in one or more of such additional capacities is terminated, the Executive’s compensation, as specified in Articles 4 through 7 hereof, shall not be diminished or reduced in any manner as a result of such termination provided that the Executive otherwise remains employed under the terms of this Agreement. During her employment with the Company, the Executive shall devote substantially all of her business time and attention to the business and affairs of the Parent and the Company, as applicable, and shall use her best efforts, skills and abilities to promote its interests.</w:t>
      </w:r>
    </w:p>
    <w:p>
      <w:pPr>
        <w:spacing w:after="0" w:line="169" w:lineRule="exact"/>
        <w:rPr>
          <w:rFonts w:ascii="Arial" w:cs="Arial" w:eastAsia="Arial" w:hAnsi="Arial"/>
          <w:sz w:val="21"/>
          <w:szCs w:val="21"/>
          <w:color w:val="auto"/>
        </w:rPr>
      </w:pPr>
    </w:p>
    <w:p>
      <w:pPr>
        <w:ind w:left="1300" w:firstLine="652"/>
        <w:spacing w:after="0" w:line="221" w:lineRule="auto"/>
        <w:tabs>
          <w:tab w:leader="none" w:pos="2591"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Executive shall be permitted to serve on corporate boards with the Chief Executive Officer’s or Compensation Committee’s advance consent, which shall not be unreasonably withheld. In addition, the Executive may engage in religious, charitable or other community activities as long as such services and activities are disclosed to the Chief Executive Officer or the Compensation Committee and do not individually or in the aggregate interfere with the Executive’s performance of her duties to the Parent and the Company; provided, that if the Executive serves on a board, committee or similar body of any such religious, charitable or community organization or if the Executive engages in teaching, speaking or writing engagements in connection with such activities, the Executive will receive prior written approval from the Chief Executive Officer or the Compensation Committee.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w:t>
      </w:r>
    </w:p>
    <w:p>
      <w:pPr>
        <w:spacing w:after="0" w:line="185" w:lineRule="exact"/>
        <w:rPr>
          <w:sz w:val="20"/>
          <w:szCs w:val="20"/>
          <w:color w:val="auto"/>
        </w:rPr>
      </w:pPr>
    </w:p>
    <w:p>
      <w:pPr>
        <w:ind w:right="220" w:firstLine="648"/>
        <w:spacing w:after="0" w:line="234" w:lineRule="auto"/>
        <w:rPr>
          <w:sz w:val="20"/>
          <w:szCs w:val="20"/>
          <w:color w:val="auto"/>
        </w:rPr>
      </w:pPr>
      <w:r>
        <w:rPr>
          <w:rFonts w:ascii="Arial" w:cs="Arial" w:eastAsia="Arial" w:hAnsi="Arial"/>
          <w:sz w:val="21"/>
          <w:szCs w:val="21"/>
          <w:color w:val="auto"/>
        </w:rPr>
        <w:t>Effective as of January 1, 2022, the Executive shall be paid an annualized Base Salary, payable in accordance with the regular payroll practices of the Company, of not less than seven hundred thousand dollars ($700,000). The Base Salary shall be reviewed annually for increase in the discretion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395" w:right="359" w:bottom="1440" w:gutter="0" w:footer="0" w:header="0"/>
        </w:sectPr>
      </w:pPr>
    </w:p>
    <w:bookmarkStart w:id="57" w:name="page58"/>
    <w:bookmarkEnd w:id="57"/>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u w:val="single" w:color="auto"/>
          <w:color w:val="auto"/>
        </w:rPr>
        <w:t>Annual Incentive Award</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22"/>
          <w:szCs w:val="22"/>
          <w:color w:val="auto"/>
        </w:rPr>
        <w:t>During the Term of Employment, the Executive shall be eligible for an annual incentive award with payout opportunities that are commensurate with her position and duties, as determined by the Compensation Committee in its discretion. Effective as of January 1, 2022, the Executive’s target annual incentive award opportunity will be equal to one hundred percent (100%) of the Executive’s Base Salary (“Target Bonus”). The Executive’s annual incentive award opportunities shall be based on Parent, Company and individual performance goals determined, and subject to change, by the Compensation Committee in its discretion. The Executive shall be paid her annual incentive award no later than other senior executives of the Company are paid their annual incentive award.</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u w:val="single" w:color="auto"/>
          <w:color w:val="auto"/>
        </w:rPr>
        <w:t>Long-Term Incentive Awards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6" w:lineRule="auto"/>
        <w:rPr>
          <w:sz w:val="20"/>
          <w:szCs w:val="20"/>
          <w:color w:val="auto"/>
        </w:rPr>
      </w:pPr>
      <w:r>
        <w:rPr>
          <w:rFonts w:ascii="Arial" w:cs="Arial" w:eastAsia="Arial" w:hAnsi="Arial"/>
          <w:sz w:val="21"/>
          <w:szCs w:val="21"/>
          <w:color w:val="auto"/>
        </w:rPr>
        <w:t>The Executive shall be eligible to participate in the Parent’s long-term incentive plan on terms commensurate with her position and duties, as determined by the Compensation Committee in its discretion. Program design, including but not limited to performance measures and weighting shall be determined by the Compensation Committee in its discretion. Effective as of January 1, 2022, the Compensation Committee will consider setting the Executive’s target annual long-term incentive award opportunity equal to two hundred percent (200%) of the Executive’s Base Salary.</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u w:val="single" w:color="auto"/>
          <w:color w:val="auto"/>
        </w:rPr>
        <w:t>Employee Benefit Programs</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46" w:lineRule="auto"/>
        <w:rPr>
          <w:sz w:val="20"/>
          <w:szCs w:val="20"/>
          <w:color w:val="auto"/>
        </w:rPr>
      </w:pPr>
      <w:r>
        <w:rPr>
          <w:rFonts w:ascii="Arial" w:cs="Arial" w:eastAsia="Arial" w:hAnsi="Arial"/>
          <w:sz w:val="19"/>
          <w:szCs w:val="19"/>
          <w:color w:val="auto"/>
        </w:rPr>
        <w:t>During the Term of Employment, the Executive shall be eligible to participate in any employee benefit plans and programs made available to the Company’s senior-level executives generally, subject to Article 10(f) below, as such plans or programs may be in effect from time to time, including, without limitation, 401(k) savings and other plans or programs, medical, dental, hospitalization, short-term and long-term disability and life insurance plans, accidental death and dismemberment protection, travel accident insurance, and any retirement plans or programs and any other employee welfare benefit plans or programs that may be sponsored by the Company in the future from time to time, including but not limited to any plans that supplement the above-listed types of plans or programs, whether funded or unfunded. Notwithstanding the foregoing, the Company may terminate or alter any particular benefit plan or program at any time in its discretion.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19"/>
          <w:szCs w:val="19"/>
          <w:b w:val="1"/>
          <w:bCs w:val="1"/>
          <w:u w:val="single" w:color="auto"/>
          <w:color w:val="auto"/>
        </w:rPr>
        <w:t>Reimbursement of Business and Other Expenses</w:t>
      </w:r>
      <w:r>
        <w:rPr>
          <w:rFonts w:ascii="Arial" w:cs="Arial" w:eastAsia="Arial" w:hAnsi="Arial"/>
          <w:sz w:val="19"/>
          <w:szCs w:val="19"/>
          <w:color w:val="auto"/>
        </w:rPr>
        <w:t>.</w:t>
      </w:r>
    </w:p>
    <w:p>
      <w:pPr>
        <w:spacing w:after="0" w:line="185" w:lineRule="exact"/>
        <w:rPr>
          <w:sz w:val="20"/>
          <w:szCs w:val="20"/>
          <w:color w:val="auto"/>
        </w:rPr>
      </w:pPr>
    </w:p>
    <w:p>
      <w:pPr>
        <w:ind w:right="480" w:firstLine="648"/>
        <w:spacing w:after="0" w:line="268" w:lineRule="auto"/>
        <w:rPr>
          <w:sz w:val="20"/>
          <w:szCs w:val="20"/>
          <w:color w:val="auto"/>
        </w:rPr>
      </w:pPr>
      <w:r>
        <w:rPr>
          <w:rFonts w:ascii="Arial" w:cs="Arial" w:eastAsia="Arial" w:hAnsi="Arial"/>
          <w:sz w:val="19"/>
          <w:szCs w:val="19"/>
          <w:color w:val="auto"/>
        </w:rPr>
        <w:t>The Executive is authorized to incur reasonable expenses in carrying out her duties and responsibilities under this Agreement and the Company shall promptly reimburse her for all reasonable business expenses incurred in connection with carrying out the business of the Company, subject to documentation in accordance with the Company’s policy.</w:t>
      </w:r>
    </w:p>
    <w:p>
      <w:pPr>
        <w:spacing w:after="0" w:line="13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All reimbursements under Article 8 or otherwise under this Agreement shall be for expenses incurred by the Executive during the Term of Employment. In all events such reimbursement will be made no later than the end of the year following the year in which the expense was incurred. Each provision of reimbursements shall be considered a separate payment and not one of a series of payments for purposes of Section 409A of the Code. In addition, no reimbursement or in-kind benefit shall be subject to liquidation or exchange for another benefit and the amount available for reimbursement, or in-kind benefits provided, during one calendar year in no event will affect the amount of expenses required to be reimbursed or in-kind benefits required to be provided by the Company in any other calendar year.</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19"/>
          <w:szCs w:val="19"/>
          <w:b w:val="1"/>
          <w:bCs w:val="1"/>
          <w:u w:val="single" w:color="auto"/>
          <w:color w:val="auto"/>
        </w:rPr>
        <w:t>This Article Intentionally Left Blank</w:t>
      </w:r>
      <w:r>
        <w:rPr>
          <w:rFonts w:ascii="Arial" w:cs="Arial" w:eastAsia="Arial" w:hAnsi="Arial"/>
          <w:sz w:val="19"/>
          <w:szCs w:val="19"/>
          <w:b w:val="1"/>
          <w:bCs w:val="1"/>
          <w:color w:val="auto"/>
        </w:rPr>
        <w:t>.</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395" w:right="379" w:bottom="1440" w:gutter="0" w:footer="0" w:header="0"/>
        </w:sectPr>
      </w:pPr>
    </w:p>
    <w:bookmarkStart w:id="58" w:name="page59"/>
    <w:bookmarkEnd w:id="58"/>
    <w:p>
      <w:pPr>
        <w:ind w:left="1300" w:right="260" w:firstLine="652"/>
        <w:spacing w:after="0" w:line="298" w:lineRule="auto"/>
        <w:tabs>
          <w:tab w:leader="none" w:pos="2593"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In the event that the Executive’s employment is terminated due to her death, her estate or her beneficiaries, as the case may be, shall be entitled to the following benefits:</w:t>
      </w:r>
    </w:p>
    <w:p>
      <w:pPr>
        <w:spacing w:after="0" w:line="105" w:lineRule="exact"/>
        <w:rPr>
          <w:sz w:val="20"/>
          <w:szCs w:val="20"/>
          <w:color w:val="auto"/>
        </w:rPr>
      </w:pPr>
    </w:p>
    <w:p>
      <w:pPr>
        <w:ind w:left="2600" w:right="280" w:hanging="648"/>
        <w:spacing w:after="0" w:line="257" w:lineRule="auto"/>
        <w:tabs>
          <w:tab w:leader="none" w:pos="2592"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lump-sum amount, paid within sixty (60) days following the Date of Termination, equal to the Executive’s unpaid Base Salary through and including the Date of Termination, and any unreimbursed business expenses incurred prior to the Date of Termination, consistent with the regular payroll practices of the Company (the “Accrued Rights Payment”); and</w:t>
      </w:r>
    </w:p>
    <w:p>
      <w:pPr>
        <w:spacing w:after="0" w:line="144" w:lineRule="exact"/>
        <w:rPr>
          <w:rFonts w:ascii="Arial" w:cs="Arial" w:eastAsia="Arial" w:hAnsi="Arial"/>
          <w:sz w:val="19"/>
          <w:szCs w:val="19"/>
          <w:color w:val="auto"/>
        </w:rPr>
      </w:pPr>
    </w:p>
    <w:p>
      <w:pPr>
        <w:ind w:left="2600" w:right="300" w:hanging="648"/>
        <w:spacing w:after="0" w:line="252" w:lineRule="auto"/>
        <w:tabs>
          <w:tab w:leader="none" w:pos="2599"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of the Executive’s Target Bonus for the calendar year that includes the Date of Termination; provided however, that such amount shall be adjusted on a Pro Rata basis. For the avoidance of doubt, the Target Bonus shall not include any long-term incentive bonus (or any single-year or other applicable portion of an incentive arrangement covering a period in excess of one year).</w:t>
      </w:r>
    </w:p>
    <w:p>
      <w:pPr>
        <w:spacing w:after="0" w:line="149" w:lineRule="exact"/>
        <w:rPr>
          <w:sz w:val="20"/>
          <w:szCs w:val="20"/>
          <w:color w:val="auto"/>
        </w:rPr>
      </w:pPr>
    </w:p>
    <w:p>
      <w:pPr>
        <w:ind w:left="1300" w:right="60" w:firstLine="652"/>
        <w:spacing w:after="0" w:line="214" w:lineRule="auto"/>
        <w:tabs>
          <w:tab w:leader="none" w:pos="2591"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In the event that the Executive’s employment is terminated due to her Disability, and conditioned upon, no later than fifty-nine (59) days after the Date of Termination, the Executive’s (or Executive’s legal representative) execution of an effective Release (with all periods for revocation therein having expired), as well as the Executive’s acknowledgement of, and the Executive’s compliance with, the Executive’s obligations under the restrictive covenants set forth in Articles 11 through 15, she shall be entitled to the following benefits:</w:t>
      </w:r>
    </w:p>
    <w:p>
      <w:pPr>
        <w:spacing w:after="0" w:line="159" w:lineRule="exact"/>
        <w:rPr>
          <w:sz w:val="20"/>
          <w:szCs w:val="20"/>
          <w:color w:val="auto"/>
        </w:rPr>
      </w:pPr>
    </w:p>
    <w:p>
      <w:pPr>
        <w:ind w:left="2600" w:hanging="648"/>
        <w:spacing w:after="0"/>
        <w:tabs>
          <w:tab w:leader="none" w:pos="26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2600" w:right="260" w:hanging="648"/>
        <w:spacing w:after="0" w:line="223" w:lineRule="auto"/>
        <w:tabs>
          <w:tab w:leader="none" w:pos="2599"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provided however, that such amount shall be adjusted on a Pro Rata basis; and</w:t>
      </w:r>
    </w:p>
    <w:p>
      <w:pPr>
        <w:spacing w:after="0" w:line="158" w:lineRule="exact"/>
        <w:rPr>
          <w:rFonts w:ascii="Arial" w:cs="Arial" w:eastAsia="Arial" w:hAnsi="Arial"/>
          <w:sz w:val="22"/>
          <w:szCs w:val="22"/>
          <w:color w:val="auto"/>
        </w:rPr>
      </w:pPr>
    </w:p>
    <w:p>
      <w:pPr>
        <w:ind w:left="2600" w:hanging="648"/>
        <w:spacing w:after="0" w:line="246" w:lineRule="auto"/>
        <w:tabs>
          <w:tab w:leader="none" w:pos="2591"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total premiums the Executive would be required to pay for twelve (12)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“COBRA Payment”). The Executive shall not be required to purchase COBRA continuation coverage in order to receive the COBRA Payment, nor shall the Executive be required to apply the COBRA Payment towards any payment of applicable premiums for COBRA continuation coverage.</w:t>
      </w:r>
    </w:p>
    <w:p>
      <w:pPr>
        <w:spacing w:after="0" w:line="152" w:lineRule="exact"/>
        <w:rPr>
          <w:sz w:val="20"/>
          <w:szCs w:val="20"/>
          <w:color w:val="auto"/>
        </w:rPr>
      </w:pPr>
    </w:p>
    <w:p>
      <w:pPr>
        <w:ind w:right="500" w:firstLine="648"/>
        <w:spacing w:after="0" w:line="247" w:lineRule="auto"/>
        <w:rPr>
          <w:sz w:val="20"/>
          <w:szCs w:val="20"/>
          <w:color w:val="auto"/>
        </w:rPr>
      </w:pPr>
      <w:r>
        <w:rPr>
          <w:rFonts w:ascii="Arial" w:cs="Arial" w:eastAsia="Arial" w:hAnsi="Arial"/>
          <w:sz w:val="21"/>
          <w:szCs w:val="21"/>
          <w:color w:val="auto"/>
        </w:rPr>
        <w:t>In no event shall a termination of the Executive’s employment due to Disability occur until the Party terminating the Executive’s employment gives written notice to the other Party in accordance with Article 25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01" w:right="359" w:bottom="1440" w:gutter="0" w:footer="0" w:header="0"/>
        </w:sectPr>
      </w:pPr>
    </w:p>
    <w:bookmarkStart w:id="59" w:name="page60"/>
    <w:bookmarkEnd w:id="59"/>
    <w:p>
      <w:pPr>
        <w:ind w:left="180" w:right="500" w:firstLine="652"/>
        <w:spacing w:after="0" w:line="232" w:lineRule="auto"/>
        <w:tabs>
          <w:tab w:leader="none" w:pos="1473"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Company terminates the Executive’s employment for Cause, she shall be entitled to the Accrued Rights Payment.</w:t>
      </w:r>
    </w:p>
    <w:p>
      <w:pPr>
        <w:spacing w:after="0" w:line="158" w:lineRule="exact"/>
        <w:rPr>
          <w:rFonts w:ascii="Arial" w:cs="Arial" w:eastAsia="Arial" w:hAnsi="Arial"/>
          <w:sz w:val="22"/>
          <w:szCs w:val="22"/>
          <w:color w:val="auto"/>
        </w:rPr>
      </w:pPr>
    </w:p>
    <w:p>
      <w:pPr>
        <w:ind w:left="180" w:right="40" w:firstLine="652"/>
        <w:spacing w:after="0" w:line="245" w:lineRule="auto"/>
        <w:tabs>
          <w:tab w:leader="none" w:pos="1471"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outside of a Change in Control</w:t>
      </w:r>
      <w:r>
        <w:rPr>
          <w:rFonts w:ascii="Arial" w:cs="Arial" w:eastAsia="Arial" w:hAnsi="Arial"/>
          <w:sz w:val="19"/>
          <w:szCs w:val="19"/>
          <w:color w:val="auto"/>
        </w:rPr>
        <w:t>. In the event the Executive’s employment is terminated by the Company without Cause (i.e., on a basis other than specified in Article 10(a), 10(b) or 10(c), or in the event the Executive’s employment is terminated by the Executive for Good Reason, in either case, at any time other than during the two-year period beginning on the date of a Change in Control,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376" w:lineRule="exact"/>
        <w:rPr>
          <w:sz w:val="20"/>
          <w:szCs w:val="20"/>
          <w:color w:val="auto"/>
        </w:rPr>
      </w:pPr>
    </w:p>
    <w:p>
      <w:pPr>
        <w:ind w:left="1480" w:hanging="648"/>
        <w:spacing w:after="0"/>
        <w:tabs>
          <w:tab w:leader="none" w:pos="14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1480" w:right="60" w:hanging="648"/>
        <w:spacing w:after="0" w:line="223" w:lineRule="auto"/>
        <w:tabs>
          <w:tab w:leader="none" w:pos="1479" w:val="left"/>
        </w:tabs>
        <w:numPr>
          <w:ilvl w:val="0"/>
          <w:numId w:val="42"/>
        </w:numPr>
        <w:rPr>
          <w:rFonts w:ascii="Arial" w:cs="Arial" w:eastAsia="Arial" w:hAnsi="Arial"/>
          <w:sz w:val="22"/>
          <w:szCs w:val="22"/>
          <w:color w:val="auto"/>
        </w:rPr>
      </w:pPr>
      <w:r>
        <w:rPr>
          <w:rFonts w:ascii="Arial" w:cs="Arial" w:eastAsia="Arial" w:hAnsi="Arial"/>
          <w:sz w:val="22"/>
          <w:szCs w:val="22"/>
          <w:color w:val="auto"/>
        </w:rPr>
        <w:t>A lump sum amount paid on the sixtieth (60th) day following the Date of Termination equal to one (1.0) times the sum of (A) the Executive’s Base Salary and (B) the Target Bonus for the calendar year that includes the Date of Termination;</w:t>
      </w:r>
    </w:p>
    <w:p>
      <w:pPr>
        <w:spacing w:after="0" w:line="158" w:lineRule="exact"/>
        <w:rPr>
          <w:rFonts w:ascii="Arial" w:cs="Arial" w:eastAsia="Arial" w:hAnsi="Arial"/>
          <w:sz w:val="22"/>
          <w:szCs w:val="22"/>
          <w:color w:val="auto"/>
        </w:rPr>
      </w:pPr>
    </w:p>
    <w:p>
      <w:pPr>
        <w:ind w:left="1480" w:right="140" w:hanging="648"/>
        <w:spacing w:after="0" w:line="249" w:lineRule="auto"/>
        <w:tabs>
          <w:tab w:leader="none" w:pos="1471"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lump-sum amount, if any, equal to the actual annual incentive that would have been payable to the Executive for the calendar year that includes the Date of Termination based on actual performance against applicable goals if the Executive had remained employed through the end of such calendar year; provided however, that such amount shall be adjusted on a Pro Rata basis and shall be paid at the same time as annual incentive payments for the calendar year that includes the Date of Termination are paid to other senior executives of the Company;</w:t>
      </w:r>
    </w:p>
    <w:p>
      <w:pPr>
        <w:spacing w:after="0" w:line="151" w:lineRule="exact"/>
        <w:rPr>
          <w:rFonts w:ascii="Arial" w:cs="Arial" w:eastAsia="Arial" w:hAnsi="Arial"/>
          <w:sz w:val="19"/>
          <w:szCs w:val="19"/>
          <w:color w:val="auto"/>
        </w:rPr>
      </w:pPr>
    </w:p>
    <w:p>
      <w:pPr>
        <w:jc w:val="both"/>
        <w:ind w:left="1480" w:hanging="648"/>
        <w:spacing w:after="0" w:line="257" w:lineRule="auto"/>
        <w:tabs>
          <w:tab w:leader="none" w:pos="1458"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lump-sum amount, paid on the sixtieth (60th) day following the Date of Termination, equal to the COBRA Payment. The Executive shall not be required to purchase COBRA continuation coverage in order to receive the COBRA Payment, nor shall the Executive be required to apply the COBRA Payment towards any payment of applicable premiums for COBRA continuation coverage; and</w:t>
      </w:r>
    </w:p>
    <w:p>
      <w:pPr>
        <w:spacing w:after="0" w:line="144" w:lineRule="exact"/>
        <w:rPr>
          <w:rFonts w:ascii="Arial" w:cs="Arial" w:eastAsia="Arial" w:hAnsi="Arial"/>
          <w:sz w:val="19"/>
          <w:szCs w:val="19"/>
          <w:color w:val="auto"/>
        </w:rPr>
      </w:pPr>
    </w:p>
    <w:p>
      <w:pPr>
        <w:ind w:left="1480" w:right="60" w:hanging="648"/>
        <w:spacing w:after="0" w:line="224" w:lineRule="auto"/>
        <w:tabs>
          <w:tab w:leader="none" w:pos="1466"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Company will assist the Executive in finding other employment opportunities by providing to her, at the Company’s limited expense, reasonable professional outplacement services through the provider of the Company’s choice. Such outplacement services shall terminate when the Executive finds other employment. However, in no event shall such outplacement services continue for more than twelve (12) months following the Date of Termination or exceed more than $10,000 in the aggregate.</w:t>
      </w:r>
    </w:p>
    <w:p>
      <w:pPr>
        <w:spacing w:after="0" w:line="160" w:lineRule="exact"/>
        <w:rPr>
          <w:sz w:val="20"/>
          <w:szCs w:val="20"/>
          <w:color w:val="auto"/>
        </w:rPr>
      </w:pPr>
    </w:p>
    <w:p>
      <w:pPr>
        <w:jc w:val="both"/>
        <w:ind w:left="180" w:right="440" w:firstLine="652"/>
        <w:spacing w:after="0" w:line="257" w:lineRule="auto"/>
        <w:tabs>
          <w:tab w:leader="none" w:pos="1473"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Termination by Company without Cause or Termination by the Executive for Good Reason in Connection with a Change in Control</w:t>
      </w:r>
      <w:r>
        <w:rPr>
          <w:rFonts w:ascii="Arial" w:cs="Arial" w:eastAsia="Arial" w:hAnsi="Arial"/>
          <w:sz w:val="19"/>
          <w:szCs w:val="19"/>
          <w:color w:val="auto"/>
        </w:rPr>
        <w:t>. If, during the two (2) year period beginning on the date of a Change in Control, the Executive’s employment is terminated by the Company without Cause (i.e., on a basis other than specified in Article 10(a), 10(b) or 10(c)), or the Executive’s employment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080"/>
          </w:cols>
          <w:pgMar w:left="1440" w:top="1401" w:right="379" w:bottom="1440" w:gutter="0" w:footer="0" w:header="0"/>
        </w:sectPr>
      </w:pPr>
    </w:p>
    <w:bookmarkStart w:id="60" w:name="page61"/>
    <w:bookmarkEnd w:id="60"/>
    <w:p>
      <w:pPr>
        <w:ind w:left="180" w:right="220"/>
        <w:spacing w:after="0" w:line="216" w:lineRule="auto"/>
        <w:rPr>
          <w:sz w:val="20"/>
          <w:szCs w:val="20"/>
          <w:color w:val="auto"/>
        </w:rPr>
      </w:pPr>
      <w:r>
        <w:rPr>
          <w:rFonts w:ascii="Arial" w:cs="Arial" w:eastAsia="Arial" w:hAnsi="Arial"/>
          <w:sz w:val="22"/>
          <w:szCs w:val="22"/>
          <w:color w:val="auto"/>
        </w:rPr>
        <w:t>terminated by the Executive for Good Reason, and conditioned upon, no later than fifty-nine (59) days after the Date of Termination, the Executive’s execution of an effective Release (with all periods for revocation therein having expired), as well as the Executive’s acknowledgement of, and the Executive’s compliance with, the Executive’s obligations under the restrictive covenants set forth in Articles 11 through 15, the Executive shall be entitled to the following benefits:</w:t>
      </w:r>
    </w:p>
    <w:p>
      <w:pPr>
        <w:spacing w:after="0" w:line="158" w:lineRule="exact"/>
        <w:rPr>
          <w:sz w:val="20"/>
          <w:szCs w:val="20"/>
          <w:color w:val="auto"/>
        </w:rPr>
      </w:pPr>
    </w:p>
    <w:p>
      <w:pPr>
        <w:ind w:left="1480" w:hanging="648"/>
        <w:spacing w:after="0"/>
        <w:tabs>
          <w:tab w:leader="none" w:pos="14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Accrued Rights Payment;</w:t>
      </w:r>
    </w:p>
    <w:p>
      <w:pPr>
        <w:spacing w:after="0" w:line="179" w:lineRule="exact"/>
        <w:rPr>
          <w:rFonts w:ascii="Arial" w:cs="Arial" w:eastAsia="Arial" w:hAnsi="Arial"/>
          <w:sz w:val="22"/>
          <w:szCs w:val="22"/>
          <w:color w:val="auto"/>
        </w:rPr>
      </w:pPr>
    </w:p>
    <w:p>
      <w:pPr>
        <w:ind w:left="1480" w:right="120" w:hanging="648"/>
        <w:spacing w:after="0" w:line="216" w:lineRule="auto"/>
        <w:tabs>
          <w:tab w:leader="none" w:pos="1479"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two (2.0) times the sum of: (A) the Executive’s Base Salary in effect at the Date of Termination or, if higher, at the date of the Change in Control, and (B) the Target Bonus for the calendar year that includes the Date of Termination or, if higher, the calendar year that includes the Change in Control;</w:t>
      </w:r>
    </w:p>
    <w:p>
      <w:pPr>
        <w:spacing w:after="0" w:line="157" w:lineRule="exact"/>
        <w:rPr>
          <w:rFonts w:ascii="Arial" w:cs="Arial" w:eastAsia="Arial" w:hAnsi="Arial"/>
          <w:sz w:val="22"/>
          <w:szCs w:val="22"/>
          <w:color w:val="auto"/>
        </w:rPr>
      </w:pPr>
    </w:p>
    <w:p>
      <w:pPr>
        <w:ind w:left="1480" w:right="140" w:hanging="648"/>
        <w:spacing w:after="0" w:line="218" w:lineRule="auto"/>
        <w:tabs>
          <w:tab w:leader="none" w:pos="1471"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of the Target Bonus for the calendar year that includes the Date of Termination or, if higher, the calendar year that includes the Change in Control; provided however, that such amount shall be adjusted on a Pro Rata basis; and</w:t>
      </w:r>
    </w:p>
    <w:p>
      <w:pPr>
        <w:spacing w:after="0" w:line="160" w:lineRule="exact"/>
        <w:rPr>
          <w:rFonts w:ascii="Arial" w:cs="Arial" w:eastAsia="Arial" w:hAnsi="Arial"/>
          <w:sz w:val="22"/>
          <w:szCs w:val="22"/>
          <w:color w:val="auto"/>
        </w:rPr>
      </w:pPr>
    </w:p>
    <w:p>
      <w:pPr>
        <w:ind w:left="1480" w:hanging="648"/>
        <w:spacing w:after="0" w:line="211" w:lineRule="auto"/>
        <w:tabs>
          <w:tab w:leader="none" w:pos="145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lump-sum amount, paid on the sixtieth (60th) day following the Date of Termination, equal to the total premiums the Executive would be required to pay for eighteen (18) months of COBRA continuation coverage under the Company’s health benefit plans (i.e., medical, dental and vision coverage), determined using the COBRA premium rate in effect for the level of coverage that the Executive had in place immediately prior to the Executive’s Date of Termination (the “CIC COBRA Payment”). The Executive shall not be required to purchase COBRA continuation coverage in order to receive the CIC COBRA Payment, nor shall the Executive be required to apply the CIC COBRA Payment towards any payment of applicable premiums for COBRA continuation coverage.</w:t>
      </w:r>
    </w:p>
    <w:p>
      <w:pPr>
        <w:spacing w:after="0" w:line="158" w:lineRule="exact"/>
        <w:rPr>
          <w:sz w:val="20"/>
          <w:szCs w:val="20"/>
          <w:color w:val="auto"/>
        </w:rPr>
      </w:pPr>
    </w:p>
    <w:p>
      <w:pPr>
        <w:ind w:left="180" w:right="60" w:firstLine="652"/>
        <w:spacing w:after="0" w:line="241" w:lineRule="auto"/>
        <w:tabs>
          <w:tab w:leader="none" w:pos="147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Indemnification of Legal Fees</w:t>
      </w:r>
      <w:r>
        <w:rPr>
          <w:rFonts w:ascii="Arial" w:cs="Arial" w:eastAsia="Arial" w:hAnsi="Arial"/>
          <w:sz w:val="19"/>
          <w:szCs w:val="19"/>
          <w:color w:val="auto"/>
        </w:rPr>
        <w:t>. Effective only upon a Change in Control, it is the intent of the Company that the Executive not be required to incur the expenses associated with the enforcement of her rights upon and following such a Change in Control under this Agreement by litigation or other legal action because the cost and expense thereof would substantially detract from the benefits intended to be extended to the Executive hereunder upon and following a Change in Control. Accordingly, upon and following a Change in Control, if it should appear to the Executive that the Company has failed to comply with any of its obligations under this Agreement which arose upon or following a Change in Control or in the event that the Company or any other person takes any action to declare this Agreement void or unenforceable, or institutes any litigation designed to deny, or to recover from, the Executive the benefits intended to be provided to the Executive hereunder, the Company irrevocably authorizes the Executive from time to time to retain counsel of her choice, at the expense of the Company as hereafter provided, to represent the Executive in connection with the initiation or defense of any litigation or other legal action, whether by or against the Company, or any Subsidiary, Director, officer, stockholder or other person affiliated with the Company, in any jurisdiction. Notwithstanding any existing or prior attorney-client relationship between the Company and such counsel,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20"/>
          </w:cols>
          <w:pgMar w:left="1440" w:top="1401" w:right="339" w:bottom="1440" w:gutter="0" w:footer="0" w:header="0"/>
        </w:sectPr>
      </w:pPr>
    </w:p>
    <w:bookmarkStart w:id="61" w:name="page62"/>
    <w:bookmarkEnd w:id="61"/>
    <w:p>
      <w:pPr>
        <w:ind w:left="640" w:right="20"/>
        <w:spacing w:after="0" w:line="246" w:lineRule="auto"/>
        <w:rPr>
          <w:sz w:val="20"/>
          <w:szCs w:val="20"/>
          <w:color w:val="auto"/>
        </w:rPr>
      </w:pPr>
      <w:r>
        <w:rPr>
          <w:rFonts w:ascii="Arial" w:cs="Arial" w:eastAsia="Arial" w:hAnsi="Arial"/>
          <w:sz w:val="19"/>
          <w:szCs w:val="19"/>
          <w:color w:val="auto"/>
        </w:rPr>
        <w:t>irrevocably consents to the Executive’s entering into an attorney-client relationship with such counsel, and in that connection the Company and the Executive agree that a confidential relationship shall exist between the Executive and such counsel. Upon and following a Change in Control, the Company shall pay or cause to be paid and shall be solely responsible for any and all reasonable attorneys’ and related fees and expenses incurred by the Executive as a result of the Company’s failure to perform this Agreement or any provision hereof or as a result of the Company or any person contesting the validity or enforceability of this Agreement or any provision hereof as aforesaid, provided any such reimbursement of attorneys’ and related fees and expenses shall be made not later than December 31 of the year following the year in which the Executive incurred the expense.</w:t>
      </w:r>
    </w:p>
    <w:p>
      <w:pPr>
        <w:spacing w:after="0" w:line="152" w:lineRule="exact"/>
        <w:rPr>
          <w:sz w:val="20"/>
          <w:szCs w:val="20"/>
          <w:color w:val="auto"/>
        </w:rPr>
      </w:pPr>
    </w:p>
    <w:p>
      <w:pPr>
        <w:ind w:left="640" w:firstLine="652"/>
        <w:spacing w:after="0" w:line="252" w:lineRule="auto"/>
        <w:tabs>
          <w:tab w:leader="none" w:pos="193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A termination of employment by the Executive on her own initiative, other than a termination due to Disability, death, or a termination for Good Reason, shall have the same consequences as provided in Article 10(c) for a termination for Cause. A voluntary termination under this Article 10(g) shall be effective on the date specified in the Executive’s written notice, unless such voluntary termination is earlier accepted by the Company, such early acceptance still to be treated as a voluntary termination by the Executive.</w:t>
      </w:r>
    </w:p>
    <w:p>
      <w:pPr>
        <w:spacing w:after="0" w:line="148" w:lineRule="exact"/>
        <w:rPr>
          <w:rFonts w:ascii="Arial" w:cs="Arial" w:eastAsia="Arial" w:hAnsi="Arial"/>
          <w:sz w:val="19"/>
          <w:szCs w:val="19"/>
          <w:color w:val="auto"/>
        </w:rPr>
      </w:pPr>
    </w:p>
    <w:p>
      <w:pPr>
        <w:jc w:val="both"/>
        <w:ind w:left="640" w:right="80" w:firstLine="652"/>
        <w:spacing w:after="0" w:line="218" w:lineRule="auto"/>
        <w:tabs>
          <w:tab w:leader="none" w:pos="1931"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No Mitigation; No Offset</w:t>
      </w:r>
      <w:r>
        <w:rPr>
          <w:rFonts w:ascii="Arial" w:cs="Arial" w:eastAsia="Arial" w:hAnsi="Arial"/>
          <w:sz w:val="22"/>
          <w:szCs w:val="22"/>
          <w:color w:val="auto"/>
        </w:rPr>
        <w:t>. In the event of any termination of employment under this Article 10, the Executive shall be under no obligation to seek other employment and there shall be no offset against amounts due the Executive under this Agreement on account of any remuneration attributable to any subsequent employment that she may obtain.</w:t>
      </w:r>
    </w:p>
    <w:p>
      <w:pPr>
        <w:spacing w:after="0" w:line="160" w:lineRule="exact"/>
        <w:rPr>
          <w:rFonts w:ascii="Arial" w:cs="Arial" w:eastAsia="Arial" w:hAnsi="Arial"/>
          <w:sz w:val="22"/>
          <w:szCs w:val="22"/>
          <w:color w:val="auto"/>
        </w:rPr>
      </w:pPr>
    </w:p>
    <w:p>
      <w:pPr>
        <w:ind w:left="640" w:right="860" w:firstLine="652"/>
        <w:spacing w:after="0" w:line="298" w:lineRule="auto"/>
        <w:tabs>
          <w:tab w:leader="none" w:pos="192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Nature of Payments</w:t>
      </w:r>
      <w:r>
        <w:rPr>
          <w:rFonts w:ascii="Arial" w:cs="Arial" w:eastAsia="Arial" w:hAnsi="Arial"/>
          <w:sz w:val="19"/>
          <w:szCs w:val="19"/>
          <w:color w:val="auto"/>
        </w:rPr>
        <w:t>. Any amounts due under this Article 10 are in the nature of severance payments considered to be reasonable by the Company and are not in the nature of a penalty.</w:t>
      </w:r>
    </w:p>
    <w:p>
      <w:pPr>
        <w:spacing w:after="0" w:line="105" w:lineRule="exact"/>
        <w:rPr>
          <w:rFonts w:ascii="Arial" w:cs="Arial" w:eastAsia="Arial" w:hAnsi="Arial"/>
          <w:sz w:val="19"/>
          <w:szCs w:val="19"/>
          <w:color w:val="auto"/>
        </w:rPr>
      </w:pPr>
    </w:p>
    <w:p>
      <w:pPr>
        <w:ind w:left="640" w:right="20" w:firstLine="652"/>
        <w:spacing w:after="0" w:line="244" w:lineRule="auto"/>
        <w:tabs>
          <w:tab w:leader="none" w:pos="192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Notwithstanding any provision in this Agreement to the contrary, if the Executive is a “specified employee” (within the meaning of Treasury Regulation Section 1.409A-1(i) and using the identification methodology selected by the Company from time to time) on the Date of Termination, to the extent payments or benefits made hereunder (as well as any other payment or benefit that the Executive is entitled to receive upon her separation from service) constitute deferred compensation (after taking account any applicable exceptions under Section 409A of the Code), and to the extent required by Section 409A of the Code, payments or benefits payable upon separation from service which otherwise would be payable during the six (6) month period immediately following the Date of Termination will instead be paid or made available on the earlier of (i) the first day following the six (6) month anniversary of the Executive’s Date of Termination and (ii) the Executive’s death.</w:t>
      </w:r>
    </w:p>
    <w:p>
      <w:pPr>
        <w:spacing w:after="0" w:line="160" w:lineRule="exact"/>
        <w:rPr>
          <w:rFonts w:ascii="Arial" w:cs="Arial" w:eastAsia="Arial" w:hAnsi="Arial"/>
          <w:sz w:val="19"/>
          <w:szCs w:val="19"/>
          <w:color w:val="auto"/>
        </w:rPr>
      </w:pPr>
    </w:p>
    <w:p>
      <w:pPr>
        <w:ind w:left="640" w:right="260" w:firstLine="652"/>
        <w:spacing w:after="0" w:line="298" w:lineRule="auto"/>
        <w:tabs>
          <w:tab w:leader="none" w:pos="193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Accrued Rights</w:t>
      </w:r>
      <w:r>
        <w:rPr>
          <w:rFonts w:ascii="Arial" w:cs="Arial" w:eastAsia="Arial" w:hAnsi="Arial"/>
          <w:sz w:val="19"/>
          <w:szCs w:val="19"/>
          <w:color w:val="auto"/>
        </w:rPr>
        <w:t>. For the avoidance of doubt, notwithstanding anything herein to the contrary, the Accrued Rights Payment shall not be subject to any requirement that the Executive execute a Release.</w:t>
      </w:r>
    </w:p>
    <w:p>
      <w:pPr>
        <w:spacing w:after="0" w:line="9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w:t>
      </w:r>
    </w:p>
    <w:p>
      <w:pPr>
        <w:spacing w:after="0" w:line="185" w:lineRule="exact"/>
        <w:rPr>
          <w:sz w:val="20"/>
          <w:szCs w:val="20"/>
          <w:color w:val="auto"/>
        </w:rPr>
      </w:pPr>
    </w:p>
    <w:p>
      <w:pPr>
        <w:jc w:val="both"/>
        <w:ind w:left="640" w:right="120" w:firstLine="652"/>
        <w:spacing w:after="0" w:line="223" w:lineRule="auto"/>
        <w:tabs>
          <w:tab w:leader="none" w:pos="193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Executive agrees that, during the Executive’s employment with the Company and for a period of twelve (12) months following the termination of such employment, whether termination is by the Executive or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60"/>
          </w:cols>
          <w:pgMar w:left="980" w:top="1401" w:right="359" w:bottom="1440" w:gutter="0" w:footer="0" w:header="0"/>
        </w:sectPr>
      </w:pPr>
    </w:p>
    <w:bookmarkStart w:id="62" w:name="page63"/>
    <w:bookmarkEnd w:id="62"/>
    <w:p>
      <w:pPr>
        <w:ind w:left="1300" w:right="20"/>
        <w:spacing w:after="0" w:line="244" w:lineRule="auto"/>
        <w:rPr>
          <w:sz w:val="20"/>
          <w:szCs w:val="20"/>
          <w:color w:val="auto"/>
        </w:rPr>
      </w:pPr>
      <w:r>
        <w:rPr>
          <w:rFonts w:ascii="Arial" w:cs="Arial" w:eastAsia="Arial" w:hAnsi="Arial"/>
          <w:sz w:val="19"/>
          <w:szCs w:val="19"/>
          <w:color w:val="auto"/>
        </w:rPr>
        <w:t>regardless of the reasons therefor, the Executive shall not serve as an employee, agent, partner, shareholder, owner, investor, director, consultant, or other service provider for, or participate, engage, prepare to engage, or have any financial or other interest (whether directly or indirectly, and whether alone or together or in concert with any other Person(s)), in the business of or any activity relating to competitive gaming (including, without limitation, casino operation and horseracing) (any such business or activity, a “Competitive Business”), in any case, in any location where the Parent or any of its Subsidiaries or affiliates (including the Company) is engaged in at the time of the Executive’s applicable action or activity (or, if earlier, at the time of the termination of the Executive’s employment with the Company and its Subsidiaries); provided, however, that notwithstanding anything to the contrary contained in this Agreement, the Executive may own up to five percent (5%) of the outstanding shares of the capital stock of a company whose securities are registered under Section 12 of the Exchange Act.</w:t>
      </w:r>
    </w:p>
    <w:p>
      <w:pPr>
        <w:spacing w:after="0" w:line="155" w:lineRule="exact"/>
        <w:rPr>
          <w:sz w:val="20"/>
          <w:szCs w:val="20"/>
          <w:color w:val="auto"/>
        </w:rPr>
      </w:pPr>
    </w:p>
    <w:p>
      <w:pPr>
        <w:ind w:left="1300" w:firstLine="652"/>
        <w:spacing w:after="0" w:line="249" w:lineRule="auto"/>
        <w:tabs>
          <w:tab w:leader="none" w:pos="2591"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Executive further acknowledges and agrees that, in the event of the termination of her employment with the Company, the Executive’s experience and capabilities are such that the Executive can obtain employment in business activities which do not compete with the Parent or the Company, and that the enforcement of this Agreement by way of injunction shall not prevent the Executive from earning a reasonable livelihood. The Executive further acknowledges and agrees that the covenants contained herein are necessary for the protection of the Parent and the Company’s legitimate business interests and are reasonable in scope and duration.</w:t>
      </w:r>
    </w:p>
    <w:p>
      <w:pPr>
        <w:spacing w:after="0" w:line="151" w:lineRule="exact"/>
        <w:rPr>
          <w:rFonts w:ascii="Arial" w:cs="Arial" w:eastAsia="Arial" w:hAnsi="Arial"/>
          <w:sz w:val="19"/>
          <w:szCs w:val="19"/>
          <w:color w:val="auto"/>
        </w:rPr>
      </w:pPr>
    </w:p>
    <w:p>
      <w:pPr>
        <w:ind w:left="1300" w:right="20" w:firstLine="652"/>
        <w:spacing w:after="0" w:line="212" w:lineRule="auto"/>
        <w:tabs>
          <w:tab w:leader="none" w:pos="259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Executive further acknowledges and agrees that the noncompetition provision does not restrict the Executive’s ability to provide a service to a former customer or client if each of the following are true: (i) the Executive did not solicit the former customer or client; (ii) the customer or client voluntarily left and sought the Executive’s services; and (iii) the Executive has otherwise complied with the noncompetition’s provisions regarding time, geographic area, and scope of restrained activity, other than any limitation on providing services to a former customer or client who seeks the services of the Executive without any contact instigated by the Executive.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The Executive agrees that during her employment with the Company and for a period of twelve (12) months following the termination of such employment, whether termination is by the Executive or by the Company, regardless of the reasons therefor, the Executive, except on behalf of or for the benefit of the Parent or the Company while employed, will not directly or indirectly,</w:t>
      </w:r>
    </w:p>
    <w:p>
      <w:pPr>
        <w:spacing w:after="0" w:line="2" w:lineRule="exact"/>
        <w:rPr>
          <w:sz w:val="20"/>
          <w:szCs w:val="20"/>
          <w:color w:val="auto"/>
        </w:rPr>
      </w:pPr>
    </w:p>
    <w:p>
      <w:pPr>
        <w:ind w:right="40" w:firstLine="8"/>
        <w:spacing w:after="0" w:line="222" w:lineRule="auto"/>
        <w:tabs>
          <w:tab w:leader="none" w:pos="294" w:val="left"/>
        </w:tabs>
        <w:numPr>
          <w:ilvl w:val="0"/>
          <w:numId w:val="49"/>
        </w:numPr>
        <w:rPr>
          <w:rFonts w:ascii="Arial" w:cs="Arial" w:eastAsia="Arial" w:hAnsi="Arial"/>
          <w:sz w:val="21"/>
          <w:szCs w:val="21"/>
          <w:color w:val="auto"/>
        </w:rPr>
      </w:pPr>
      <w:r>
        <w:rPr>
          <w:rFonts w:ascii="Arial" w:cs="Arial" w:eastAsia="Arial" w:hAnsi="Arial"/>
          <w:sz w:val="21"/>
          <w:szCs w:val="21"/>
          <w:color w:val="auto"/>
        </w:rPr>
        <w:t>employ or retain or solicit for employment or arrange to have any other person, firm, or other entity employ or retain or solicit for employment or otherwise participate in the employment or retention of any person who is an employee or consultant of the Parent or any of its Subsidiaries or affiliates (including the Company); or (b) solicit suppliers or customers of the Parent or any of its Subsidiaries or affiliates (including the Company) or induce any such person to terminate his, her, or its relationship with the Parent or any of its Subsidiaries or affiliates (including the Company).</w:t>
      </w:r>
    </w:p>
    <w:p>
      <w:pPr>
        <w:spacing w:after="0" w:line="161"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In the event that the scopes of the restrictions in Article 11 or 12 are found overly broad, Executive agrees that a court should reform the restrictions by limiting them to the maximum reasonable scope.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13.</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63" w:name="page64"/>
    <w:bookmarkEnd w:id="63"/>
    <w:p>
      <w:pPr>
        <w:ind w:left="1300" w:right="20" w:firstLine="652"/>
        <w:spacing w:after="0" w:line="247" w:lineRule="auto"/>
        <w:tabs>
          <w:tab w:leader="none" w:pos="2593"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has advised the Executive and the Executive acknowledges that it is the policy of the Company to maintain as secret and confidential all Protected Information, and that Protected Information has been and will be developed at substantial cost and effort to the Company. The Executive shall not at any time, directly or indirectly, divulge, furnish, or make accessible to any person, firm, corporation, association, or other entity (otherwise than as may be required in the regular course of the Executive’s employment), nor use in any manner, either during the Executive’s employment or after termination for any reason, any Protected Information, or cause any such Protected Information to enter the public domain.</w:t>
      </w:r>
    </w:p>
    <w:p>
      <w:pPr>
        <w:spacing w:after="0" w:line="153" w:lineRule="exact"/>
        <w:rPr>
          <w:rFonts w:ascii="Arial" w:cs="Arial" w:eastAsia="Arial" w:hAnsi="Arial"/>
          <w:sz w:val="19"/>
          <w:szCs w:val="19"/>
          <w:color w:val="auto"/>
        </w:rPr>
      </w:pPr>
    </w:p>
    <w:p>
      <w:pPr>
        <w:ind w:left="1300" w:firstLine="652"/>
        <w:spacing w:after="0"/>
        <w:tabs>
          <w:tab w:leader="none" w:pos="2591"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will preclude, prohibit or restrict the Executive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the Executive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 Nothing in this Agreement or any other agreement or policy of the Parent or the Company is intended to interfere with or restrain the immunity provided under 18 U.S.C. §1833(b). The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and, if any laws are adopted, amended or repealed after the execution of this Agreement, this Article 13(b) shall be deemed to be amended to reflect the same.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14.</w:t>
      </w:r>
      <w:r>
        <w:rPr>
          <w:sz w:val="20"/>
          <w:szCs w:val="20"/>
          <w:color w:val="auto"/>
        </w:rPr>
        <w:tab/>
      </w: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w:t>
      </w:r>
    </w:p>
    <w:p>
      <w:pPr>
        <w:spacing w:after="0" w:line="185" w:lineRule="exact"/>
        <w:rPr>
          <w:sz w:val="20"/>
          <w:szCs w:val="20"/>
          <w:color w:val="auto"/>
        </w:rPr>
      </w:pPr>
    </w:p>
    <w:p>
      <w:pPr>
        <w:ind w:right="240" w:firstLine="648"/>
        <w:spacing w:after="0" w:line="234" w:lineRule="auto"/>
        <w:rPr>
          <w:sz w:val="20"/>
          <w:szCs w:val="20"/>
          <w:color w:val="auto"/>
        </w:rPr>
      </w:pPr>
      <w:r>
        <w:rPr>
          <w:rFonts w:ascii="Arial" w:cs="Arial" w:eastAsia="Arial" w:hAnsi="Arial"/>
          <w:sz w:val="21"/>
          <w:szCs w:val="21"/>
          <w:color w:val="auto"/>
        </w:rPr>
        <w:t>The Executive covenants and agrees that for the longest period legally enforceable, she shall not disparage the image or reputation of the Parent or any of its respective subsidiaries or affiliates (including the Company) and their directors, officers, senior management employees and professional employees, business, or reputation.</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15.</w:t>
      </w:r>
      <w:r>
        <w:rPr>
          <w:sz w:val="20"/>
          <w:szCs w:val="20"/>
          <w:color w:val="auto"/>
        </w:rPr>
        <w:tab/>
      </w:r>
      <w:r>
        <w:rPr>
          <w:rFonts w:ascii="Arial" w:cs="Arial" w:eastAsia="Arial" w:hAnsi="Arial"/>
          <w:sz w:val="19"/>
          <w:szCs w:val="19"/>
          <w:b w:val="1"/>
          <w:bCs w:val="1"/>
          <w:u w:val="single" w:color="auto"/>
          <w:color w:val="auto"/>
        </w:rPr>
        <w:t>Litigation and Regulatory Cooperation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4" w:name="page65"/>
    <w:bookmarkEnd w:id="64"/>
    <w:p>
      <w:pPr>
        <w:ind w:right="60" w:firstLine="648"/>
        <w:spacing w:after="0" w:line="219" w:lineRule="auto"/>
        <w:rPr>
          <w:sz w:val="20"/>
          <w:szCs w:val="20"/>
          <w:color w:val="auto"/>
        </w:rPr>
      </w:pPr>
      <w:r>
        <w:rPr>
          <w:rFonts w:ascii="Arial" w:cs="Arial" w:eastAsia="Arial" w:hAnsi="Arial"/>
          <w:sz w:val="21"/>
          <w:szCs w:val="21"/>
          <w:color w:val="auto"/>
        </w:rPr>
        <w:t>During and after the Executive’s employment, the Executive shall cooperate fully with the Company in (i) the defense or prosecution of any claims or actions now in existence or which may be brought in the future against or on behalf of the Parent or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Parent or the Company at mutually convenient times. During and after the Executive’s employment, the Executive also shall cooperate fully with the Parent or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documented out-of-pocket expenses incurred in connection with the Executive’s performance of obligations pursuant to this Article 15.</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16.</w:t>
      </w:r>
      <w:r>
        <w:rPr>
          <w:sz w:val="20"/>
          <w:szCs w:val="20"/>
          <w:color w:val="auto"/>
        </w:rPr>
        <w:tab/>
      </w:r>
      <w:r>
        <w:rPr>
          <w:rFonts w:ascii="Arial" w:cs="Arial" w:eastAsia="Arial" w:hAnsi="Arial"/>
          <w:sz w:val="18"/>
          <w:szCs w:val="18"/>
          <w:b w:val="1"/>
          <w:bCs w:val="1"/>
          <w:u w:val="single" w:color="auto"/>
          <w:color w:val="auto"/>
        </w:rPr>
        <w:t>Resolution of Disputes</w:t>
      </w:r>
      <w:r>
        <w:rPr>
          <w:rFonts w:ascii="Arial" w:cs="Arial" w:eastAsia="Arial" w:hAnsi="Arial"/>
          <w:sz w:val="18"/>
          <w:szCs w:val="18"/>
          <w:color w:val="auto"/>
        </w:rPr>
        <w:t>.</w:t>
      </w:r>
    </w:p>
    <w:p>
      <w:pPr>
        <w:spacing w:after="0" w:line="185" w:lineRule="exact"/>
        <w:rPr>
          <w:sz w:val="20"/>
          <w:szCs w:val="20"/>
          <w:color w:val="auto"/>
        </w:rPr>
      </w:pPr>
    </w:p>
    <w:p>
      <w:pPr>
        <w:ind w:firstLine="648"/>
        <w:spacing w:after="0" w:line="243" w:lineRule="auto"/>
        <w:rPr>
          <w:sz w:val="20"/>
          <w:szCs w:val="20"/>
          <w:color w:val="auto"/>
        </w:rPr>
      </w:pPr>
      <w:r>
        <w:rPr>
          <w:rFonts w:ascii="Arial" w:cs="Arial" w:eastAsia="Arial" w:hAnsi="Arial"/>
          <w:sz w:val="19"/>
          <w:szCs w:val="19"/>
          <w:color w:val="auto"/>
        </w:rPr>
        <w:t>Any disputes, controversy, or claim arising under or in connection with this Agreement or any breach of this Agreement shall be resolved by third party mediation of the dispute and, failing that, by binding arbitration, to be held in Reno, Nevada, in accordance with the rules and procedures of the American Arbitration Association. Judgment upon the award rendered by the arbitrator(s) may be entered in any court having jurisdiction thereof. Any arbitral award determination shall be final and binding. The Company will pay the direct costs and expenses of such arbitration. The Company will also reimburse the Executive for reasonable fees and expenses, including reasonable attorney’s fees, incurred by the Executive in connection with such arbitration, such reimbursement to be made monthly as such fees and expenses are incurred. In the event the Executive does not prevail at arbitration, however, the Executive will re-pay to the Company any and all expenses and fees previously reimbursed by the Company under this Article 16. The Parties understand and fully agree that they are giving up their constitutional right to have a trial by jury, and are giving up their normal rights of appeal following the issuance of the arbitrator’s award except as applicable law provides for judicial review of arbitration proceedings.</w:t>
      </w:r>
    </w:p>
    <w:p>
      <w:pPr>
        <w:spacing w:after="0" w:line="159" w:lineRule="exact"/>
        <w:rPr>
          <w:sz w:val="20"/>
          <w:szCs w:val="20"/>
          <w:color w:val="auto"/>
        </w:rPr>
      </w:pPr>
    </w:p>
    <w:p>
      <w:pPr>
        <w:ind w:right="20" w:firstLine="648"/>
        <w:spacing w:after="0" w:line="241" w:lineRule="auto"/>
        <w:rPr>
          <w:sz w:val="20"/>
          <w:szCs w:val="20"/>
          <w:color w:val="auto"/>
        </w:rPr>
      </w:pPr>
      <w:r>
        <w:rPr>
          <w:rFonts w:ascii="Arial" w:cs="Arial" w:eastAsia="Arial" w:hAnsi="Arial"/>
          <w:sz w:val="19"/>
          <w:szCs w:val="19"/>
          <w:color w:val="auto"/>
        </w:rPr>
        <w:t>Notwithstanding the provisions of this Article 16, the Parties agree that in the event of any dispute between the Executive and the Company as to any of the Executive’s obligations under Articles 11, 12, 13, 14, or 15 then the arbitration requirements of this Article 16 shall not apply, and that instead, the Parties must seek relief as to that dispute in a court of general jurisdiction in the State of Nevada to be docketed, if available, on the commercial docket of that court. The Parties hereby consent to the exclusive specific and general jurisdiction of such court. The Executive hereby agrees that, by virtue of her work for the Company, she has purposely availed herself of the benefits and protections of the laws of the State of Nevada. Likewise, the arbitration requirements of this Article 16 shall not apply to (i) claims for workers’ compensation benefits, (ii) claims for unemployment compensation benefits, (iii) whistleblower retaliation claims under the Sarbanes-Oxley Act or the Dodd-Frank Act that cannot be arbitrated as a matter of law; (iv) administrative charges for unfair labor practices brought before the National Labor Relations Board, (v) administrative charges brought before the Equal Employment Opportunity Commission or other similar administrative agency, or (vi) any other claims that, as a matter of law, the Parties cannot agree to arbitrate. In addition, in connection with any such court action, the Executive acknowledges and agrees that the remedy at law available to the Company for breach by the Executive of any of her obligations under Articles 11, 12, 13, 14 or 15 of this Agreement would be inadequate and that damages flowing from such a breach would not readily be susceptible to being measured in monetary terms. Accordingly, the Executive acknowledges, consents and agrees that, in addition to any other rights or remedies which the Company may have at law, in equity or under this Agreement, upon adequate proof of the Executive’s violation of any provision of Articles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01" w:right="379" w:bottom="1440" w:gutter="0" w:footer="0" w:header="0"/>
        </w:sectPr>
      </w:pPr>
    </w:p>
    <w:bookmarkStart w:id="65" w:name="page66"/>
    <w:bookmarkEnd w:id="65"/>
    <w:p>
      <w:pPr>
        <w:spacing w:after="0" w:line="177" w:lineRule="exact"/>
        <w:rPr>
          <w:sz w:val="20"/>
          <w:szCs w:val="20"/>
          <w:color w:val="auto"/>
        </w:rPr>
      </w:pPr>
    </w:p>
    <w:p>
      <w:pPr>
        <w:ind w:right="200"/>
        <w:spacing w:after="0" w:line="218" w:lineRule="auto"/>
        <w:rPr>
          <w:sz w:val="20"/>
          <w:szCs w:val="20"/>
          <w:color w:val="auto"/>
        </w:rPr>
      </w:pPr>
      <w:r>
        <w:rPr>
          <w:rFonts w:ascii="Arial" w:cs="Arial" w:eastAsia="Arial" w:hAnsi="Arial"/>
          <w:sz w:val="22"/>
          <w:szCs w:val="22"/>
          <w:color w:val="auto"/>
        </w:rPr>
        <w:t>12, 13, 14 or 15 of this Agreement, the Company shall be entitled to immediate injunctive relief and may obtain a temporary order restraining any threatened or further breach, without the necessity of proof of actual damage. For purposes of clarity, each Party shall bear her or its own costs and expenses in connection with any such litigation, unless such costs and expenses are awarded to a Party by the court in such litigation.</w:t>
      </w:r>
    </w:p>
    <w:p>
      <w:pPr>
        <w:spacing w:after="0" w:line="161"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By executing this Agreement, the Parties represent that they have been given the opportunity to fully review the terms of this Agreement. The Executive acknowledges and agrees that the Executive has had an opportunity to ask questions and consult with an attorney of the Executive’s choice before signing this Agreement. The Parties understand the terms of this Agreement and freely and voluntarily sign this Agreement. </w:t>
      </w:r>
      <w:r>
        <w:rPr>
          <w:rFonts w:ascii="Arial" w:cs="Arial" w:eastAsia="Arial" w:hAnsi="Arial"/>
          <w:sz w:val="19"/>
          <w:szCs w:val="19"/>
          <w:b w:val="1"/>
          <w:bCs w:val="1"/>
          <w:color w:val="auto"/>
        </w:rPr>
        <w:t>THE PARTIES FULLY UNDERSTAND AND AGREE THAT THEY ARE</w:t>
      </w:r>
    </w:p>
    <w:p>
      <w:pPr>
        <w:spacing w:after="0" w:line="1" w:lineRule="exact"/>
        <w:rPr>
          <w:sz w:val="20"/>
          <w:szCs w:val="20"/>
          <w:color w:val="auto"/>
        </w:rPr>
      </w:pPr>
    </w:p>
    <w:p>
      <w:pPr>
        <w:ind w:right="160"/>
        <w:spacing w:after="0" w:line="224" w:lineRule="auto"/>
        <w:rPr>
          <w:sz w:val="20"/>
          <w:szCs w:val="20"/>
          <w:color w:val="auto"/>
        </w:rPr>
      </w:pPr>
      <w:r>
        <w:rPr>
          <w:rFonts w:ascii="Arial" w:cs="Arial" w:eastAsia="Arial" w:hAnsi="Arial"/>
          <w:sz w:val="22"/>
          <w:szCs w:val="22"/>
          <w:b w:val="1"/>
          <w:bCs w:val="1"/>
          <w:color w:val="auto"/>
        </w:rPr>
        <w:t>GIVING UP CERTAIN RIGHTS OTHERWISE AFFORDED TO THEM BY CIVIL COURT ACTIONS, INCLUDING BUT NOT LIMITED TO THE RIGHT TO A JURY OR COURT TRIAL</w:t>
      </w:r>
      <w:r>
        <w:rPr>
          <w:rFonts w:ascii="Arial" w:cs="Arial" w:eastAsia="Arial" w:hAnsi="Arial"/>
          <w:sz w:val="22"/>
          <w:szCs w:val="22"/>
          <w:color w:val="auto"/>
        </w:rPr>
        <w: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17.</w:t>
      </w:r>
      <w:r>
        <w:rPr>
          <w:sz w:val="20"/>
          <w:szCs w:val="20"/>
          <w:color w:val="auto"/>
        </w:rPr>
        <w:tab/>
      </w:r>
      <w:r>
        <w:rPr>
          <w:rFonts w:ascii="Arial" w:cs="Arial" w:eastAsia="Arial" w:hAnsi="Arial"/>
          <w:sz w:val="19"/>
          <w:szCs w:val="19"/>
          <w:b w:val="1"/>
          <w:bCs w:val="1"/>
          <w:u w:val="single" w:color="auto"/>
          <w:color w:val="auto"/>
        </w:rPr>
        <w:t>Assignability; Binding Nature</w:t>
      </w:r>
      <w:r>
        <w:rPr>
          <w:rFonts w:ascii="Arial" w:cs="Arial" w:eastAsia="Arial" w:hAnsi="Arial"/>
          <w:sz w:val="19"/>
          <w:szCs w:val="19"/>
          <w:color w:val="auto"/>
        </w:rPr>
        <w:t>.</w:t>
      </w:r>
    </w:p>
    <w:p>
      <w:pPr>
        <w:spacing w:after="0" w:line="185"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This Agreement shall be binding upon and inure to the benefit of the Company and any successor to the Company, including without limitation any persons acquiring directly or indirectly all or substantially all of the business and/or assets of the Company, whether by purchase, merger, consolidation, reorganization or otherwise (and such successor shall thereafter be deemed the “Company” for the purposes of this Agreement), but shall not otherwise be assignable, transferable or delegable by the Company.</w:t>
      </w:r>
    </w:p>
    <w:p>
      <w:pPr>
        <w:spacing w:after="0" w:line="158" w:lineRule="exact"/>
        <w:rPr>
          <w:sz w:val="20"/>
          <w:szCs w:val="20"/>
          <w:color w:val="auto"/>
        </w:rPr>
      </w:pPr>
    </w:p>
    <w:p>
      <w:pPr>
        <w:ind w:right="40" w:firstLine="648"/>
        <w:spacing w:after="0" w:line="242" w:lineRule="auto"/>
        <w:rPr>
          <w:sz w:val="20"/>
          <w:szCs w:val="20"/>
          <w:color w:val="auto"/>
        </w:rPr>
      </w:pPr>
      <w:r>
        <w:rPr>
          <w:rFonts w:ascii="Arial" w:cs="Arial" w:eastAsia="Arial" w:hAnsi="Arial"/>
          <w:sz w:val="19"/>
          <w:szCs w:val="19"/>
          <w:color w:val="auto"/>
        </w:rPr>
        <w:t>The Company shall require any successor (whether direct or indirect, by purchase, merger, consolidation, reorganization or otherwise) to all or substantially all of the business and/or assets of the Company, by agreement in form and substance satisfactory to the Executive, expressly to assume and agree to perform this Agreement in the same manner and to the same extent the Company would be required to perform if no such succession had taken place. No rights or obligations of the Executive under this Agreement may be assigned or transferred by the Executive other than her rights to compensation and benefits, which may be transferred only by will or operation of law. This Agreement shall inure to the benefit of and be enforceable by the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Article 17 hereof. Without limiting the generality of the foregoing, the Executive’s right to receive payments hereunder shall not be assignable, transferable or delegable, whether by pledge, creation of a security interest or otherwise, other than by a transfer by her will or by the laws of descent and distribution and, in the event of any attempted assignment or transfer contrary to this Article 17, the Company shall have no liability to pay any amount so attempted to be assigned, transferred or delegated.</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18.</w:t>
      </w:r>
      <w:r>
        <w:rPr>
          <w:sz w:val="20"/>
          <w:szCs w:val="20"/>
          <w:color w:val="auto"/>
        </w:rPr>
        <w:tab/>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This Agreement contains the entire understanding and agreement between the Parties concerning the subject matter hereof and supersedes all prior agreements, understandings, discussions, negotiations and undertakings, whether written or oral, between the Parties with respect thereto, including without limitation the Prior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19.</w:t>
      </w:r>
      <w:r>
        <w:rPr>
          <w:sz w:val="20"/>
          <w:szCs w:val="20"/>
          <w:color w:val="auto"/>
        </w:rPr>
        <w:tab/>
      </w:r>
      <w:r>
        <w:rPr>
          <w:rFonts w:ascii="Arial" w:cs="Arial" w:eastAsia="Arial" w:hAnsi="Arial"/>
          <w:sz w:val="19"/>
          <w:szCs w:val="19"/>
          <w:b w:val="1"/>
          <w:bCs w:val="1"/>
          <w:u w:val="single" w:color="auto"/>
          <w:color w:val="auto"/>
        </w:rPr>
        <w:t>Amendment or Waiver</w:t>
      </w:r>
      <w:r>
        <w:rPr>
          <w:rFonts w:ascii="Arial" w:cs="Arial" w:eastAsia="Arial" w:hAnsi="Arial"/>
          <w:sz w:val="19"/>
          <w:szCs w:val="19"/>
          <w:color w:val="auto"/>
        </w:rPr>
        <w:t>.</w:t>
      </w:r>
    </w:p>
    <w:p>
      <w:pPr>
        <w:spacing w:after="0" w:line="185" w:lineRule="exact"/>
        <w:rPr>
          <w:sz w:val="20"/>
          <w:szCs w:val="20"/>
          <w:color w:val="auto"/>
        </w:rPr>
      </w:pPr>
    </w:p>
    <w:p>
      <w:pPr>
        <w:ind w:right="80" w:firstLine="648"/>
        <w:spacing w:after="0" w:line="223" w:lineRule="auto"/>
        <w:rPr>
          <w:sz w:val="20"/>
          <w:szCs w:val="20"/>
          <w:color w:val="auto"/>
        </w:rPr>
      </w:pPr>
      <w:r>
        <w:rPr>
          <w:rFonts w:ascii="Arial" w:cs="Arial" w:eastAsia="Arial" w:hAnsi="Arial"/>
          <w:sz w:val="22"/>
          <w:szCs w:val="22"/>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7" w:lineRule="exact"/>
        <w:rPr>
          <w:sz w:val="20"/>
          <w:szCs w:val="20"/>
          <w:color w:val="auto"/>
        </w:rPr>
      </w:pPr>
    </w:p>
    <w:p>
      <w:pPr>
        <w:ind w:right="80"/>
        <w:spacing w:after="0" w:line="223" w:lineRule="auto"/>
        <w:rPr>
          <w:sz w:val="20"/>
          <w:szCs w:val="20"/>
          <w:color w:val="auto"/>
        </w:rPr>
      </w:pPr>
      <w:r>
        <w:rPr>
          <w:rFonts w:ascii="Arial" w:cs="Arial" w:eastAsia="Arial" w:hAnsi="Arial"/>
          <w:sz w:val="22"/>
          <w:szCs w:val="22"/>
          <w:color w:val="auto"/>
        </w:rPr>
        <w:t>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20.</w:t>
      </w:r>
      <w:r>
        <w:rPr>
          <w:sz w:val="20"/>
          <w:szCs w:val="20"/>
          <w:color w:val="auto"/>
        </w:rPr>
        <w:tab/>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Company may withhold from any amounts payable under this Agreement all federal, state, city, or other taxes as shall be required pursuant to any law or government regulation or ruling.</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21.</w:t>
      </w:r>
      <w:r>
        <w:rPr>
          <w:sz w:val="20"/>
          <w:szCs w:val="20"/>
          <w:color w:val="auto"/>
        </w:rPr>
        <w:tab/>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34" w:lineRule="auto"/>
        <w:rPr>
          <w:sz w:val="20"/>
          <w:szCs w:val="20"/>
          <w:color w:val="auto"/>
        </w:rPr>
      </w:pPr>
      <w:r>
        <w:rPr>
          <w:rFonts w:ascii="Arial" w:cs="Arial" w:eastAsia="Arial" w:hAnsi="Arial"/>
          <w:sz w:val="21"/>
          <w:szCs w:val="21"/>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so as to achieve the purposes of this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22.</w:t>
      </w:r>
      <w:r>
        <w:rPr>
          <w:sz w:val="20"/>
          <w:szCs w:val="20"/>
          <w:color w:val="auto"/>
        </w:rPr>
        <w:tab/>
      </w:r>
      <w:r>
        <w:rPr>
          <w:rFonts w:ascii="Arial" w:cs="Arial" w:eastAsia="Arial" w:hAnsi="Arial"/>
          <w:sz w:val="19"/>
          <w:szCs w:val="19"/>
          <w:b w:val="1"/>
          <w:bCs w:val="1"/>
          <w:u w:val="single" w:color="auto"/>
          <w:color w:val="auto"/>
        </w:rPr>
        <w:t>Survivorship</w:t>
      </w:r>
      <w:r>
        <w:rPr>
          <w:rFonts w:ascii="Arial" w:cs="Arial" w:eastAsia="Arial" w:hAnsi="Arial"/>
          <w:sz w:val="19"/>
          <w:szCs w:val="19"/>
          <w:color w:val="auto"/>
        </w:rPr>
        <w:t>.</w:t>
      </w:r>
    </w:p>
    <w:p>
      <w:pPr>
        <w:spacing w:after="0" w:line="185" w:lineRule="exact"/>
        <w:rPr>
          <w:sz w:val="20"/>
          <w:szCs w:val="20"/>
          <w:color w:val="auto"/>
        </w:rPr>
      </w:pPr>
    </w:p>
    <w:p>
      <w:pPr>
        <w:ind w:right="160" w:firstLine="648"/>
        <w:spacing w:after="0" w:line="224" w:lineRule="auto"/>
        <w:rPr>
          <w:sz w:val="20"/>
          <w:szCs w:val="20"/>
          <w:color w:val="auto"/>
        </w:rPr>
      </w:pPr>
      <w:r>
        <w:rPr>
          <w:rFonts w:ascii="Arial" w:cs="Arial" w:eastAsia="Arial" w:hAnsi="Arial"/>
          <w:sz w:val="21"/>
          <w:szCs w:val="21"/>
          <w:color w:val="auto"/>
        </w:rPr>
        <w:t>Except as otherwise expressly set forth in this Agreement, the respective rights and obligations of the Parties hereunder shall survive any termination of the Executive’s employment. Except as otherwise expressly provided by this Agreement, this Agreement itself (as distinguished from the Executive’s employment) may not be terminated by either Party without the written consent of the other Party. Upon the expiration of the term of this Agreement, the respective rights and obligations of the Parties shall survive such expiration to the extent necessary to carry out the intentions of the Parties an embodied in the rights (such as vested rights) and obligations of the Parties under this Agreement.</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23.</w:t>
      </w:r>
      <w:r>
        <w:rPr>
          <w:sz w:val="20"/>
          <w:szCs w:val="20"/>
          <w:color w:val="auto"/>
        </w:rPr>
        <w:tab/>
      </w: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w:t>
      </w:r>
    </w:p>
    <w:p>
      <w:pPr>
        <w:spacing w:after="0" w:line="185" w:lineRule="exact"/>
        <w:rPr>
          <w:sz w:val="20"/>
          <w:szCs w:val="20"/>
          <w:color w:val="auto"/>
        </w:rPr>
      </w:pPr>
    </w:p>
    <w:p>
      <w:pPr>
        <w:ind w:right="220" w:firstLine="648"/>
        <w:spacing w:after="0" w:line="298" w:lineRule="auto"/>
        <w:rPr>
          <w:sz w:val="20"/>
          <w:szCs w:val="20"/>
          <w:color w:val="auto"/>
        </w:rPr>
      </w:pPr>
      <w:r>
        <w:rPr>
          <w:rFonts w:ascii="Arial" w:cs="Arial" w:eastAsia="Arial" w:hAnsi="Arial"/>
          <w:sz w:val="19"/>
          <w:szCs w:val="19"/>
          <w:color w:val="auto"/>
        </w:rPr>
        <w:t>In the event of the Executive’s death or a judicial determination of her incompetence, reference in this Agreement to the Executive shall be deemed, where appropriate, to refer to her beneficiary, estate or other legal representative.</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24.</w:t>
      </w:r>
      <w:r>
        <w:rPr>
          <w:sz w:val="20"/>
          <w:szCs w:val="20"/>
          <w:color w:val="auto"/>
        </w:rPr>
        <w:tab/>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shall be governed in accordance with the laws of Nevada without reference to principles of conflict of</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laws.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25.</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notices and other communications required or permitted hereunder shall be in writing and shall be deemed given when</w:t>
      </w:r>
    </w:p>
    <w:p>
      <w:pPr>
        <w:spacing w:after="0" w:line="16" w:lineRule="exact"/>
        <w:rPr>
          <w:sz w:val="20"/>
          <w:szCs w:val="20"/>
          <w:color w:val="auto"/>
        </w:rPr>
      </w:pPr>
    </w:p>
    <w:p>
      <w:pPr>
        <w:jc w:val="both"/>
        <w:ind w:right="60" w:firstLine="8"/>
        <w:spacing w:after="0" w:line="258" w:lineRule="auto"/>
        <w:tabs>
          <w:tab w:leader="none" w:pos="294" w:val="left"/>
        </w:tabs>
        <w:numPr>
          <w:ilvl w:val="0"/>
          <w:numId w:val="51"/>
        </w:numPr>
        <w:rPr>
          <w:rFonts w:ascii="Arial" w:cs="Arial" w:eastAsia="Arial" w:hAnsi="Arial"/>
          <w:sz w:val="19"/>
          <w:szCs w:val="19"/>
          <w:color w:val="auto"/>
        </w:rPr>
      </w:pPr>
      <w:r>
        <w:rPr>
          <w:rFonts w:ascii="Arial" w:cs="Arial" w:eastAsia="Arial" w:hAnsi="Arial"/>
          <w:sz w:val="19"/>
          <w:szCs w:val="19"/>
          <w:color w:val="auto"/>
        </w:rPr>
        <w:t>delivered personally, (b) delivered by certified or registered mail, postage prepaid, return receipt requested or (c) delivered by overnight courier (provided that a written acknowledgment of receipt is obtained by the overnight courier) to the Party concerned at the address indicated below or to such changed address as such Party may subsequently give such notice of:</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Caesars Enterprise Services, LLC</w:t>
      </w:r>
    </w:p>
    <w:p>
      <w:pPr>
        <w:ind w:left="1300"/>
        <w:spacing w:after="0" w:line="204" w:lineRule="auto"/>
        <w:rPr>
          <w:sz w:val="20"/>
          <w:szCs w:val="20"/>
          <w:color w:val="auto"/>
        </w:rPr>
      </w:pPr>
      <w:r>
        <w:rPr>
          <w:rFonts w:ascii="Arial" w:cs="Arial" w:eastAsia="Arial" w:hAnsi="Arial"/>
          <w:sz w:val="22"/>
          <w:szCs w:val="22"/>
          <w:color w:val="auto"/>
        </w:rPr>
        <w:t>c/o Caesars Entertainment, Inc.</w:t>
      </w:r>
    </w:p>
    <w:p>
      <w:pPr>
        <w:ind w:left="1300"/>
        <w:spacing w:after="0" w:line="205" w:lineRule="auto"/>
        <w:rPr>
          <w:sz w:val="20"/>
          <w:szCs w:val="20"/>
          <w:color w:val="auto"/>
        </w:rPr>
      </w:pPr>
      <w:r>
        <w:rPr>
          <w:rFonts w:ascii="Arial" w:cs="Arial" w:eastAsia="Arial" w:hAnsi="Arial"/>
          <w:sz w:val="22"/>
          <w:szCs w:val="22"/>
          <w:color w:val="auto"/>
        </w:rPr>
        <w:t>100 W. Liberty Street, 12th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Reno, NV 89501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Chief Administrative Officer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Executive: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residential address known by the Company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26.</w:t>
      </w:r>
      <w:r>
        <w:rPr>
          <w:sz w:val="20"/>
          <w:szCs w:val="20"/>
          <w:color w:val="auto"/>
        </w:rPr>
        <w:tab/>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w:t>
      </w:r>
    </w:p>
    <w:p>
      <w:pPr>
        <w:spacing w:after="0" w:line="185" w:lineRule="exact"/>
        <w:rPr>
          <w:sz w:val="20"/>
          <w:szCs w:val="20"/>
          <w:color w:val="auto"/>
        </w:rPr>
      </w:pPr>
    </w:p>
    <w:p>
      <w:pPr>
        <w:ind w:right="240" w:firstLine="648"/>
        <w:spacing w:after="0" w:line="232" w:lineRule="auto"/>
        <w:rPr>
          <w:sz w:val="20"/>
          <w:szCs w:val="20"/>
          <w:color w:val="auto"/>
        </w:rPr>
      </w:pPr>
      <w:r>
        <w:rPr>
          <w:rFonts w:ascii="Arial" w:cs="Arial" w:eastAsia="Arial" w:hAnsi="Arial"/>
          <w:sz w:val="22"/>
          <w:szCs w:val="22"/>
          <w:color w:val="auto"/>
        </w:rPr>
        <w:t>The headings of the articles contained in this Agreement are for convenience only and shall not be deemed to control or affect the meaning or construction of any provision of this Agreement.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27.</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be executed in two or more counterparts.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28.</w:t>
      </w:r>
      <w:r>
        <w:rPr>
          <w:sz w:val="20"/>
          <w:szCs w:val="20"/>
          <w:color w:val="auto"/>
        </w:rPr>
        <w:tab/>
      </w:r>
      <w:r>
        <w:rPr>
          <w:rFonts w:ascii="Arial" w:cs="Arial" w:eastAsia="Arial" w:hAnsi="Arial"/>
          <w:sz w:val="19"/>
          <w:szCs w:val="19"/>
          <w:b w:val="1"/>
          <w:bCs w:val="1"/>
          <w:u w:val="single" w:color="auto"/>
          <w:color w:val="auto"/>
        </w:rPr>
        <w:t>Code Section 409A Compliance</w:t>
      </w:r>
      <w:r>
        <w:rPr>
          <w:rFonts w:ascii="Arial" w:cs="Arial" w:eastAsia="Arial" w:hAnsi="Arial"/>
          <w:sz w:val="19"/>
          <w:szCs w:val="19"/>
          <w:color w:val="auto"/>
        </w:rPr>
        <w:t>.</w:t>
      </w:r>
    </w:p>
    <w:p>
      <w:pPr>
        <w:spacing w:after="0" w:line="185" w:lineRule="exact"/>
        <w:rPr>
          <w:sz w:val="20"/>
          <w:szCs w:val="20"/>
          <w:color w:val="auto"/>
        </w:rPr>
      </w:pPr>
    </w:p>
    <w:p>
      <w:pPr>
        <w:ind w:right="120" w:firstLine="648"/>
        <w:spacing w:after="0" w:line="244" w:lineRule="auto"/>
        <w:rPr>
          <w:sz w:val="20"/>
          <w:szCs w:val="20"/>
          <w:color w:val="auto"/>
        </w:rPr>
      </w:pPr>
      <w:r>
        <w:rPr>
          <w:rFonts w:ascii="Arial" w:cs="Arial" w:eastAsia="Arial" w:hAnsi="Arial"/>
          <w:sz w:val="19"/>
          <w:szCs w:val="19"/>
          <w:color w:val="auto"/>
        </w:rPr>
        <w:t>To the extent applicable, it is intended that this Agreement comply with the provisions of Section 409A of the Code so as not to result in the assessment of any additional tax or penalty under Section 409A of the Code. This Agreement will be administered in a manner consistent with this intent. References to Section 409A of the Code will include any proposed, temporary or final regulation, or any other formal guidance, promulgated with respect to such section by the U.S. Department of Treasury or the Internal Revenue Service. Each payment or benefit to be made or provided to the Executive under the provisions of this Agreement will be considered to be a separate payment and not one of a series of payments for purposes of Section 409A of the Code. Notwithstanding anything in this Agreement to the contrary, no particular tax result for the Executive is guaranteed, and in no event shall the Company be liable for any taxes, interest or penalties that the Executive may incur under or in connection with Section 409A of the Code or otherwise.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29.</w:t>
      </w:r>
      <w:r>
        <w:rPr>
          <w:sz w:val="20"/>
          <w:szCs w:val="20"/>
          <w:color w:val="auto"/>
        </w:rPr>
        <w:tab/>
      </w:r>
      <w:r>
        <w:rPr>
          <w:rFonts w:ascii="Arial" w:cs="Arial" w:eastAsia="Arial" w:hAnsi="Arial"/>
          <w:sz w:val="19"/>
          <w:szCs w:val="19"/>
          <w:b w:val="1"/>
          <w:bCs w:val="1"/>
          <w:u w:val="single" w:color="auto"/>
          <w:color w:val="auto"/>
        </w:rPr>
        <w:t>Code Section 280G Policy</w:t>
      </w:r>
      <w:r>
        <w:rPr>
          <w:rFonts w:ascii="Arial" w:cs="Arial" w:eastAsia="Arial" w:hAnsi="Arial"/>
          <w:sz w:val="19"/>
          <w:szCs w:val="19"/>
          <w:color w:val="auto"/>
        </w:rPr>
        <w:t>.</w:t>
      </w:r>
    </w:p>
    <w:p>
      <w:pPr>
        <w:spacing w:after="0" w:line="185" w:lineRule="exact"/>
        <w:rPr>
          <w:sz w:val="20"/>
          <w:szCs w:val="20"/>
          <w:color w:val="auto"/>
        </w:rPr>
      </w:pPr>
    </w:p>
    <w:p>
      <w:pPr>
        <w:ind w:left="1300" w:firstLine="652"/>
        <w:spacing w:after="0" w:line="241" w:lineRule="auto"/>
        <w:tabs>
          <w:tab w:leader="none" w:pos="2593"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all the foregoing Aggregate Payments all amounts or payments that are not subject to calculation under Treas. Reg. §1.280G-1, Q&amp;A-24(b) or (c)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68" w:name="page69"/>
    <w:bookmarkEnd w:id="68"/>
    <w:p>
      <w:pPr>
        <w:ind w:left="1300"/>
        <w:spacing w:after="0"/>
        <w:rPr>
          <w:sz w:val="20"/>
          <w:szCs w:val="20"/>
          <w:color w:val="auto"/>
        </w:rPr>
      </w:pPr>
      <w:r>
        <w:rPr>
          <w:rFonts w:ascii="Arial" w:cs="Arial" w:eastAsia="Arial" w:hAnsi="Arial"/>
          <w:sz w:val="19"/>
          <w:szCs w:val="19"/>
          <w:color w:val="auto"/>
        </w:rPr>
        <w:t>reduced before any amounts that are subject to calculation under Treas. Reg. §1.280G-1, Q&amp;A-24(b) or (c).</w:t>
      </w:r>
    </w:p>
    <w:p>
      <w:pPr>
        <w:spacing w:after="0" w:line="214" w:lineRule="exact"/>
        <w:rPr>
          <w:sz w:val="20"/>
          <w:szCs w:val="20"/>
          <w:color w:val="auto"/>
        </w:rPr>
      </w:pPr>
    </w:p>
    <w:p>
      <w:pPr>
        <w:ind w:left="1300" w:firstLine="652"/>
        <w:spacing w:after="0" w:line="247" w:lineRule="auto"/>
        <w:tabs>
          <w:tab w:leader="none" w:pos="2591" w:val="left"/>
        </w:tabs>
        <w:numPr>
          <w:ilvl w:val="0"/>
          <w:numId w:val="53"/>
        </w:numPr>
        <w:rPr>
          <w:rFonts w:ascii="Arial" w:cs="Arial" w:eastAsia="Arial" w:hAnsi="Arial"/>
          <w:sz w:val="19"/>
          <w:szCs w:val="19"/>
          <w:color w:val="auto"/>
        </w:rPr>
      </w:pPr>
      <w:r>
        <w:rPr>
          <w:rFonts w:ascii="Arial" w:cs="Arial" w:eastAsia="Arial" w:hAnsi="Arial"/>
          <w:sz w:val="19"/>
          <w:szCs w:val="19"/>
          <w:color w:val="auto"/>
        </w:rPr>
        <w:t>For purposes of this Article 29,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3" w:lineRule="exact"/>
        <w:rPr>
          <w:rFonts w:ascii="Arial" w:cs="Arial" w:eastAsia="Arial" w:hAnsi="Arial"/>
          <w:sz w:val="19"/>
          <w:szCs w:val="19"/>
          <w:color w:val="auto"/>
        </w:rPr>
      </w:pPr>
    </w:p>
    <w:p>
      <w:pPr>
        <w:ind w:left="1300" w:right="40" w:firstLine="652"/>
        <w:spacing w:after="0" w:line="214" w:lineRule="auto"/>
        <w:tabs>
          <w:tab w:leader="none" w:pos="2593"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Article 29(a) shall be made by a nationally recognized accounting firm selected by the Company (the “Accounting Firm”), which shall provide detailed supporting calculations both to the Company and the Executive within 15 business days of the Termination Date, if applicable, or at such earlier time as is reasonably requested by the Company or the Executive. Any determination by the Accounting Firm shall be binding upon the Company and the Executive.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30.</w:t>
      </w:r>
      <w:r>
        <w:rPr>
          <w:sz w:val="20"/>
          <w:szCs w:val="20"/>
          <w:color w:val="auto"/>
        </w:rPr>
        <w:tab/>
      </w: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Following the termination of the Executive’s employment for any reason, if and to the extent requested by the Board, the Executive agrees to resign from the Board, all fiduciary positions (including, without limitation, as trustee) and all other offices and positions the Executive holds with the Parent or any of its Subsidiaries or affiliates (including the Company); provided, however, that if the Executive refuses to tender the Executive’s resignation after the Board has made such request, then the Board will be empowered to tender the Executive’s resignation from such offices and positions.</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Article 31.</w:t>
      </w:r>
      <w:r>
        <w:rPr>
          <w:sz w:val="20"/>
          <w:szCs w:val="20"/>
          <w:color w:val="auto"/>
        </w:rPr>
        <w:tab/>
      </w:r>
      <w:r>
        <w:rPr>
          <w:rFonts w:ascii="Arial" w:cs="Arial" w:eastAsia="Arial" w:hAnsi="Arial"/>
          <w:sz w:val="19"/>
          <w:szCs w:val="19"/>
          <w:b w:val="1"/>
          <w:bCs w:val="1"/>
          <w:u w:val="single" w:color="auto"/>
          <w:color w:val="auto"/>
        </w:rPr>
        <w:t>Clawback Provisions</w:t>
      </w:r>
      <w:r>
        <w:rPr>
          <w:rFonts w:ascii="Arial" w:cs="Arial" w:eastAsia="Arial" w:hAnsi="Arial"/>
          <w:sz w:val="19"/>
          <w:szCs w:val="19"/>
          <w:color w:val="auto"/>
        </w:rPr>
        <w:t>.</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21"/>
          <w:szCs w:val="21"/>
          <w:color w:val="auto"/>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which is subject to recovery under any law, government regulation or stock exchange listing requirement, are subject to the Parent’s Clawback &amp; Recoupment Policy approved by the Board as of February 27, 2019 and any amendments thereto and will be subject to such deductions and clawback as may be required to be made pursuant to such law, government regulation or stock exchange listing requirement (or any policy adopted by the Parent or any of its Subsidiaries or affiliates (including the Company) pursuant to any such law, government regulation or stock exchange listing requirement).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69" w:name="page70"/>
    <w:bookmarkEnd w:id="69"/>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on the Effective Date.</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Executive</w:t>
      </w:r>
    </w:p>
    <w:p>
      <w:pPr>
        <w:spacing w:after="0" w:line="38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 Stephanie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-5715</wp:posOffset>
            </wp:positionV>
            <wp:extent cx="12420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3880"/>
        <w:spacing w:after="0"/>
        <w:rPr>
          <w:sz w:val="20"/>
          <w:szCs w:val="20"/>
          <w:color w:val="auto"/>
        </w:rPr>
      </w:pPr>
      <w:r>
        <w:rPr>
          <w:rFonts w:ascii="Arial" w:cs="Arial" w:eastAsia="Arial" w:hAnsi="Arial"/>
          <w:sz w:val="22"/>
          <w:szCs w:val="22"/>
          <w:color w:val="auto"/>
        </w:rPr>
        <w:t>Name: Stephanie Lepori</w:t>
      </w:r>
    </w:p>
    <w:p>
      <w:pPr>
        <w:spacing w:after="0" w:line="371" w:lineRule="exact"/>
        <w:rPr>
          <w:sz w:val="20"/>
          <w:szCs w:val="20"/>
          <w:color w:val="auto"/>
        </w:rPr>
      </w:pPr>
    </w:p>
    <w:p>
      <w:pPr>
        <w:ind w:left="3880"/>
        <w:spacing w:after="0"/>
        <w:rPr>
          <w:sz w:val="20"/>
          <w:szCs w:val="20"/>
          <w:color w:val="auto"/>
        </w:rPr>
      </w:pPr>
      <w:r>
        <w:rPr>
          <w:rFonts w:ascii="Arial" w:cs="Arial" w:eastAsia="Arial" w:hAnsi="Arial"/>
          <w:sz w:val="19"/>
          <w:szCs w:val="19"/>
          <w:b w:val="1"/>
          <w:bCs w:val="1"/>
          <w:color w:val="auto"/>
        </w:rPr>
        <w:t>Caesars Enterprise Services, LLC</w:t>
      </w:r>
    </w:p>
    <w:p>
      <w:pPr>
        <w:spacing w:after="0" w:line="200" w:lineRule="exact"/>
        <w:rPr>
          <w:sz w:val="20"/>
          <w:szCs w:val="20"/>
          <w:color w:val="auto"/>
        </w:rPr>
      </w:pPr>
    </w:p>
    <w:p>
      <w:pPr>
        <w:spacing w:after="0" w:line="217"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-5715</wp:posOffset>
            </wp:positionV>
            <wp:extent cx="12534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ind w:left="3880"/>
        <w:spacing w:after="0" w:line="204" w:lineRule="auto"/>
        <w:rPr>
          <w:sz w:val="20"/>
          <w:szCs w:val="20"/>
          <w:color w:val="auto"/>
        </w:rPr>
      </w:pPr>
      <w:r>
        <w:rPr>
          <w:rFonts w:ascii="Arial" w:cs="Arial" w:eastAsia="Arial" w:hAnsi="Arial"/>
          <w:sz w:val="22"/>
          <w:szCs w:val="22"/>
          <w:color w:val="auto"/>
        </w:rPr>
        <w:t>Name: Thomas R. Reeg</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9479"/>
          </w:cols>
          <w:pgMar w:left="980" w:top="1440" w:right="1440" w:bottom="1440" w:gutter="0" w:footer="0" w:header="0"/>
          <w:type w:val="continuous"/>
        </w:sectPr>
      </w:pPr>
    </w:p>
    <w:bookmarkStart w:id="70" w:name="page71"/>
    <w:bookmarkEnd w:id="70"/>
    <w:p>
      <w:pPr>
        <w:ind w:left="10120"/>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TWELFTH AMENDMENT TO LEASE</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TWELFTH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April 7, 2023, by and among the entities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(collectively, 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the entities listed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attached hereto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penultimate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penultimate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as amended by that certain Eighth Amendment to Lease, dated as of September 3, 2021, as amended by that certain Ninth Amendment to Lease, dated as of November 1, 2021, as amended by that certain Tenth Amendment to Lease, dated as of December 30, 2021, and as amended by that certain Eleventh Amendment to Lease, dated as of August 25, 2022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336"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Vegas Development LLC, a Delaware limited liability company, Hole in the Wall, LLC,</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 Nevada limited liability company and CEOC, LLC, a Delaware limited liability company, collectively as sellers, and Flamingo Linq, LLC, a Nevada limited liability company, as buyer, are closing a purchase and sale transaction under that certain Purchase and Sale Agreement and Joint Escrow Instructions, dated as of December 7, 2022, with respect to certain real property located in Las Vegas, Nevada, which (i) is described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 and identified as assessor parcel numbers 16221110001 and 16216410050 (such real property, collectively, the “</w:t>
      </w:r>
      <w:r>
        <w:rPr>
          <w:rFonts w:ascii="Arial" w:cs="Arial" w:eastAsia="Arial" w:hAnsi="Arial"/>
          <w:sz w:val="22"/>
          <w:szCs w:val="22"/>
          <w:u w:val="single" w:color="auto"/>
          <w:color w:val="auto"/>
        </w:rPr>
        <w:t>CP3 Property</w:t>
      </w:r>
      <w:r>
        <w:rPr>
          <w:rFonts w:ascii="Arial" w:cs="Arial" w:eastAsia="Arial" w:hAnsi="Arial"/>
          <w:sz w:val="22"/>
          <w:szCs w:val="22"/>
          <w:color w:val="auto"/>
        </w:rPr>
        <w:t xml:space="preserve">”) and (ii) constitutes a portion of Cluster Parcel Number 3, as set forth on </w:t>
      </w:r>
      <w:r>
        <w:rPr>
          <w:rFonts w:ascii="Arial" w:cs="Arial" w:eastAsia="Arial" w:hAnsi="Arial"/>
          <w:sz w:val="22"/>
          <w:szCs w:val="22"/>
          <w:u w:val="single" w:color="auto"/>
          <w:color w:val="auto"/>
        </w:rPr>
        <w:t>Schedule 8</w:t>
      </w:r>
      <w:r>
        <w:rPr>
          <w:rFonts w:ascii="Arial" w:cs="Arial" w:eastAsia="Arial" w:hAnsi="Arial"/>
          <w:sz w:val="22"/>
          <w:szCs w:val="22"/>
          <w:color w:val="auto"/>
        </w:rPr>
        <w:t xml:space="preserve"> of the Lease (the purchase and sale of the CP3 Property is referred to herein as the “</w:t>
      </w:r>
      <w:r>
        <w:rPr>
          <w:rFonts w:ascii="Arial" w:cs="Arial" w:eastAsia="Arial" w:hAnsi="Arial"/>
          <w:sz w:val="22"/>
          <w:szCs w:val="22"/>
          <w:u w:val="single" w:color="auto"/>
          <w:color w:val="auto"/>
        </w:rPr>
        <w:t>CP3 Transaction</w:t>
      </w:r>
      <w:r>
        <w:rPr>
          <w:rFonts w:ascii="Arial" w:cs="Arial" w:eastAsia="Arial" w:hAnsi="Arial"/>
          <w:sz w:val="22"/>
          <w:szCs w:val="22"/>
          <w:color w:val="auto"/>
        </w:rPr>
        <w:t>”);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CP3 Transaction, the parties hereto desire to amend the Lease as set forth herein.</w:t>
      </w:r>
    </w:p>
    <w:p>
      <w:pPr>
        <w:spacing w:after="0" w:line="18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12" w:lineRule="exact"/>
        <w:rPr>
          <w:sz w:val="20"/>
          <w:szCs w:val="20"/>
          <w:color w:val="auto"/>
        </w:rPr>
      </w:pPr>
    </w:p>
    <w:p>
      <w:pPr>
        <w:ind w:firstLine="656"/>
        <w:spacing w:after="0" w:line="235" w:lineRule="auto"/>
        <w:tabs>
          <w:tab w:leader="none" w:pos="1296"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ectPr>
          <w:pgSz w:w="11900" w:h="16838" w:orient="portrait"/>
          <w:cols w:equalWidth="0" w:num="1">
            <w:col w:w="11240"/>
          </w:cols>
          <w:pgMar w:left="320" w:top="98" w:right="339" w:bottom="1440" w:gutter="0" w:footer="0" w:header="0"/>
        </w:sectPr>
      </w:pPr>
    </w:p>
    <w:bookmarkStart w:id="71" w:name="page72"/>
    <w:bookmarkEnd w:id="71"/>
    <w:p>
      <w:pPr>
        <w:ind w:left="644" w:hanging="644"/>
        <w:spacing w:after="0"/>
        <w:tabs>
          <w:tab w:leader="none" w:pos="644"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 Effective as of the date hereof:</w:t>
      </w:r>
    </w:p>
    <w:p>
      <w:pPr>
        <w:spacing w:after="0" w:line="185" w:lineRule="exact"/>
        <w:rPr>
          <w:rFonts w:ascii="Arial" w:cs="Arial" w:eastAsia="Arial" w:hAnsi="Arial"/>
          <w:sz w:val="22"/>
          <w:szCs w:val="22"/>
          <w:color w:val="auto"/>
        </w:rPr>
      </w:pPr>
    </w:p>
    <w:p>
      <w:pPr>
        <w:ind w:left="1284" w:hanging="636"/>
        <w:spacing w:after="0"/>
        <w:tabs>
          <w:tab w:leader="none" w:pos="1284"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 of the Lease as to the CP3 Property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44" w:firstLine="652"/>
        <w:spacing w:after="0" w:line="214" w:lineRule="auto"/>
        <w:tabs>
          <w:tab w:leader="none" w:pos="1932" w:val="left"/>
        </w:tabs>
        <w:numPr>
          <w:ilvl w:val="2"/>
          <w:numId w:val="55"/>
        </w:numPr>
        <w:rPr>
          <w:rFonts w:ascii="Arial" w:cs="Arial" w:eastAsia="Arial" w:hAnsi="Arial"/>
          <w:sz w:val="22"/>
          <w:szCs w:val="22"/>
          <w:color w:val="auto"/>
        </w:rPr>
      </w:pPr>
      <w:r>
        <w:rPr>
          <w:rFonts w:ascii="Arial" w:cs="Arial" w:eastAsia="Arial" w:hAnsi="Arial"/>
          <w:sz w:val="22"/>
          <w:szCs w:val="22"/>
          <w:color w:val="auto"/>
        </w:rPr>
        <w:t>the Lease is hereby terminated with respect to the CP3 Property, the CP3 Property no longer constitutes Leased Property under the Lease nor a portion of the Las Vegas Land Assemblage nor a Cluster Parcel nor a portion of the Las Vegas Land Assemblage Facility, and neither Landlord nor Tenant has any further liabilities or obligations under the Lease, from and after the date hereof, in respect of the CP3 Property (provided that any such liabilities or obligations arising prior to such date shall not be terminated, limited or affected by or upon entry into this Amendment); and</w:t>
      </w:r>
    </w:p>
    <w:p>
      <w:pPr>
        <w:spacing w:after="0" w:line="158" w:lineRule="exact"/>
        <w:rPr>
          <w:rFonts w:ascii="Arial" w:cs="Arial" w:eastAsia="Arial" w:hAnsi="Arial"/>
          <w:sz w:val="22"/>
          <w:szCs w:val="22"/>
          <w:color w:val="auto"/>
        </w:rPr>
      </w:pPr>
    </w:p>
    <w:p>
      <w:pPr>
        <w:jc w:val="both"/>
        <w:ind w:left="644" w:firstLine="652"/>
        <w:spacing w:after="0" w:line="252" w:lineRule="auto"/>
        <w:tabs>
          <w:tab w:leader="none" w:pos="1939" w:val="left"/>
        </w:tabs>
        <w:numPr>
          <w:ilvl w:val="2"/>
          <w:numId w:val="55"/>
        </w:numPr>
        <w:rPr>
          <w:rFonts w:ascii="Arial" w:cs="Arial" w:eastAsia="Arial" w:hAnsi="Arial"/>
          <w:sz w:val="19"/>
          <w:szCs w:val="19"/>
          <w:color w:val="auto"/>
        </w:rPr>
      </w:pPr>
      <w:r>
        <w:rPr>
          <w:rFonts w:ascii="Arial" w:cs="Arial" w:eastAsia="Arial" w:hAnsi="Arial"/>
          <w:sz w:val="19"/>
          <w:szCs w:val="19"/>
          <w:color w:val="auto"/>
        </w:rPr>
        <w:t>the Guaranty hereby automatically, and without further action by any party, ceases to apply with respect to any Obligations (as defined in the Guaranty) with respect to the CP3 Property to the extent arising from and after the date hereof (provided that any such Obligations arising prior to such date shall not be terminated, limited or affected by or upon entry into this Amendment). The term “</w:t>
      </w:r>
      <w:r>
        <w:rPr>
          <w:rFonts w:ascii="Arial" w:cs="Arial" w:eastAsia="Arial" w:hAnsi="Arial"/>
          <w:sz w:val="19"/>
          <w:szCs w:val="19"/>
          <w:u w:val="single" w:color="auto"/>
          <w:color w:val="auto"/>
        </w:rPr>
        <w:t>Las Vegas Land Assemblage Facility</w:t>
      </w:r>
      <w:r>
        <w:rPr>
          <w:rFonts w:ascii="Arial" w:cs="Arial" w:eastAsia="Arial" w:hAnsi="Arial"/>
          <w:sz w:val="19"/>
          <w:szCs w:val="19"/>
          <w:color w:val="auto"/>
        </w:rPr>
        <w:t>” refers to the Facility identified as No. 14 on the list of the Facilities annexed as Exhibit A to the Lease.</w:t>
      </w:r>
    </w:p>
    <w:p>
      <w:pPr>
        <w:spacing w:after="0" w:line="148" w:lineRule="exact"/>
        <w:rPr>
          <w:rFonts w:ascii="Arial" w:cs="Arial" w:eastAsia="Arial" w:hAnsi="Arial"/>
          <w:sz w:val="19"/>
          <w:szCs w:val="19"/>
          <w:color w:val="auto"/>
        </w:rPr>
      </w:pPr>
    </w:p>
    <w:p>
      <w:pPr>
        <w:jc w:val="both"/>
        <w:ind w:left="4" w:firstLine="644"/>
        <w:spacing w:after="0" w:line="223" w:lineRule="auto"/>
        <w:tabs>
          <w:tab w:leader="none" w:pos="1296"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CP3 Property from the Lease or otherwise as a result of the CP3 Transaction.</w:t>
      </w:r>
    </w:p>
    <w:p>
      <w:pPr>
        <w:spacing w:after="0" w:line="158" w:lineRule="exact"/>
        <w:rPr>
          <w:rFonts w:ascii="Arial" w:cs="Arial" w:eastAsia="Arial" w:hAnsi="Arial"/>
          <w:sz w:val="22"/>
          <w:szCs w:val="22"/>
          <w:color w:val="auto"/>
        </w:rPr>
      </w:pPr>
    </w:p>
    <w:p>
      <w:pPr>
        <w:jc w:val="both"/>
        <w:ind w:left="4" w:firstLine="644"/>
        <w:spacing w:after="0" w:line="223" w:lineRule="auto"/>
        <w:tabs>
          <w:tab w:leader="none" w:pos="1296"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 From and after the date hereof, for purposes of any calculation of Variable Rent under the Lease, including any adjustments in Variable Rent based on increases or decreases in Net Revenue, such calculations of Net Revenue shall exclude Net Revenue attributable to the CP3 Property.</w:t>
      </w:r>
    </w:p>
    <w:p>
      <w:pPr>
        <w:spacing w:after="0" w:line="158" w:lineRule="exact"/>
        <w:rPr>
          <w:rFonts w:ascii="Arial" w:cs="Arial" w:eastAsia="Arial" w:hAnsi="Arial"/>
          <w:sz w:val="22"/>
          <w:szCs w:val="22"/>
          <w:color w:val="auto"/>
        </w:rPr>
      </w:pPr>
    </w:p>
    <w:p>
      <w:pPr>
        <w:ind w:left="1284" w:hanging="636"/>
        <w:spacing w:after="0"/>
        <w:tabs>
          <w:tab w:leader="none" w:pos="1284"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CP3 Transaction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4" w:firstLine="1292"/>
        <w:spacing w:after="0" w:line="218" w:lineRule="auto"/>
        <w:tabs>
          <w:tab w:leader="none" w:pos="1940" w:val="left"/>
        </w:tabs>
        <w:numPr>
          <w:ilvl w:val="2"/>
          <w:numId w:val="55"/>
        </w:numPr>
        <w:rPr>
          <w:rFonts w:ascii="Arial" w:cs="Arial" w:eastAsia="Arial" w:hAnsi="Arial"/>
          <w:sz w:val="22"/>
          <w:szCs w:val="22"/>
          <w:color w:val="auto"/>
        </w:rPr>
      </w:pPr>
      <w:r>
        <w:rPr>
          <w:rFonts w:ascii="Arial" w:cs="Arial" w:eastAsia="Arial" w:hAnsi="Arial"/>
          <w:sz w:val="22"/>
          <w:szCs w:val="22"/>
          <w:color w:val="auto"/>
        </w:rPr>
        <w:t xml:space="preserve">Each of Landlord and Tenant hereby acknowledges and agrees that (i) such party consents to the sale of the CP3 Property, including the severance of the CP3 Property from the Lease as of the date of this Amendment, and (ii) the removal of the CP3 Property from the Lease shall not constitute a L1/L2 Transfer nor a transfer and sale pursuant to </w:t>
      </w:r>
      <w:r>
        <w:rPr>
          <w:rFonts w:ascii="Arial" w:cs="Arial" w:eastAsia="Arial" w:hAnsi="Arial"/>
          <w:sz w:val="22"/>
          <w:szCs w:val="22"/>
          <w:u w:val="single" w:color="auto"/>
          <w:color w:val="auto"/>
        </w:rPr>
        <w:t>Section 22.2(ix)</w:t>
      </w:r>
      <w:r>
        <w:rPr>
          <w:rFonts w:ascii="Arial" w:cs="Arial" w:eastAsia="Arial" w:hAnsi="Arial"/>
          <w:sz w:val="22"/>
          <w:szCs w:val="22"/>
          <w:color w:val="auto"/>
        </w:rPr>
        <w:t xml:space="preserve"> of the Lease.</w:t>
      </w:r>
    </w:p>
    <w:p>
      <w:pPr>
        <w:spacing w:after="0" w:line="160" w:lineRule="exact"/>
        <w:rPr>
          <w:rFonts w:ascii="Arial" w:cs="Arial" w:eastAsia="Arial" w:hAnsi="Arial"/>
          <w:sz w:val="22"/>
          <w:szCs w:val="22"/>
          <w:color w:val="auto"/>
        </w:rPr>
      </w:pPr>
    </w:p>
    <w:p>
      <w:pPr>
        <w:jc w:val="both"/>
        <w:ind w:left="4" w:firstLine="1292"/>
        <w:spacing w:after="0" w:line="223" w:lineRule="auto"/>
        <w:tabs>
          <w:tab w:leader="none" w:pos="1947" w:val="left"/>
        </w:tabs>
        <w:numPr>
          <w:ilvl w:val="2"/>
          <w:numId w:val="55"/>
        </w:numPr>
        <w:rPr>
          <w:rFonts w:ascii="Arial" w:cs="Arial" w:eastAsia="Arial" w:hAnsi="Arial"/>
          <w:sz w:val="22"/>
          <w:szCs w:val="22"/>
          <w:color w:val="auto"/>
        </w:rPr>
      </w:pPr>
      <w:r>
        <w:rPr>
          <w:rFonts w:ascii="Arial" w:cs="Arial" w:eastAsia="Arial" w:hAnsi="Arial"/>
          <w:sz w:val="22"/>
          <w:szCs w:val="22"/>
          <w:color w:val="auto"/>
        </w:rPr>
        <w:t>All of the applicable requirements and conditions set forth in Article XVIII or Article XXII of the Lease with respect to the CP3 Transaction (if, and to the extent, applicable to the CP3 Transaction) are deemed satisfied or waived.</w:t>
      </w:r>
    </w:p>
    <w:p>
      <w:pPr>
        <w:spacing w:after="0" w:line="158" w:lineRule="exact"/>
        <w:rPr>
          <w:rFonts w:ascii="Arial" w:cs="Arial" w:eastAsia="Arial" w:hAnsi="Arial"/>
          <w:sz w:val="22"/>
          <w:szCs w:val="22"/>
          <w:color w:val="auto"/>
        </w:rPr>
      </w:pPr>
    </w:p>
    <w:p>
      <w:pPr>
        <w:jc w:val="both"/>
        <w:ind w:left="4" w:firstLine="1292"/>
        <w:spacing w:after="0" w:line="218" w:lineRule="auto"/>
        <w:tabs>
          <w:tab w:leader="none" w:pos="1939" w:val="left"/>
        </w:tabs>
        <w:numPr>
          <w:ilvl w:val="2"/>
          <w:numId w:val="55"/>
        </w:numPr>
        <w:rPr>
          <w:rFonts w:ascii="Arial" w:cs="Arial" w:eastAsia="Arial" w:hAnsi="Arial"/>
          <w:sz w:val="22"/>
          <w:szCs w:val="22"/>
          <w:color w:val="auto"/>
        </w:rPr>
      </w:pPr>
      <w:r>
        <w:rPr>
          <w:rFonts w:ascii="Arial" w:cs="Arial" w:eastAsia="Arial" w:hAnsi="Arial"/>
          <w:sz w:val="22"/>
          <w:szCs w:val="22"/>
          <w:color w:val="auto"/>
        </w:rPr>
        <w:t xml:space="preserve">The amounts of the 2018 EBITDAR Pool and 2018 EBITDAR Pool Before Fifth Amendment shall not be reduced as a result of the CP3 Property no longer constituting Leased Property under the Lease and, without limitation,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Lease (setting forth the 2018 Facility EBITDAR of Tenant and Joliet Tenant) shall not be modified as a result of the CP3 Transaction.</w:t>
      </w:r>
    </w:p>
    <w:p>
      <w:pPr>
        <w:spacing w:after="0" w:line="160" w:lineRule="exact"/>
        <w:rPr>
          <w:rFonts w:ascii="Arial" w:cs="Arial" w:eastAsia="Arial" w:hAnsi="Arial"/>
          <w:sz w:val="22"/>
          <w:szCs w:val="22"/>
          <w:color w:val="auto"/>
        </w:rPr>
      </w:pPr>
    </w:p>
    <w:p>
      <w:pPr>
        <w:jc w:val="both"/>
        <w:ind w:left="4" w:firstLine="1292"/>
        <w:spacing w:after="0" w:line="223" w:lineRule="auto"/>
        <w:tabs>
          <w:tab w:leader="none" w:pos="1926" w:val="left"/>
        </w:tabs>
        <w:numPr>
          <w:ilvl w:val="2"/>
          <w:numId w:val="55"/>
        </w:numPr>
        <w:rPr>
          <w:rFonts w:ascii="Arial" w:cs="Arial" w:eastAsia="Arial" w:hAnsi="Arial"/>
          <w:sz w:val="22"/>
          <w:szCs w:val="22"/>
          <w:color w:val="auto"/>
        </w:rPr>
      </w:pPr>
      <w:r>
        <w:rPr>
          <w:rFonts w:ascii="Arial" w:cs="Arial" w:eastAsia="Arial" w:hAnsi="Arial"/>
          <w:sz w:val="22"/>
          <w:szCs w:val="22"/>
          <w:color w:val="auto"/>
        </w:rPr>
        <w:t>The treatment of the CP3 Transaction hereunder is not intended to serve as a precedent for the treatment of future dispositions (if any) which may be effectuated under any applicable provision of the Lease or otherwise.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395" w:right="339" w:bottom="1440" w:gutter="0" w:footer="0" w:header="0"/>
        </w:sectPr>
      </w:pPr>
    </w:p>
    <w:bookmarkStart w:id="72" w:name="page73"/>
    <w:bookmarkEnd w:id="72"/>
    <w:p>
      <w:pPr>
        <w:ind w:left="660" w:firstLine="644"/>
        <w:spacing w:after="0" w:line="232" w:lineRule="auto"/>
        <w:tabs>
          <w:tab w:leader="none" w:pos="195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58" w:lineRule="exact"/>
        <w:rPr>
          <w:rFonts w:ascii="Arial" w:cs="Arial" w:eastAsia="Arial" w:hAnsi="Arial"/>
          <w:sz w:val="22"/>
          <w:szCs w:val="22"/>
          <w:color w:val="auto"/>
        </w:rPr>
      </w:pPr>
    </w:p>
    <w:p>
      <w:pPr>
        <w:jc w:val="both"/>
        <w:ind w:left="1300" w:firstLine="814"/>
        <w:spacing w:after="0" w:line="218" w:lineRule="auto"/>
        <w:tabs>
          <w:tab w:leader="none" w:pos="2588"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Legal Description (CP3 Property)</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annexed to the Lease are hereby amended such that the legal description with respect to the Leased Property pertaining to the CP3 Property,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1300" w:firstLine="814"/>
        <w:spacing w:after="0" w:line="257" w:lineRule="auto"/>
        <w:tabs>
          <w:tab w:leader="none" w:pos="2595"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Cluster Parcels</w:t>
      </w:r>
      <w:r>
        <w:rPr>
          <w:rFonts w:ascii="Arial" w:cs="Arial" w:eastAsia="Arial" w:hAnsi="Arial"/>
          <w:sz w:val="19"/>
          <w:szCs w:val="19"/>
          <w:color w:val="auto"/>
        </w:rPr>
        <w:t xml:space="preserve">. The list of properties set forth as Cluster Parcel Number 3 on </w:t>
      </w:r>
      <w:r>
        <w:rPr>
          <w:rFonts w:ascii="Arial" w:cs="Arial" w:eastAsia="Arial" w:hAnsi="Arial"/>
          <w:sz w:val="19"/>
          <w:szCs w:val="19"/>
          <w:u w:val="single" w:color="auto"/>
          <w:color w:val="auto"/>
        </w:rPr>
        <w:t>Schedule 8</w:t>
      </w:r>
      <w:r>
        <w:rPr>
          <w:rFonts w:ascii="Arial" w:cs="Arial" w:eastAsia="Arial" w:hAnsi="Arial"/>
          <w:sz w:val="19"/>
          <w:szCs w:val="19"/>
          <w:color w:val="auto"/>
        </w:rPr>
        <w:t xml:space="preserve"> annexed to the Lease is hereby amended and restated such that Cluster Parcel Number 3 on such </w:t>
      </w:r>
      <w:r>
        <w:rPr>
          <w:rFonts w:ascii="Arial" w:cs="Arial" w:eastAsia="Arial" w:hAnsi="Arial"/>
          <w:sz w:val="19"/>
          <w:szCs w:val="19"/>
          <w:u w:val="single" w:color="auto"/>
          <w:color w:val="auto"/>
        </w:rPr>
        <w:t>Schedule 8</w:t>
      </w:r>
      <w:r>
        <w:rPr>
          <w:rFonts w:ascii="Arial" w:cs="Arial" w:eastAsia="Arial" w:hAnsi="Arial"/>
          <w:sz w:val="19"/>
          <w:szCs w:val="19"/>
          <w:color w:val="auto"/>
        </w:rPr>
        <w:t xml:space="preserve"> shall read as follows, and the subtotals of “APN Acreage” and “Total Cluster Acreage” set forth in the first table set forth on </w:t>
      </w:r>
      <w:r>
        <w:rPr>
          <w:rFonts w:ascii="Arial" w:cs="Arial" w:eastAsia="Arial" w:hAnsi="Arial"/>
          <w:sz w:val="19"/>
          <w:szCs w:val="19"/>
          <w:u w:val="single" w:color="auto"/>
          <w:color w:val="auto"/>
        </w:rPr>
        <w:t>Schedule 8</w:t>
      </w:r>
      <w:r>
        <w:rPr>
          <w:rFonts w:ascii="Arial" w:cs="Arial" w:eastAsia="Arial" w:hAnsi="Arial"/>
          <w:sz w:val="19"/>
          <w:szCs w:val="19"/>
          <w:color w:val="auto"/>
        </w:rPr>
        <w:t xml:space="preserve"> annexed to the Lease shall be recalculated and updated to reflect such amendment and restatement:</w:t>
      </w:r>
    </w:p>
    <w:p>
      <w:pPr>
        <w:spacing w:after="0" w:line="206" w:lineRule="exact"/>
        <w:rPr>
          <w:sz w:val="20"/>
          <w:szCs w:val="20"/>
          <w:color w:val="auto"/>
        </w:rPr>
      </w:pPr>
    </w:p>
    <w:p>
      <w:pPr>
        <w:ind w:left="1340"/>
        <w:spacing w:after="0"/>
        <w:tabs>
          <w:tab w:leader="none" w:pos="2940" w:val="left"/>
          <w:tab w:leader="none" w:pos="5660" w:val="left"/>
          <w:tab w:leader="none" w:pos="6160" w:val="left"/>
          <w:tab w:leader="none" w:pos="6480" w:val="left"/>
        </w:tabs>
        <w:rPr>
          <w:sz w:val="20"/>
          <w:szCs w:val="20"/>
          <w:color w:val="auto"/>
        </w:rPr>
      </w:pPr>
      <w:r>
        <w:rPr>
          <w:rFonts w:ascii="Arial" w:cs="Arial" w:eastAsia="Arial" w:hAnsi="Arial"/>
          <w:sz w:val="22"/>
          <w:szCs w:val="22"/>
          <w:b w:val="1"/>
          <w:bCs w:val="1"/>
          <w:color w:val="auto"/>
        </w:rPr>
        <w:t>16216410059</w:t>
      </w:r>
      <w:r>
        <w:rPr>
          <w:sz w:val="20"/>
          <w:szCs w:val="20"/>
          <w:color w:val="auto"/>
        </w:rPr>
        <w:tab/>
      </w:r>
      <w:r>
        <w:rPr>
          <w:rFonts w:ascii="Arial" w:cs="Arial" w:eastAsia="Arial" w:hAnsi="Arial"/>
          <w:sz w:val="22"/>
          <w:szCs w:val="22"/>
          <w:b w:val="1"/>
          <w:bCs w:val="1"/>
          <w:color w:val="auto"/>
        </w:rPr>
        <w:t>Vegas Development LLC</w:t>
      </w:r>
      <w:r>
        <w:rPr>
          <w:sz w:val="20"/>
          <w:szCs w:val="20"/>
          <w:color w:val="auto"/>
        </w:rPr>
        <w:tab/>
      </w:r>
      <w:r>
        <w:rPr>
          <w:rFonts w:ascii="Arial" w:cs="Arial" w:eastAsia="Arial" w:hAnsi="Arial"/>
          <w:sz w:val="22"/>
          <w:szCs w:val="22"/>
          <w:b w:val="1"/>
          <w:bCs w:val="1"/>
          <w:color w:val="auto"/>
        </w:rPr>
        <w:t>0.4</w:t>
        <w:tab/>
        <w:t>3</w:t>
      </w:r>
      <w:r>
        <w:rPr>
          <w:sz w:val="20"/>
          <w:szCs w:val="20"/>
          <w:color w:val="auto"/>
        </w:rPr>
        <w:tab/>
      </w:r>
      <w:r>
        <w:rPr>
          <w:rFonts w:ascii="Arial" w:cs="Arial" w:eastAsia="Arial" w:hAnsi="Arial"/>
          <w:sz w:val="18"/>
          <w:szCs w:val="18"/>
          <w:b w:val="1"/>
          <w:bCs w:val="1"/>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-160020</wp:posOffset>
            </wp:positionV>
            <wp:extent cx="534035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340350" cy="1885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both"/>
        <w:ind w:firstLine="656"/>
        <w:spacing w:after="0" w:line="217" w:lineRule="auto"/>
        <w:tabs>
          <w:tab w:leader="none" w:pos="1296"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the Leased Property (other than the CP3 Property as of the date hereof in accordance with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this Amendment).</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296"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52"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9"/>
          <w:szCs w:val="19"/>
          <w:color w:val="auto"/>
        </w:rPr>
        <w:t>[Signature Page Follows]</w:t>
      </w:r>
    </w:p>
    <w:p>
      <w:pPr>
        <w:sectPr>
          <w:pgSz w:w="11900" w:h="16838" w:orient="portrait"/>
          <w:cols w:equalWidth="0" w:num="1">
            <w:col w:w="9019"/>
          </w:cols>
          <w:pgMar w:left="1440" w:top="14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401" w:right="1440" w:bottom="1440" w:gutter="0" w:footer="0" w:header="0"/>
          <w:type w:val="continuous"/>
        </w:sectPr>
      </w:pPr>
    </w:p>
    <w:bookmarkStart w:id="74" w:name="page75"/>
    <w:bookmarkEnd w:id="74"/>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04" w:lineRule="auto"/>
        <w:rPr>
          <w:sz w:val="20"/>
          <w:szCs w:val="20"/>
          <w:color w:val="auto"/>
        </w:rPr>
      </w:pPr>
      <w:r>
        <w:rPr>
          <w:rFonts w:ascii="Arial" w:cs="Arial" w:eastAsia="Arial" w:hAnsi="Arial"/>
          <w:sz w:val="22"/>
          <w:szCs w:val="22"/>
          <w:b w:val="1"/>
          <w:bCs w:val="1"/>
          <w:color w:val="auto"/>
        </w:rPr>
        <w:t>HARRAH’S COUNCIL BLUFFS LLC</w:t>
      </w:r>
    </w:p>
    <w:p>
      <w:pPr>
        <w:spacing w:after="0" w:line="205" w:lineRule="auto"/>
        <w:rPr>
          <w:sz w:val="20"/>
          <w:szCs w:val="20"/>
          <w:color w:val="auto"/>
        </w:rPr>
      </w:pPr>
      <w:r>
        <w:rPr>
          <w:rFonts w:ascii="Arial" w:cs="Arial" w:eastAsia="Arial" w:hAnsi="Arial"/>
          <w:sz w:val="22"/>
          <w:szCs w:val="22"/>
          <w:b w:val="1"/>
          <w:bCs w:val="1"/>
          <w:color w:val="auto"/>
        </w:rPr>
        <w:t>HARRAH’S METROPOLIS LLC</w:t>
      </w:r>
    </w:p>
    <w:p>
      <w:pPr>
        <w:spacing w:after="0" w:line="205" w:lineRule="auto"/>
        <w:rPr>
          <w:sz w:val="20"/>
          <w:szCs w:val="20"/>
          <w:color w:val="auto"/>
        </w:rPr>
      </w:pPr>
      <w:r>
        <w:rPr>
          <w:rFonts w:ascii="Arial" w:cs="Arial" w:eastAsia="Arial" w:hAnsi="Arial"/>
          <w:sz w:val="22"/>
          <w:szCs w:val="22"/>
          <w:b w:val="1"/>
          <w:bCs w:val="1"/>
          <w:color w:val="auto"/>
        </w:rPr>
        <w:t>NEW HORSESHOE HAMMOND LLC</w:t>
      </w:r>
    </w:p>
    <w:p>
      <w:pPr>
        <w:spacing w:after="0" w:line="205" w:lineRule="auto"/>
        <w:rPr>
          <w:sz w:val="20"/>
          <w:szCs w:val="20"/>
          <w:color w:val="auto"/>
        </w:rPr>
      </w:pPr>
      <w:r>
        <w:rPr>
          <w:rFonts w:ascii="Arial" w:cs="Arial" w:eastAsia="Arial" w:hAnsi="Arial"/>
          <w:sz w:val="22"/>
          <w:szCs w:val="22"/>
          <w:b w:val="1"/>
          <w:bCs w:val="1"/>
          <w:color w:val="auto"/>
        </w:rPr>
        <w:t>NEW HARRAH’S NORTH KANSAS CITY LLC</w:t>
      </w:r>
    </w:p>
    <w:p>
      <w:pPr>
        <w:spacing w:after="0" w:line="205" w:lineRule="auto"/>
        <w:rPr>
          <w:sz w:val="20"/>
          <w:szCs w:val="20"/>
          <w:color w:val="auto"/>
        </w:rPr>
      </w:pPr>
      <w:r>
        <w:rPr>
          <w:rFonts w:ascii="Arial" w:cs="Arial" w:eastAsia="Arial" w:hAnsi="Arial"/>
          <w:sz w:val="22"/>
          <w:szCs w:val="22"/>
          <w:b w:val="1"/>
          <w:bCs w:val="1"/>
          <w:color w:val="auto"/>
        </w:rPr>
        <w:t>GRAND BILOXI LLC</w:t>
      </w:r>
    </w:p>
    <w:p>
      <w:pPr>
        <w:spacing w:after="0" w:line="205" w:lineRule="auto"/>
        <w:rPr>
          <w:sz w:val="20"/>
          <w:szCs w:val="20"/>
          <w:color w:val="auto"/>
        </w:rPr>
      </w:pPr>
      <w:r>
        <w:rPr>
          <w:rFonts w:ascii="Arial" w:cs="Arial" w:eastAsia="Arial" w:hAnsi="Arial"/>
          <w:sz w:val="22"/>
          <w:szCs w:val="22"/>
          <w:b w:val="1"/>
          <w:bCs w:val="1"/>
          <w:color w:val="auto"/>
        </w:rPr>
        <w:t>HORSESHOE TUNICA LLC</w:t>
      </w:r>
    </w:p>
    <w:p>
      <w:pPr>
        <w:spacing w:after="0" w:line="205" w:lineRule="auto"/>
        <w:rPr>
          <w:sz w:val="20"/>
          <w:szCs w:val="20"/>
          <w:color w:val="auto"/>
        </w:rPr>
      </w:pPr>
      <w:r>
        <w:rPr>
          <w:rFonts w:ascii="Arial" w:cs="Arial" w:eastAsia="Arial" w:hAnsi="Arial"/>
          <w:sz w:val="22"/>
          <w:szCs w:val="22"/>
          <w:b w:val="1"/>
          <w:bCs w:val="1"/>
          <w:color w:val="auto"/>
        </w:rPr>
        <w:t>NEW TUNICA ROADHOUSE LLC</w:t>
      </w:r>
    </w:p>
    <w:p>
      <w:pPr>
        <w:spacing w:after="0" w:line="205" w:lineRule="auto"/>
        <w:rPr>
          <w:sz w:val="20"/>
          <w:szCs w:val="20"/>
          <w:color w:val="auto"/>
        </w:rPr>
      </w:pPr>
      <w:r>
        <w:rPr>
          <w:rFonts w:ascii="Arial" w:cs="Arial" w:eastAsia="Arial" w:hAnsi="Arial"/>
          <w:sz w:val="22"/>
          <w:szCs w:val="22"/>
          <w:b w:val="1"/>
          <w:bCs w:val="1"/>
          <w:color w:val="auto"/>
        </w:rPr>
        <w:t>CAESARS ATLANTIC CITY LLC</w:t>
      </w:r>
    </w:p>
    <w:p>
      <w:pPr>
        <w:ind w:right="7400" w:firstLine="8"/>
        <w:spacing w:after="0" w:line="207" w:lineRule="auto"/>
        <w:tabs>
          <w:tab w:leader="none" w:pos="70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PROPCO LLC HARRAH’S LAKE TAHOE LLC HARVEY’S LAKE TAHOE LLC HARRAH’S RENO LLC VEGAS DEVELOPMENT LLC VEGAS OPERATING PROPERTY LLC MISCELLANEOUS LAND LLC PROPCO GULFPORT LLC PHILADELPHIA PROPCO LLC HARRAH’S ATLANTIC CITY LLC NEW LAUGHLIN OWNER LLC HARRAH’S NEW ORLEANS LLC </w:t>
      </w:r>
      <w:r>
        <w:rPr>
          <w:rFonts w:ascii="Arial" w:cs="Arial" w:eastAsia="Arial" w:hAnsi="Arial"/>
          <w:sz w:val="22"/>
          <w:szCs w:val="22"/>
          <w:color w:val="auto"/>
        </w:rPr>
        <w:t>each, a Delaware limited liability company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5486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a Louisiana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5486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Twelfth Amendment to Regional Lease]1</w:t>
      </w:r>
    </w:p>
    <w:p>
      <w:pPr>
        <w:sectPr>
          <w:pgSz w:w="11900" w:h="16838" w:orient="portrait"/>
          <w:cols w:equalWidth="0" w:num="1">
            <w:col w:w="11240"/>
          </w:cols>
          <w:pgMar w:left="320" w:top="1401" w:right="339" w:bottom="1440" w:gutter="0" w:footer="0" w:header="0"/>
        </w:sectPr>
      </w:pPr>
    </w:p>
    <w:bookmarkStart w:id="75" w:name="page76"/>
    <w:bookmarkEnd w:id="75"/>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04" w:lineRule="auto"/>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205" w:lineRule="auto"/>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215" w:lineRule="auto"/>
        <w:rPr>
          <w:sz w:val="20"/>
          <w:szCs w:val="20"/>
          <w:color w:val="auto"/>
        </w:rPr>
      </w:pPr>
      <w:r>
        <w:rPr>
          <w:rFonts w:ascii="Arial" w:cs="Arial" w:eastAsia="Arial" w:hAnsi="Arial"/>
          <w:sz w:val="21"/>
          <w:szCs w:val="21"/>
          <w:b w:val="1"/>
          <w:bCs w:val="1"/>
          <w:color w:val="auto"/>
        </w:rPr>
        <w:t>SOUTHERN ILLINOIS RIVERBOAT/CASINO CRUISES LLC</w:t>
      </w:r>
      <w:r>
        <w:rPr>
          <w:rFonts w:ascii="Arial" w:cs="Arial" w:eastAsia="Arial" w:hAnsi="Arial"/>
          <w:sz w:val="21"/>
          <w:szCs w:val="21"/>
          <w:color w:val="auto"/>
        </w:rPr>
        <w:t>, an Illinois limited liability company,</w:t>
      </w:r>
    </w:p>
    <w:p>
      <w:pPr>
        <w:spacing w:after="0" w:line="205" w:lineRule="auto"/>
        <w:rPr>
          <w:sz w:val="20"/>
          <w:szCs w:val="20"/>
          <w:color w:val="auto"/>
        </w:rPr>
      </w:pPr>
      <w:r>
        <w:rPr>
          <w:rFonts w:ascii="Arial" w:cs="Arial" w:eastAsia="Arial" w:hAnsi="Arial"/>
          <w:sz w:val="22"/>
          <w:szCs w:val="22"/>
          <w:b w:val="1"/>
          <w:bCs w:val="1"/>
          <w:color w:val="auto"/>
        </w:rPr>
        <w:t>HORSESHOE HAMMOND, LLC</w:t>
      </w:r>
      <w:r>
        <w:rPr>
          <w:rFonts w:ascii="Arial" w:cs="Arial" w:eastAsia="Arial" w:hAnsi="Arial"/>
          <w:sz w:val="22"/>
          <w:szCs w:val="22"/>
          <w:color w:val="auto"/>
        </w:rPr>
        <w:t>, an Indiana limited liability company,</w:t>
      </w:r>
    </w:p>
    <w:p>
      <w:pPr>
        <w:spacing w:after="0" w:line="205" w:lineRule="auto"/>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205" w:lineRule="auto"/>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205" w:lineRule="auto"/>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205" w:lineRule="auto"/>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205" w:lineRule="auto"/>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line="205" w:lineRule="auto"/>
        <w:rPr>
          <w:sz w:val="20"/>
          <w:szCs w:val="20"/>
          <w:color w:val="auto"/>
        </w:rPr>
      </w:pPr>
      <w:r>
        <w:rPr>
          <w:rFonts w:ascii="Arial" w:cs="Arial" w:eastAsia="Arial" w:hAnsi="Arial"/>
          <w:sz w:val="22"/>
          <w:szCs w:val="22"/>
          <w:b w:val="1"/>
          <w:bCs w:val="1"/>
          <w:color w:val="auto"/>
        </w:rPr>
        <w:t>HARVEYS TAHOE MANAGEMENT COMPANY LLC</w:t>
      </w:r>
      <w:r>
        <w:rPr>
          <w:rFonts w:ascii="Arial" w:cs="Arial" w:eastAsia="Arial" w:hAnsi="Arial"/>
          <w:sz w:val="22"/>
          <w:szCs w:val="22"/>
          <w:color w:val="auto"/>
        </w:rPr>
        <w:t>, a Nevada limited liability company,</w:t>
      </w:r>
    </w:p>
    <w:p>
      <w:pPr>
        <w:spacing w:after="0" w:line="204" w:lineRule="auto"/>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205" w:lineRule="auto"/>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205" w:lineRule="auto"/>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8229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to Twelfth Amendment to Regional Lease]1</w:t>
      </w:r>
    </w:p>
    <w:p>
      <w:pPr>
        <w:sectPr>
          <w:pgSz w:w="11900" w:h="16838" w:orient="portrait"/>
          <w:cols w:equalWidth="0" w:num="1">
            <w:col w:w="10139"/>
          </w:cols>
          <w:pgMar w:left="320" w:top="1440" w:right="1440"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HORSESHOE ENTERTAINMENT,</w:t>
      </w:r>
    </w:p>
    <w:p>
      <w:pPr>
        <w:spacing w:after="0"/>
        <w:rPr>
          <w:sz w:val="20"/>
          <w:szCs w:val="20"/>
          <w:color w:val="auto"/>
        </w:rPr>
      </w:pPr>
      <w:r>
        <w:rPr>
          <w:rFonts w:ascii="Arial" w:cs="Arial" w:eastAsia="Arial" w:hAnsi="Arial"/>
          <w:sz w:val="22"/>
          <w:szCs w:val="22"/>
          <w:color w:val="auto"/>
        </w:rPr>
        <w:t>a Louisiana limited partnership</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ind w:left="220"/>
        <w:spacing w:after="0" w:line="204" w:lineRule="auto"/>
        <w:rPr>
          <w:sz w:val="20"/>
          <w:szCs w:val="20"/>
          <w:color w:val="auto"/>
        </w:rPr>
      </w:pPr>
      <w:r>
        <w:rPr>
          <w:rFonts w:ascii="Arial" w:cs="Arial" w:eastAsia="Arial" w:hAnsi="Arial"/>
          <w:sz w:val="22"/>
          <w:szCs w:val="22"/>
          <w:color w:val="auto"/>
        </w:rPr>
        <w:t>a Nevada limited partnership,</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16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ind w:left="440"/>
        <w:spacing w:after="0" w:line="204" w:lineRule="auto"/>
        <w:rPr>
          <w:sz w:val="20"/>
          <w:szCs w:val="20"/>
          <w:color w:val="auto"/>
        </w:rPr>
      </w:pPr>
      <w:r>
        <w:rPr>
          <w:rFonts w:ascii="Arial" w:cs="Arial" w:eastAsia="Arial" w:hAnsi="Arial"/>
          <w:sz w:val="22"/>
          <w:szCs w:val="22"/>
          <w:color w:val="auto"/>
        </w:rPr>
        <w:t>a Nevada limited liability company,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-5715</wp:posOffset>
            </wp:positionV>
            <wp:extent cx="822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4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 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rPr>
          <w:sz w:val="20"/>
          <w:szCs w:val="20"/>
          <w:color w:val="auto"/>
        </w:rPr>
      </w:pPr>
      <w:r>
        <w:rPr>
          <w:rFonts w:ascii="Arial" w:cs="Arial" w:eastAsia="Arial" w:hAnsi="Arial"/>
          <w:sz w:val="22"/>
          <w:szCs w:val="22"/>
          <w:color w:val="auto"/>
        </w:rPr>
        <w:t>a New Jersey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ind w:left="220"/>
        <w:spacing w:after="0" w:line="204" w:lineRule="auto"/>
        <w:rPr>
          <w:sz w:val="20"/>
          <w:szCs w:val="20"/>
          <w:color w:val="auto"/>
        </w:rPr>
      </w:pPr>
      <w:r>
        <w:rPr>
          <w:rFonts w:ascii="Arial" w:cs="Arial" w:eastAsia="Arial" w:hAnsi="Arial"/>
          <w:sz w:val="22"/>
          <w:szCs w:val="22"/>
          <w:color w:val="auto"/>
        </w:rPr>
        <w:t>a New Jersey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229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rPr>
          <w:sz w:val="20"/>
          <w:szCs w:val="20"/>
          <w:color w:val="auto"/>
        </w:rPr>
      </w:pPr>
      <w:r>
        <w:rPr>
          <w:rFonts w:ascii="Arial" w:cs="Arial" w:eastAsia="Arial" w:hAnsi="Arial"/>
          <w:sz w:val="22"/>
          <w:szCs w:val="22"/>
          <w:color w:val="auto"/>
        </w:rPr>
        <w:t>a Nevada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229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1899"/>
        <w:spacing w:after="0"/>
        <w:rPr>
          <w:sz w:val="20"/>
          <w:szCs w:val="20"/>
          <w:color w:val="auto"/>
        </w:rPr>
      </w:pPr>
      <w:r>
        <w:rPr>
          <w:rFonts w:ascii="Arial" w:cs="Arial" w:eastAsia="Arial" w:hAnsi="Arial"/>
          <w:sz w:val="22"/>
          <w:szCs w:val="22"/>
          <w:color w:val="auto"/>
        </w:rPr>
        <w:t>[Signature Page to Twelfth Amendment to Regional Lease]1</w:t>
      </w:r>
    </w:p>
    <w:p>
      <w:pPr>
        <w:sectPr>
          <w:pgSz w:w="11900" w:h="16838" w:orient="portrait"/>
          <w:cols w:equalWidth="0" w:num="1">
            <w:col w:w="10139"/>
          </w:cols>
          <w:pgMar w:left="320" w:top="1382" w:right="1440"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auto"/>
        </w:rPr>
        <w:t>CHESTER DOWNS AND MARINA, LLC,</w:t>
      </w:r>
    </w:p>
    <w:p>
      <w:pPr>
        <w:spacing w:after="0"/>
        <w:rPr>
          <w:sz w:val="20"/>
          <w:szCs w:val="20"/>
          <w:color w:val="auto"/>
        </w:rPr>
      </w:pPr>
      <w:r>
        <w:rPr>
          <w:rFonts w:ascii="Arial" w:cs="Arial" w:eastAsia="Arial" w:hAnsi="Arial"/>
          <w:sz w:val="22"/>
          <w:szCs w:val="22"/>
          <w:color w:val="auto"/>
        </w:rPr>
        <w:t>a Pennsylvania limited liability company</w:t>
      </w:r>
    </w:p>
    <w:p>
      <w:pPr>
        <w:spacing w:after="0" w:line="188" w:lineRule="exact"/>
        <w:rPr>
          <w:sz w:val="20"/>
          <w:szCs w:val="20"/>
          <w:color w:val="auto"/>
        </w:rPr>
      </w:pPr>
    </w:p>
    <w:p>
      <w:pPr>
        <w:ind w:left="220" w:right="5019" w:hanging="215"/>
        <w:spacing w:after="0" w:line="232"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22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71" w:lineRule="exact"/>
        <w:rPr>
          <w:sz w:val="20"/>
          <w:szCs w:val="20"/>
          <w:color w:val="auto"/>
        </w:rPr>
      </w:pPr>
    </w:p>
    <w:p>
      <w:pPr>
        <w:ind w:right="4099"/>
        <w:spacing w:after="0" w:line="235"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1899"/>
        <w:spacing w:after="0"/>
        <w:rPr>
          <w:sz w:val="20"/>
          <w:szCs w:val="20"/>
          <w:color w:val="auto"/>
        </w:rPr>
      </w:pPr>
      <w:r>
        <w:rPr>
          <w:rFonts w:ascii="Arial" w:cs="Arial" w:eastAsia="Arial" w:hAnsi="Arial"/>
          <w:sz w:val="22"/>
          <w:szCs w:val="22"/>
          <w:color w:val="auto"/>
        </w:rPr>
        <w:t>[Signature Page to Twelfth Amendment to Regional Lease]1</w:t>
      </w:r>
    </w:p>
    <w:p>
      <w:pPr>
        <w:sectPr>
          <w:pgSz w:w="11900" w:h="16838" w:orient="portrait"/>
          <w:cols w:equalWidth="0" w:num="1">
            <w:col w:w="10139"/>
          </w:cols>
          <w:pgMar w:left="320" w:top="1382" w:right="1440"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 xml:space="preserve">Acknowledged and agreed, solely for the purposes of the penultimate paragraph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rPr>
          <w:sz w:val="20"/>
          <w:szCs w:val="20"/>
          <w:color w:val="auto"/>
        </w:rPr>
      </w:pPr>
      <w:r>
        <w:rPr>
          <w:rFonts w:ascii="Arial" w:cs="Arial" w:eastAsia="Arial" w:hAnsi="Arial"/>
          <w:sz w:val="22"/>
          <w:szCs w:val="22"/>
          <w:color w:val="auto"/>
        </w:rPr>
        <w:t>a Delaware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5486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to Twelfth Amendment to Regional Lease]1</w:t>
      </w:r>
    </w:p>
    <w:p>
      <w:pPr>
        <w:sectPr>
          <w:pgSz w:w="11900" w:h="16838" w:orient="portrait"/>
          <w:cols w:equalWidth="0" w:num="1">
            <w:col w:w="10139"/>
          </w:cols>
          <w:pgMar w:left="320" w:top="1401" w:right="144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Twelfth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without definition having the meanings set forth in the Amendment), dated as of April 7, 2023,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by and between Guarantor and Landlord, and agrees that, except as expressly set forth in </w:t>
      </w:r>
      <w:r>
        <w:rPr>
          <w:rFonts w:ascii="Arial" w:cs="Arial" w:eastAsia="Arial" w:hAnsi="Arial"/>
          <w:sz w:val="21"/>
          <w:szCs w:val="21"/>
          <w:u w:val="single" w:color="auto"/>
          <w:color w:val="auto"/>
        </w:rPr>
        <w:t>Section 2.A.ii</w:t>
      </w:r>
      <w:r>
        <w:rPr>
          <w:rFonts w:ascii="Arial" w:cs="Arial" w:eastAsia="Arial" w:hAnsi="Arial"/>
          <w:sz w:val="21"/>
          <w:szCs w:val="21"/>
          <w:color w:val="auto"/>
        </w:rPr>
        <w:t xml:space="preserve">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April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[Acknowledgment and Agreement of Guarantor]1</w:t>
      </w:r>
    </w:p>
    <w:p>
      <w:pPr>
        <w:sectPr>
          <w:pgSz w:w="11900" w:h="16838" w:orient="portrait"/>
          <w:cols w:equalWidth="0" w:num="1">
            <w:col w:w="11240"/>
          </w:cols>
          <w:pgMar w:left="320" w:top="1395" w:right="33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6858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1559"/>
        <w:spacing w:after="0"/>
        <w:rPr>
          <w:sz w:val="20"/>
          <w:szCs w:val="20"/>
          <w:color w:val="auto"/>
        </w:rPr>
      </w:pPr>
      <w:r>
        <w:rPr>
          <w:rFonts w:ascii="Arial" w:cs="Arial" w:eastAsia="Arial" w:hAnsi="Arial"/>
          <w:sz w:val="22"/>
          <w:szCs w:val="22"/>
          <w:color w:val="auto"/>
        </w:rPr>
        <w:t>[Signature Page to Acknowledgment and Agreement of Guarantor]1</w:t>
      </w:r>
    </w:p>
    <w:p>
      <w:pPr>
        <w:sectPr>
          <w:pgSz w:w="11900" w:h="16838" w:orient="portrait"/>
          <w:cols w:equalWidth="0" w:num="1">
            <w:col w:w="10139"/>
          </w:cols>
          <w:pgMar w:left="320" w:top="1395" w:right="1440" w:bottom="1440" w:gutter="0" w:footer="0" w:header="0"/>
        </w:sectPr>
      </w:pPr>
    </w:p>
    <w:bookmarkStart w:id="81" w:name="page82"/>
    <w:bookmarkEnd w:id="81"/>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71" w:lineRule="exact"/>
        <w:rPr>
          <w:sz w:val="20"/>
          <w:szCs w:val="20"/>
          <w:color w:val="auto"/>
        </w:rPr>
      </w:pPr>
    </w:p>
    <w:p>
      <w:pPr>
        <w:ind w:right="7439" w:firstLine="8"/>
        <w:spacing w:after="0" w:line="309" w:lineRule="auto"/>
        <w:tabs>
          <w:tab w:leader="none" w:pos="666" w:val="left"/>
        </w:tabs>
        <w:numPr>
          <w:ilvl w:val="0"/>
          <w:numId w:val="59"/>
        </w:numPr>
        <w:rPr>
          <w:rFonts w:ascii="Arial" w:cs="Arial" w:eastAsia="Arial" w:hAnsi="Arial"/>
          <w:sz w:val="22"/>
          <w:szCs w:val="22"/>
          <w:color w:val="auto"/>
        </w:rPr>
      </w:pPr>
      <w:r>
        <w:rPr>
          <w:rFonts w:ascii="Arial" w:cs="Arial" w:eastAsia="Arial" w:hAnsi="Arial"/>
          <w:sz w:val="22"/>
          <w:szCs w:val="22"/>
          <w:color w:val="auto"/>
        </w:rPr>
        <w:t>Propco LLC Harrah’s Lake Tahoe LLC Harvey’s Lake Tahoe LLC Harrah’s Reno LLC Vegas Development LLC Vegas Operating Property LLC Miscellaneous Land LLC Propco Gulfport LLC Philadelphia Propco LLC Harrah’s Atlantic City LLC New Laughlin Owner LLC 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401" w:right="1440" w:bottom="1440" w:gutter="0" w:footer="0" w:header="0"/>
        </w:sectPr>
      </w:pPr>
    </w:p>
    <w:bookmarkStart w:id="82" w:name="page83"/>
    <w:bookmarkEnd w:id="82"/>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179" w:lineRule="exact"/>
        <w:rPr>
          <w:sz w:val="20"/>
          <w:szCs w:val="20"/>
          <w:color w:val="auto"/>
        </w:rPr>
      </w:pPr>
    </w:p>
    <w:p>
      <w:pPr>
        <w:ind w:right="1799"/>
        <w:spacing w:after="0" w:line="307"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B</w:t>
      </w:r>
    </w:p>
    <w:p>
      <w:pPr>
        <w:spacing w:after="0" w:line="317"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|US-DOCS\134083169.6||</w:t>
      </w:r>
    </w:p>
    <w:p>
      <w:pPr>
        <w:sectPr>
          <w:pgSz w:w="11900" w:h="16838" w:orient="portrait"/>
          <w:cols w:equalWidth="0" w:num="1">
            <w:col w:w="10139"/>
          </w:cols>
          <w:pgMar w:left="320" w:top="1401"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u w:val="single" w:color="auto"/>
          <w:color w:val="auto"/>
        </w:rPr>
        <w:t>Annex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CP3 Property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(APN 162-16-410-050)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That portion of the North Half (N ½) of Section 21, Township 21 South, Range 61 East, M.D.M., more particularly described as follows:</w:t>
      </w:r>
    </w:p>
    <w:p>
      <w:pPr>
        <w:spacing w:after="0" w:line="198" w:lineRule="exact"/>
        <w:rPr>
          <w:sz w:val="20"/>
          <w:szCs w:val="20"/>
          <w:color w:val="auto"/>
        </w:rPr>
      </w:pPr>
    </w:p>
    <w:p>
      <w:pPr>
        <w:ind w:right="1220"/>
        <w:spacing w:after="0" w:line="436" w:lineRule="auto"/>
        <w:rPr>
          <w:sz w:val="20"/>
          <w:szCs w:val="20"/>
          <w:color w:val="auto"/>
        </w:rPr>
      </w:pPr>
      <w:r>
        <w:rPr>
          <w:rFonts w:ascii="Arial" w:cs="Arial" w:eastAsia="Arial" w:hAnsi="Arial"/>
          <w:sz w:val="20"/>
          <w:szCs w:val="20"/>
          <w:color w:val="auto"/>
        </w:rPr>
        <w:t>Lot Three (3) as shown on file in File 62 of Parcel Maps, Page 64 in the office of the County Recorder, Clark County, Nevada. (APN 162-21-110-001)</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Lots One (1) and Two (2) in Block One (1) of Flamingo Estates, as shown by map thereof on file in Book 5 of Plats, Page 22, in the office of the County Recorder, Clark County, Nevada.</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Excepting therefrom that portion as conveyed to Clark County by Deed recorded June 8, 1983, in Book 1747 as Document No. 1706535, of Official Records.</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Further Excepting therefrom that portion as conveyed to Clark County by Deed recorded February 24, 1994, in Book 940224 as Document No. 00525, of Official Records.</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Further Excepting therefrom that portion as relinquished to Clark County by that certain Resolution of Relinquishment of a portion of State Highway Right of Way recorded December 3, 2002, in Book 20021203 as Document No. 01508, of Official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w:t>
      </w:r>
    </w:p>
    <w:p>
      <w:pPr>
        <w:sectPr>
          <w:pgSz w:w="11900" w:h="16838" w:orient="portrait"/>
          <w:cols w:equalWidth="0" w:num="1">
            <w:col w:w="11240"/>
          </w:cols>
          <w:pgMar w:left="320" w:top="140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0" w:hanging="644"/>
        <w:spacing w:after="0" w:line="342" w:lineRule="auto"/>
        <w:tabs>
          <w:tab w:leader="none" w:pos="1297"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644"/>
        <w:spacing w:after="0" w:line="308" w:lineRule="auto"/>
        <w:tabs>
          <w:tab w:leader="none" w:pos="1297"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20" w:hanging="644"/>
        <w:spacing w:after="0" w:line="277" w:lineRule="auto"/>
        <w:tabs>
          <w:tab w:leader="none" w:pos="12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0" w:hanging="644"/>
        <w:spacing w:after="0" w:line="342" w:lineRule="auto"/>
        <w:tabs>
          <w:tab w:leader="none" w:pos="129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644"/>
        <w:spacing w:after="0" w:line="308" w:lineRule="auto"/>
        <w:tabs>
          <w:tab w:leader="none" w:pos="1297"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20" w:hanging="644"/>
        <w:spacing w:after="0" w:line="277" w:lineRule="auto"/>
        <w:tabs>
          <w:tab w:leader="none" w:pos="12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ind w:left="5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2023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hanging="65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2023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tables present the consolidating condensed balance sheets as of March 31, 2023 and December 31, 2022, consolidating condensed statements of operations for the three months ended March 31, 2023 and 2022, cash flows for the three months ended March 31, 2023 and 2022, and Adjusted EBITDA for the three months ended March 31, 2023 of Caesars Resort Collection, LLC (“CRC”), as it consolidates into CEI as a wholly-owned subsidiary. “Other Operations, Eliminations” presents the operations of CEI’s other subsidiaries, including eliminations of intercompany transactions.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March 31, 2023 and December 31, 2022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4"/>
              </w:rPr>
              <w:t>March 31, 2023</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December 31, 2022</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Investments in and advances to unconsolidated</w:t>
            </w: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affiliates</w:t>
            </w: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Intangible assets other than goodwill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7,017</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80" w:type="dxa"/>
            <w:vAlign w:val="bottom"/>
            <w:gridSpan w:val="4"/>
            <w:shd w:val="clear" w:color="auto" w:fill="CCEEFF"/>
          </w:tcPr>
          <w:p>
            <w:pPr>
              <w:ind w:left="560"/>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Due to affiliates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to related party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8,255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29,776</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three months ended March 31, 2023 and 2022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ind w:left="340"/>
              <w:spacing w:after="0"/>
              <w:rPr>
                <w:sz w:val="20"/>
                <w:szCs w:val="20"/>
                <w:color w:val="auto"/>
              </w:rPr>
            </w:pPr>
            <w:r>
              <w:rPr>
                <w:rFonts w:ascii="Arial" w:cs="Arial" w:eastAsia="Arial" w:hAnsi="Arial"/>
                <w:sz w:val="16"/>
                <w:szCs w:val="16"/>
                <w:b w:val="1"/>
                <w:bCs w:val="1"/>
                <w:color w:val="auto"/>
                <w:w w:val="95"/>
              </w:rPr>
              <w:t>Three Months Ended March 31, 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March 31, 2022</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1,585</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operating costs.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rPr>
              <w:t>Loss from continuing operations, net of income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4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Net (income) loss attributable to noncontrolling</w:t>
            </w:r>
          </w:p>
        </w:tc>
        <w:tc>
          <w:tcPr>
            <w:tcW w:w="2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interests</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the three months ended March 31, 2023 and 2022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8"/>
          </w:tcPr>
          <w:p>
            <w:pPr>
              <w:ind w:left="480"/>
              <w:spacing w:after="0"/>
              <w:rPr>
                <w:sz w:val="20"/>
                <w:szCs w:val="20"/>
                <w:color w:val="auto"/>
              </w:rPr>
            </w:pPr>
            <w:r>
              <w:rPr>
                <w:rFonts w:ascii="Arial" w:cs="Arial" w:eastAsia="Arial" w:hAnsi="Arial"/>
                <w:sz w:val="14"/>
                <w:szCs w:val="14"/>
                <w:b w:val="1"/>
                <w:bCs w:val="1"/>
                <w:color w:val="auto"/>
              </w:rPr>
              <w:t>Three Months Ended March 31, 2023</w:t>
            </w:r>
          </w:p>
        </w:tc>
        <w:tc>
          <w:tcPr>
            <w:tcW w:w="220" w:type="dxa"/>
            <w:vAlign w:val="bottom"/>
          </w:tcPr>
          <w:p>
            <w:pPr>
              <w:spacing w:after="0"/>
              <w:rPr>
                <w:sz w:val="16"/>
                <w:szCs w:val="16"/>
                <w:color w:val="auto"/>
              </w:rPr>
            </w:pPr>
          </w:p>
        </w:tc>
        <w:tc>
          <w:tcPr>
            <w:tcW w:w="3520" w:type="dxa"/>
            <w:vAlign w:val="bottom"/>
            <w:gridSpan w:val="7"/>
          </w:tcPr>
          <w:p>
            <w:pPr>
              <w:jc w:val="right"/>
              <w:ind w:right="648"/>
              <w:spacing w:after="0"/>
              <w:rPr>
                <w:sz w:val="20"/>
                <w:szCs w:val="20"/>
                <w:color w:val="auto"/>
              </w:rPr>
            </w:pPr>
            <w:r>
              <w:rPr>
                <w:rFonts w:ascii="Arial" w:cs="Arial" w:eastAsia="Arial" w:hAnsi="Arial"/>
                <w:sz w:val="14"/>
                <w:szCs w:val="14"/>
                <w:b w:val="1"/>
                <w:bCs w:val="1"/>
                <w:color w:val="auto"/>
              </w:rPr>
              <w:t>Three Months Ended March 31, 2022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Other Operations,</w:t>
            </w: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CEI Consolidated</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Other Operations,</w:t>
            </w:r>
          </w:p>
        </w:tc>
        <w:tc>
          <w:tcPr>
            <w:tcW w:w="80" w:type="dxa"/>
            <w:vAlign w:val="bottom"/>
          </w:tcPr>
          <w:p>
            <w:pPr>
              <w:spacing w:after="0"/>
              <w:rPr>
                <w:sz w:val="11"/>
                <w:szCs w:val="11"/>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CEI 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Purchase of property and equipment, net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tcPr>
          <w:p>
            <w:pPr>
              <w:ind w:left="200"/>
              <w:spacing w:after="0" w:line="135" w:lineRule="exact"/>
              <w:rPr>
                <w:sz w:val="20"/>
                <w:szCs w:val="20"/>
                <w:color w:val="auto"/>
              </w:rPr>
            </w:pPr>
            <w:r>
              <w:rPr>
                <w:rFonts w:ascii="Arial" w:cs="Arial" w:eastAsia="Arial" w:hAnsi="Arial"/>
                <w:sz w:val="14"/>
                <w:szCs w:val="14"/>
                <w:color w:val="auto"/>
                <w:w w:val="92"/>
              </w:rPr>
              <w:t>Proceeds from sale of businesses, property and equipment,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net of cash sold</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Proceeds from insurance related to property damage</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4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rPr>
              <w:t>Proceeds from long-term debt and revolving credit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facilities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Repayments of long-term debt and revolving credit</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(4,630)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facilities</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Financing obligation payments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Debt issuance and extinguishment costs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3"/>
              </w:rPr>
              <w:t>Taxes paid related to net share settlement of equity awards</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46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CASH FLOWS FROM DISCONTINUED OPERATIONS: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Cash flow from financing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420"/>
              <w:spacing w:after="0"/>
              <w:rPr>
                <w:sz w:val="20"/>
                <w:szCs w:val="20"/>
                <w:color w:val="auto"/>
              </w:rPr>
            </w:pPr>
            <w:r>
              <w:rPr>
                <w:rFonts w:ascii="Arial" w:cs="Arial" w:eastAsia="Arial" w:hAnsi="Arial"/>
                <w:sz w:val="14"/>
                <w:szCs w:val="14"/>
                <w:color w:val="auto"/>
              </w:rPr>
              <w:t>Net cash from discontinued operations</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Effect of foreign currency exchange rates on cash</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w w:val="99"/>
              </w:rPr>
              <w:t>Decrease in cash, cash equivalents and restricted cash</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w w:val="97"/>
              </w:rPr>
              <w:t>Cash, cash equivalents and restricted cash, beginning of</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w w:val="95"/>
              </w:rPr>
              <w:t>Cash, cash equivalents and restricted cash, end of period</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reconciliations of net income (loss) attributable to Caesars to Adjusted EBITDA for the three months ended March 31, 2023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4"/>
              </w:rPr>
              <w:t>Three Months Ended March 31, 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12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Benefit for income tax</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 costs and other,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2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1)"/>
      <w:numFmt w:val="lowerLetter"/>
      <w:start w:val="1"/>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2"/>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3"/>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Roman"/>
      <w:start w:val="1"/>
    </w:lvl>
  </w:abstractNum>
  <w:abstractNum w:abstractNumId="27">
    <w:nsid w:val="7A6D8D3C"/>
    <w:multiLevelType w:val="hybridMultilevel"/>
    <w:lvl w:ilvl="0">
      <w:lvlJc w:val="left"/>
      <w:lvlText w:val="%1."/>
      <w:numFmt w:val="lowerRoman"/>
      <w:start w:val="7"/>
    </w:lvl>
  </w:abstractNum>
  <w:abstractNum w:abstractNumId="28">
    <w:nsid w:val="4B588F54"/>
    <w:multiLevelType w:val="hybridMultilevel"/>
    <w:lvl w:ilvl="0">
      <w:lvlJc w:val="left"/>
      <w:lvlText w:val="(%1)"/>
      <w:numFmt w:val="lowerLetter"/>
      <w:start w:val="4"/>
    </w:lvl>
  </w:abstractNum>
  <w:abstractNum w:abstractNumId="29">
    <w:nsid w:val="542289EC"/>
    <w:multiLevelType w:val="hybridMultilevel"/>
    <w:lvl w:ilvl="0">
      <w:lvlJc w:val="left"/>
      <w:lvlText w:val="%1."/>
      <w:numFmt w:val="lowerRoman"/>
      <w:start w:val="1"/>
    </w:lvl>
  </w:abstractNum>
  <w:abstractNum w:abstractNumId="30">
    <w:nsid w:val="6DE91B18"/>
    <w:multiLevelType w:val="hybridMultilevel"/>
    <w:lvl w:ilvl="0">
      <w:lvlJc w:val="left"/>
      <w:lvlText w:val="%1."/>
      <w:numFmt w:val="lowerRoman"/>
      <w:start w:val="2"/>
    </w:lvl>
  </w:abstractNum>
  <w:abstractNum w:abstractNumId="31">
    <w:nsid w:val="38437FDB"/>
    <w:multiLevelType w:val="hybridMultilevel"/>
    <w:lvl w:ilvl="0">
      <w:lvlJc w:val="left"/>
      <w:lvlText w:val="(%1)"/>
      <w:numFmt w:val="lowerLetter"/>
      <w:start w:val="5"/>
    </w:lvl>
  </w:abstractNum>
  <w:abstractNum w:abstractNumId="32">
    <w:nsid w:val="7644A45C"/>
    <w:multiLevelType w:val="hybridMultilevel"/>
    <w:lvl w:ilvl="0">
      <w:lvlJc w:val="left"/>
      <w:lvlText w:val="%1."/>
      <w:numFmt w:val="lowerRoman"/>
      <w:start w:val="1"/>
    </w:lvl>
  </w:abstractNum>
  <w:abstractNum w:abstractNumId="33">
    <w:nsid w:val="32FFF902"/>
    <w:multiLevelType w:val="hybridMultilevel"/>
    <w:lvl w:ilvl="0">
      <w:lvlJc w:val="left"/>
      <w:lvlText w:val="%1"/>
      <w:numFmt w:val="upperLetter"/>
      <w:start w:val="1"/>
    </w:lvl>
    <w:lvl w:ilvl="1">
      <w:lvlJc w:val="left"/>
      <w:lvlText w:val="(%2)"/>
      <w:numFmt w:val="lowerLetter"/>
      <w:start w:val="10"/>
    </w:lvl>
  </w:abstractNum>
  <w:abstractNum w:abstractNumId="34">
    <w:nsid w:val="684A481A"/>
    <w:multiLevelType w:val="hybridMultilevel"/>
    <w:lvl w:ilvl="0">
      <w:lvlJc w:val="left"/>
      <w:lvlText w:val="(%1)"/>
      <w:numFmt w:val="upperLetter"/>
      <w:start w:val="2"/>
    </w:lvl>
    <w:lvl w:ilvl="1">
      <w:lvlJc w:val="left"/>
      <w:lvlText w:val="(%2)"/>
      <w:numFmt w:val="lowerLetter"/>
      <w:start w:val="13"/>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Roman"/>
      <w:start w:val="1"/>
    </w:lvl>
  </w:abstractNum>
  <w:abstractNum w:abstractNumId="38">
    <w:nsid w:val="1BA026FA"/>
    <w:multiLevelType w:val="hybridMultilevel"/>
    <w:lvl w:ilvl="0">
      <w:lvlJc w:val="left"/>
      <w:lvlText w:val="(%1)"/>
      <w:numFmt w:val="lowerLetter"/>
      <w:start w:val="2"/>
    </w:lvl>
  </w:abstractNum>
  <w:abstractNum w:abstractNumId="39">
    <w:nsid w:val="79A1DEAA"/>
    <w:multiLevelType w:val="hybridMultilevel"/>
    <w:lvl w:ilvl="0">
      <w:lvlJc w:val="left"/>
      <w:lvlText w:val="%1."/>
      <w:numFmt w:val="lowerRoman"/>
      <w:start w:val="1"/>
    </w:lvl>
  </w:abstractNum>
  <w:abstractNum w:abstractNumId="40">
    <w:nsid w:val="75C6C33A"/>
    <w:multiLevelType w:val="hybridMultilevel"/>
    <w:lvl w:ilvl="0">
      <w:lvlJc w:val="left"/>
      <w:lvlText w:val="(%1)"/>
      <w:numFmt w:val="lowerLetter"/>
      <w:start w:val="3"/>
    </w:lvl>
  </w:abstractNum>
  <w:abstractNum w:abstractNumId="41">
    <w:nsid w:val="12E685FB"/>
    <w:multiLevelType w:val="hybridMultilevel"/>
    <w:lvl w:ilvl="0">
      <w:lvlJc w:val="left"/>
      <w:lvlText w:val="%1."/>
      <w:numFmt w:val="lowerRoman"/>
      <w:start w:val="1"/>
    </w:lvl>
  </w:abstractNum>
  <w:abstractNum w:abstractNumId="42">
    <w:nsid w:val="70C6A529"/>
    <w:multiLevelType w:val="hybridMultilevel"/>
    <w:lvl w:ilvl="0">
      <w:lvlJc w:val="left"/>
      <w:lvlText w:val="(%1)"/>
      <w:numFmt w:val="lowerLetter"/>
      <w:start w:val="5"/>
    </w:lvl>
  </w:abstractNum>
  <w:abstractNum w:abstractNumId="43">
    <w:nsid w:val="520EEDD1"/>
    <w:multiLevelType w:val="hybridMultilevel"/>
    <w:lvl w:ilvl="0">
      <w:lvlJc w:val="left"/>
      <w:lvlText w:val="%1."/>
      <w:numFmt w:val="lowerRoman"/>
      <w:start w:val="1"/>
    </w:lvl>
  </w:abstractNum>
  <w:abstractNum w:abstractNumId="44">
    <w:nsid w:val="374A3FE6"/>
    <w:multiLevelType w:val="hybridMultilevel"/>
    <w:lvl w:ilvl="0">
      <w:lvlJc w:val="left"/>
      <w:lvlText w:val="(%1)"/>
      <w:numFmt w:val="lowerLetter"/>
      <w:start w:val="6"/>
    </w:lvl>
  </w:abstractNum>
  <w:abstractNum w:abstractNumId="45">
    <w:nsid w:val="4F4EF005"/>
    <w:multiLevelType w:val="hybridMultilevel"/>
    <w:lvl w:ilvl="0">
      <w:lvlJc w:val="left"/>
      <w:lvlText w:val="(%1)"/>
      <w:numFmt w:val="lowerLetter"/>
      <w:start w:val="7"/>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2"/>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2"/>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55">
    <w:nsid w:val="15B5AF5C"/>
    <w:multiLevelType w:val="hybridMultilevel"/>
    <w:lvl w:ilvl="0">
      <w:lvlJc w:val="left"/>
      <w:lvlText w:val="%1."/>
      <w:numFmt w:val="upperLetter"/>
      <w:start w:val="5"/>
    </w:lvl>
    <w:lvl w:ilvl="1">
      <w:lvlJc w:val="left"/>
      <w:lvlText w:val="%2."/>
      <w:numFmt w:val="lowerRoman"/>
      <w:start w:val="1"/>
    </w:lvl>
  </w:abstractNum>
  <w:abstractNum w:abstractNumId="56">
    <w:nsid w:val="741226BB"/>
    <w:multiLevelType w:val="hybridMultilevel"/>
    <w:lvl w:ilvl="0">
      <w:lvlJc w:val="left"/>
      <w:lvlText w:val="%1."/>
      <w:numFmt w:val="decimal"/>
      <w:start w:val="3"/>
    </w:lvl>
  </w:abstractNum>
  <w:abstractNum w:abstractNumId="57">
    <w:nsid w:val="D34B6A8"/>
    <w:multiLevelType w:val="hybridMultilevel"/>
    <w:lvl w:ilvl="0">
      <w:lvlJc w:val="left"/>
      <w:lvlText w:val="%1"/>
      <w:numFmt w:val="upperLetter"/>
      <w:start w:val="75"/>
    </w:lvl>
  </w:abstractNum>
  <w:abstractNum w:abstractNumId="58">
    <w:nsid w:val="10233C99"/>
    <w:multiLevelType w:val="hybridMultilevel"/>
    <w:lvl w:ilvl="0">
      <w:lvlJc w:val="left"/>
      <w:lvlText w:val="%1"/>
      <w:numFmt w:val="upperLetter"/>
      <w:start w:val="75"/>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57" Type="http://schemas.openxmlformats.org/officeDocument/2006/relationships/hyperlink" Target="https://www.sec.gov/Archives/edgar/data/1590895/000159089521000118/ex31-compositecertificateo.htm" TargetMode="External"/><Relationship Id="rId58" Type="http://schemas.openxmlformats.org/officeDocument/2006/relationships/hyperlink" Target="https://www.sec.gov/Archives/edgar/data/1590895/000119312522208845/d332982dex31.htm" TargetMode="External"/><Relationship Id="rId59" Type="http://schemas.openxmlformats.org/officeDocument/2006/relationships/hyperlink" Target="http://www.sec.gov/Archives/edgar/data/1590895/000119312523025630/d455857dex101.htm" TargetMode="External"/><Relationship Id="rId60" Type="http://schemas.openxmlformats.org/officeDocument/2006/relationships/hyperlink" Target="http://www.sec.gov/Archives/edgar/data/1590895/000119312523025630/d45585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2023-05-03T05:43:59Z</dcterms:created>
  <dcterms:modified xsi:type="dcterms:W3CDTF">2023-05-03T05:43:59Z</dcterms:modified>
</cp:coreProperties>
</file>