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4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20" w:after="283"/>
        <w:jc w:val="center"/>
        <w:rPr/>
      </w:pPr>
      <w:r>
        <w:rPr>
          <w:rFonts w:ascii="Times New Roman;sans-serif" w:hAnsi="Times New Roman;sans-serif"/>
          <w:b/>
          <w:color w:val="000000"/>
          <w:sz w:val="20"/>
        </w:rPr>
        <w:t>Commission File No. 001</w:t>
      </w:r>
      <w:r>
        <w:rPr>
          <w:rFonts w:ascii="Arial;sans-serif" w:hAnsi="Arial;sans-serif"/>
          <w:b w:val="false"/>
          <w:color w:val="000000"/>
          <w:sz w:val="18"/>
        </w:rPr>
        <w:t>-</w:t>
      </w:r>
      <w:r>
        <w:rPr>
          <w:rFonts w:ascii="Times New Roman;sans-serif" w:hAnsi="Times New Roman;sans-serif"/>
          <w:b/>
          <w:color w:val="000000"/>
          <w:sz w:val="20"/>
        </w:rPr>
        <w:t xml:space="preserve">36629 </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CAESARS ENTERTAINMENT,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54" w:type="dxa"/>
        <w:jc w:val="left"/>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46-3657681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100 West Liberty Street, 12th Floor, Reno, Nevada 89501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and zip code of principal executive offices)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(775) 328-0100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p>
      <w:pPr>
        <w:pStyle w:val="TextBody"/>
        <w:bidi w:val="0"/>
        <w:spacing w:lineRule="auto" w:line="288" w:before="40" w:after="283"/>
        <w:ind w:left="0" w:right="0" w:firstLine="90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7633" w:type="dxa"/>
        <w:jc w:val="left"/>
        <w:tblInd w:w="0" w:type="dxa"/>
        <w:tblLayout w:type="fixed"/>
        <w:tblCellMar>
          <w:top w:w="28" w:type="dxa"/>
          <w:left w:w="28" w:type="dxa"/>
          <w:bottom w:w="28" w:type="dxa"/>
          <w:right w:w="28" w:type="dxa"/>
        </w:tblCellMar>
      </w:tblPr>
      <w:tblGrid>
        <w:gridCol w:w="998"/>
        <w:gridCol w:w="875"/>
        <w:gridCol w:w="887"/>
        <w:gridCol w:w="519"/>
        <w:gridCol w:w="519"/>
        <w:gridCol w:w="521"/>
        <w:gridCol w:w="970"/>
        <w:gridCol w:w="970"/>
        <w:gridCol w:w="1374"/>
      </w:tblGrid>
      <w:tr>
        <w:trPr/>
        <w:tc>
          <w:tcPr>
            <w:tcW w:w="99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$.00001 par value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CZR</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NASDAQ Stock Market</w:t>
            </w:r>
          </w:p>
        </w:tc>
      </w:tr>
    </w:tbl>
    <w:p>
      <w:pPr>
        <w:pStyle w:val="TextBody"/>
        <w:bidi w:val="0"/>
        <w:spacing w:lineRule="auto" w:line="288" w:before="0" w:after="0"/>
        <w:ind w:left="0" w:right="0" w:firstLine="90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ind w:left="0" w:right="0" w:firstLine="90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00"/>
        <w:jc w:val="both"/>
        <w:rPr/>
      </w:pPr>
      <w:r>
        <w:rPr>
          <w:rFonts w:ascii="Times New Roman;sans-serif" w:hAnsi="Times New Roman;sans-serif"/>
          <w:b w:val="false"/>
          <w:color w:val="000000"/>
          <w:sz w:val="18"/>
        </w:rPr>
        <w:t>If</w:t>
      </w:r>
      <w:r>
        <w:rPr>
          <w:color w:val="000000"/>
        </w:rPr>
        <w:t xml:space="preserve"> </w:t>
      </w:r>
      <w:r>
        <w:rPr>
          <w:rFonts w:ascii="Times New Roman;sans-serif" w:hAnsi="Times New Roman;sans-serif"/>
          <w:b w:val="false"/>
          <w:color w:val="000000"/>
          <w:sz w:val="20"/>
        </w:rPr>
        <w:t>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40" w:after="283"/>
        <w:ind w:left="0" w:right="0" w:firstLine="900"/>
        <w:jc w:val="both"/>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ind w:left="0" w:right="0" w:firstLine="900"/>
        <w:jc w:val="both"/>
        <w:rPr/>
      </w:pPr>
      <w:r>
        <w:rPr>
          <w:rFonts w:ascii="Times New Roman;sans-serif" w:hAnsi="Times New Roman;sans-serif"/>
          <w:b w:val="false"/>
          <w:color w:val="000000"/>
          <w:sz w:val="18"/>
        </w:rPr>
        <w:t>The</w:t>
      </w:r>
      <w:r>
        <w:rPr>
          <w:color w:val="000000"/>
        </w:rPr>
        <w:t xml:space="preserve"> </w:t>
      </w:r>
      <w:r>
        <w:rPr>
          <w:rFonts w:ascii="Times New Roman;sans-serif" w:hAnsi="Times New Roman;sans-serif"/>
          <w:b w:val="false"/>
          <w:color w:val="000000"/>
          <w:sz w:val="20"/>
        </w:rPr>
        <w:t>number of shares of the Registrant’s Common Stock, $0.00001 par value per share, outstanding as of July 27, 2023 was 215,289,873.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609" w:type="dxa"/>
        <w:jc w:val="left"/>
        <w:tblInd w:w="0" w:type="dxa"/>
        <w:tblLayout w:type="fixed"/>
        <w:tblCellMar>
          <w:top w:w="28" w:type="dxa"/>
          <w:left w:w="28" w:type="dxa"/>
          <w:bottom w:w="28" w:type="dxa"/>
          <w:right w:w="28" w:type="dxa"/>
        </w:tblCellMar>
      </w:tblPr>
      <w:tblGrid>
        <w:gridCol w:w="630"/>
        <w:gridCol w:w="552"/>
        <w:gridCol w:w="552"/>
        <w:gridCol w:w="2438"/>
        <w:gridCol w:w="2438"/>
        <w:gridCol w:w="2488"/>
        <w:gridCol w:w="149"/>
        <w:gridCol w:w="149"/>
        <w:gridCol w:w="213"/>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0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909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3">
              <w:r>
                <w:rPr>
                  <w:rStyle w:val="InternetLink"/>
                  <w:rFonts w:ascii="Times New Roman;sans-serif" w:hAnsi="Times New Roman;sans-serif"/>
                  <w:b/>
                  <w:color w:val="0000FF"/>
                  <w:sz w:val="20"/>
                  <w:u w:val="single"/>
                </w:rPr>
                <w:t>PART I. FINANCIAL INFORMATION</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31ddf5cb545e4c868e2e5c0b1dc21a8a_13">
              <w:r>
                <w:rPr>
                  <w:rStyle w:val="InternetLink"/>
                  <w:rFonts w:ascii="Times New Roman;sans-serif" w:hAnsi="Times New Roman;sans-serif"/>
                  <w:b w:val="false"/>
                  <w:strike w:val="false"/>
                  <w:dstrike w:val="false"/>
                  <w:color w:val="0000FF"/>
                  <w:sz w:val="20"/>
                  <w:u w:val="none"/>
                  <w:effect w:val="non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3">
              <w:r>
                <w:rPr>
                  <w:rStyle w:val="InternetLink"/>
                  <w:rFonts w:ascii="Times New Roman;sans-serif" w:hAnsi="Times New Roman;sans-serif"/>
                  <w:b w:val="false"/>
                  <w:strike w:val="false"/>
                  <w:dstrike w:val="false"/>
                  <w:color w:val="0000FF"/>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3">
              <w:r>
                <w:rPr>
                  <w:rStyle w:val="InternetLink"/>
                  <w:rFonts w:ascii="Times New Roman;sans-serif" w:hAnsi="Times New Roman;sans-serif"/>
                  <w:b w:val="false"/>
                  <w:color w:val="0000FF"/>
                  <w:sz w:val="20"/>
                  <w:u w:val="single"/>
                </w:rPr>
                <w:t>Unaudited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13">
              <w:r>
                <w:rPr>
                  <w:rStyle w:val="InternetLink"/>
                  <w:rFonts w:ascii="Times New Roman;sans-serif" w:hAnsi="Times New Roman;sans-serif"/>
                  <w:b w:val="false"/>
                  <w:strike w:val="false"/>
                  <w:dstrike w:val="false"/>
                  <w:color w:val="0000FF"/>
                  <w:sz w:val="20"/>
                  <w:u w:val="none"/>
                  <w:effect w:val="none"/>
                </w:rPr>
                <w:t>2</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6">
              <w:r>
                <w:rPr>
                  <w:rStyle w:val="InternetLink"/>
                  <w:rFonts w:ascii="Times New Roman;sans-serif" w:hAnsi="Times New Roman;sans-serif"/>
                  <w:b w:val="false"/>
                  <w:color w:val="0000FF"/>
                  <w:sz w:val="20"/>
                  <w:u w:val="single"/>
                </w:rPr>
                <w:t>Consolidated Condensed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16">
              <w:r>
                <w:rPr>
                  <w:rStyle w:val="InternetLink"/>
                  <w:rFonts w:ascii="Times New Roman;sans-serif" w:hAnsi="Times New Roman;sans-serif"/>
                  <w:b w:val="false"/>
                  <w:strike w:val="false"/>
                  <w:dstrike w:val="false"/>
                  <w:color w:val="0000FF"/>
                  <w:sz w:val="20"/>
                  <w:u w:val="none"/>
                  <w:effect w:val="non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9">
              <w:r>
                <w:rPr>
                  <w:rStyle w:val="InternetLink"/>
                  <w:rFonts w:ascii="Times New Roman;sans-serif" w:hAnsi="Times New Roman;sans-serif"/>
                  <w:b w:val="false"/>
                  <w:color w:val="0000FF"/>
                  <w:sz w:val="20"/>
                  <w:u w:val="single"/>
                </w:rPr>
                <w:t>Consolidated Condensed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19">
              <w:r>
                <w:rPr>
                  <w:rStyle w:val="InternetLink"/>
                  <w:rFonts w:ascii="Times New Roman;sans-serif" w:hAnsi="Times New Roman;sans-serif"/>
                  <w:b w:val="false"/>
                  <w:strike w:val="false"/>
                  <w:dstrike w:val="false"/>
                  <w:color w:val="0000FF"/>
                  <w:sz w:val="20"/>
                  <w:u w:val="none"/>
                  <w:effect w:val="none"/>
                </w:rPr>
                <w:t>3</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22">
              <w:r>
                <w:rPr>
                  <w:rStyle w:val="InternetLink"/>
                  <w:rFonts w:ascii="Times New Roman;sans-serif" w:hAnsi="Times New Roman;sans-serif"/>
                  <w:b w:val="false"/>
                  <w:color w:val="0000FF"/>
                  <w:sz w:val="20"/>
                  <w:u w:val="single"/>
                </w:rPr>
                <w:t>Consolidated Condensed Statements of Comprehensive Income (Loss)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22">
              <w:r>
                <w:rPr>
                  <w:rStyle w:val="InternetLink"/>
                  <w:rFonts w:ascii="Times New Roman;sans-serif" w:hAnsi="Times New Roman;sans-serif"/>
                  <w:b w:val="false"/>
                  <w:strike w:val="false"/>
                  <w:dstrike w:val="false"/>
                  <w:color w:val="0000FF"/>
                  <w:sz w:val="20"/>
                  <w:u w:val="none"/>
                  <w:effect w:val="none"/>
                </w:rPr>
                <w:t>4</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25">
              <w:r>
                <w:rPr>
                  <w:rStyle w:val="InternetLink"/>
                  <w:rFonts w:ascii="Times New Roman;sans-serif" w:hAnsi="Times New Roman;sans-serif"/>
                  <w:b w:val="false"/>
                  <w:color w:val="0000FF"/>
                  <w:sz w:val="20"/>
                  <w:u w:val="single"/>
                </w:rPr>
                <w:t>Consolidated Condensed Statements of Stockholders’ Equity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25">
              <w:r>
                <w:rPr>
                  <w:rStyle w:val="InternetLink"/>
                  <w:rFonts w:ascii="Times New Roman;sans-serif" w:hAnsi="Times New Roman;sans-serif"/>
                  <w:b w:val="false"/>
                  <w:strike w:val="false"/>
                  <w:dstrike w:val="false"/>
                  <w:color w:val="0000FF"/>
                  <w:sz w:val="20"/>
                  <w:u w:val="none"/>
                  <w:effect w:val="none"/>
                </w:rPr>
                <w:t>5</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28">
              <w:r>
                <w:rPr>
                  <w:rStyle w:val="InternetLink"/>
                  <w:rFonts w:ascii="Times New Roman;sans-serif" w:hAnsi="Times New Roman;sans-serif"/>
                  <w:b w:val="false"/>
                  <w:color w:val="0000FF"/>
                  <w:sz w:val="20"/>
                  <w:u w:val="single"/>
                </w:rPr>
                <w:t>Consolidated Condensed Statements of Cash Flows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28">
              <w:r>
                <w:rPr>
                  <w:rStyle w:val="InternetLink"/>
                  <w:rFonts w:ascii="Times New Roman;sans-serif" w:hAnsi="Times New Roman;sans-serif"/>
                  <w:b w:val="false"/>
                  <w:strike w:val="false"/>
                  <w:dstrike w:val="false"/>
                  <w:color w:val="0000FF"/>
                  <w:sz w:val="20"/>
                  <w:u w:val="none"/>
                  <w:effect w:val="none"/>
                </w:rPr>
                <w:t>6</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34">
              <w:r>
                <w:rPr>
                  <w:rStyle w:val="InternetLink"/>
                  <w:rFonts w:ascii="Times New Roman;sans-serif" w:hAnsi="Times New Roman;sans-serif"/>
                  <w:b w:val="false"/>
                  <w:color w:val="0000FF"/>
                  <w:sz w:val="20"/>
                  <w:u w:val="single"/>
                </w:rPr>
                <w:t>Notes to Consolidated Condensed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1ddf5cb545e4c868e2e5c0b1dc21a8a_34">
              <w:r>
                <w:rPr>
                  <w:rStyle w:val="InternetLink"/>
                  <w:rFonts w:ascii="Times New Roman;sans-serif" w:hAnsi="Times New Roman;sans-serif"/>
                  <w:b w:val="false"/>
                  <w:strike w:val="false"/>
                  <w:dstrike w:val="false"/>
                  <w:color w:val="0000FF"/>
                  <w:sz w:val="20"/>
                  <w:u w:val="none"/>
                  <w:effect w:val="none"/>
                </w:rPr>
                <w:t>8</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18">
              <w:r>
                <w:rPr>
                  <w:rStyle w:val="InternetLink"/>
                  <w:rFonts w:ascii="Times New Roman;sans-serif" w:hAnsi="Times New Roman;sans-serif"/>
                  <w:b w:val="false"/>
                  <w:strike w:val="false"/>
                  <w:dstrike w:val="false"/>
                  <w:color w:val="0000FF"/>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1ddf5cb545e4c868e2e5c0b1dc21a8a_11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118">
              <w:r>
                <w:rPr>
                  <w:rStyle w:val="InternetLink"/>
                  <w:rFonts w:ascii="Times New Roman;sans-serif" w:hAnsi="Times New Roman;sans-serif"/>
                  <w:b w:val="false"/>
                  <w:strike w:val="false"/>
                  <w:dstrike w:val="false"/>
                  <w:color w:val="0000FF"/>
                  <w:sz w:val="20"/>
                  <w:u w:val="none"/>
                  <w:effect w:val="none"/>
                </w:rPr>
                <w:t>29</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57">
              <w:r>
                <w:rPr>
                  <w:rStyle w:val="InternetLink"/>
                  <w:rFonts w:ascii="Times New Roman;sans-serif" w:hAnsi="Times New Roman;sans-serif"/>
                  <w:b w:val="false"/>
                  <w:strike w:val="false"/>
                  <w:dstrike w:val="false"/>
                  <w:color w:val="0000FF"/>
                  <w:sz w:val="20"/>
                  <w:u w:val="none"/>
                  <w:effect w:val="non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1ddf5cb545e4c868e2e5c0b1dc21a8a_157">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157">
              <w:r>
                <w:rPr>
                  <w:rStyle w:val="InternetLink"/>
                  <w:rFonts w:ascii="Times New Roman;sans-serif" w:hAnsi="Times New Roman;sans-serif"/>
                  <w:b w:val="false"/>
                  <w:strike w:val="false"/>
                  <w:dstrike w:val="false"/>
                  <w:color w:val="0000FF"/>
                  <w:sz w:val="20"/>
                  <w:u w:val="none"/>
                  <w:effect w:val="none"/>
                </w:rPr>
                <w:t>44</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60">
              <w:r>
                <w:rPr>
                  <w:rStyle w:val="InternetLink"/>
                  <w:rFonts w:ascii="Times New Roman;sans-serif" w:hAnsi="Times New Roman;sans-serif"/>
                  <w:b w:val="false"/>
                  <w:strike w:val="false"/>
                  <w:dstrike w:val="false"/>
                  <w:color w:val="0000FF"/>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60">
              <w:r>
                <w:rPr>
                  <w:rStyle w:val="InternetLink"/>
                  <w:rFonts w:ascii="Times New Roman;sans-serif" w:hAnsi="Times New Roman;sans-serif"/>
                  <w:b w:val="false"/>
                  <w:color w:val="0000FF"/>
                  <w:sz w:val="20"/>
                  <w:u w:val="single"/>
                </w:rPr>
                <w:t>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160">
              <w:r>
                <w:rPr>
                  <w:rStyle w:val="InternetLink"/>
                  <w:rFonts w:ascii="Times New Roman;sans-serif" w:hAnsi="Times New Roman;sans-serif"/>
                  <w:b w:val="false"/>
                  <w:strike w:val="false"/>
                  <w:dstrike w:val="false"/>
                  <w:color w:val="0000FF"/>
                  <w:sz w:val="20"/>
                  <w:u w:val="none"/>
                  <w:effect w:val="none"/>
                </w:rPr>
                <w:t>44</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63">
              <w:r>
                <w:rPr>
                  <w:rStyle w:val="InternetLink"/>
                  <w:rFonts w:ascii="Times New Roman;sans-serif" w:hAnsi="Times New Roman;sans-serif"/>
                  <w:b/>
                  <w:color w:val="0000FF"/>
                  <w:sz w:val="20"/>
                  <w:u w:val="single"/>
                </w:rPr>
                <w:t>PART II.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163">
              <w:r>
                <w:rPr>
                  <w:rStyle w:val="InternetLink"/>
                  <w:rFonts w:ascii="Times New Roman;sans-serif" w:hAnsi="Times New Roman;sans-serif"/>
                  <w:b w:val="false"/>
                  <w:strike w:val="false"/>
                  <w:dstrike w:val="false"/>
                  <w:color w:val="0000FF"/>
                  <w:sz w:val="20"/>
                  <w:u w:val="none"/>
                  <w:effect w:val="none"/>
                </w:rPr>
                <w:t>45</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66">
              <w:r>
                <w:rPr>
                  <w:rStyle w:val="InternetLink"/>
                  <w:rFonts w:ascii="Times New Roman;sans-serif" w:hAnsi="Times New Roman;sans-serif"/>
                  <w:b w:val="false"/>
                  <w:strike w:val="false"/>
                  <w:dstrike w:val="false"/>
                  <w:color w:val="0000FF"/>
                  <w:sz w:val="20"/>
                  <w:u w:val="none"/>
                  <w:effect w:val="non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66">
              <w:r>
                <w:rPr>
                  <w:rStyle w:val="InternetLink"/>
                  <w:rFonts w:ascii="Times New Roman;sans-serif" w:hAnsi="Times New Roman;sans-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166">
              <w:r>
                <w:rPr>
                  <w:rStyle w:val="InternetLink"/>
                  <w:rFonts w:ascii="Times New Roman;sans-serif" w:hAnsi="Times New Roman;sans-serif"/>
                  <w:b w:val="false"/>
                  <w:strike w:val="false"/>
                  <w:dstrike w:val="false"/>
                  <w:color w:val="0000FF"/>
                  <w:sz w:val="20"/>
                  <w:u w:val="none"/>
                  <w:effect w:val="none"/>
                </w:rPr>
                <w:t>45</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72">
              <w:r>
                <w:rPr>
                  <w:rStyle w:val="InternetLink"/>
                  <w:rFonts w:ascii="Times New Roman;sans-serif" w:hAnsi="Times New Roman;sans-serif"/>
                  <w:b w:val="false"/>
                  <w:strike w:val="false"/>
                  <w:dstrike w:val="false"/>
                  <w:color w:val="0000FF"/>
                  <w:sz w:val="20"/>
                  <w:u w:val="none"/>
                  <w:effect w:val="non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72">
              <w:r>
                <w:rPr>
                  <w:rStyle w:val="InternetLink"/>
                  <w:rFonts w:ascii="Times New Roman;sans-serif" w:hAnsi="Times New Roman;sans-serif"/>
                  <w:b w:val="false"/>
                  <w:color w:val="0000FF"/>
                  <w:sz w:val="20"/>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172">
              <w:r>
                <w:rPr>
                  <w:rStyle w:val="InternetLink"/>
                  <w:rFonts w:ascii="Times New Roman;sans-serif" w:hAnsi="Times New Roman;sans-serif"/>
                  <w:b w:val="false"/>
                  <w:strike w:val="false"/>
                  <w:dstrike w:val="false"/>
                  <w:color w:val="0000FF"/>
                  <w:sz w:val="20"/>
                  <w:u w:val="none"/>
                  <w:effect w:val="none"/>
                </w:rPr>
                <w:t>46</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75">
              <w:r>
                <w:rPr>
                  <w:rStyle w:val="InternetLink"/>
                  <w:rFonts w:ascii="Times New Roman;sans-serif" w:hAnsi="Times New Roman;sans-serif"/>
                  <w:b w:val="false"/>
                  <w:strike w:val="false"/>
                  <w:dstrike w:val="false"/>
                  <w:color w:val="0000FF"/>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75">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175">
              <w:r>
                <w:rPr>
                  <w:rStyle w:val="InternetLink"/>
                  <w:rFonts w:ascii="Times New Roman;sans-serif" w:hAnsi="Times New Roman;sans-serif"/>
                  <w:b w:val="false"/>
                  <w:strike w:val="false"/>
                  <w:dstrike w:val="false"/>
                  <w:color w:val="0000FF"/>
                  <w:sz w:val="20"/>
                  <w:u w:val="none"/>
                  <w:effect w:val="none"/>
                </w:rPr>
                <w:t>46</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78">
              <w:r>
                <w:rPr>
                  <w:rStyle w:val="InternetLink"/>
                  <w:rFonts w:ascii="Times New Roman;sans-serif" w:hAnsi="Times New Roman;sans-serif"/>
                  <w:b w:val="false"/>
                  <w:strike w:val="false"/>
                  <w:dstrike w:val="false"/>
                  <w:color w:val="0000FF"/>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78">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178">
              <w:r>
                <w:rPr>
                  <w:rStyle w:val="InternetLink"/>
                  <w:rFonts w:ascii="Times New Roman;sans-serif" w:hAnsi="Times New Roman;sans-serif"/>
                  <w:b w:val="false"/>
                  <w:strike w:val="false"/>
                  <w:dstrike w:val="false"/>
                  <w:color w:val="0000FF"/>
                  <w:sz w:val="20"/>
                  <w:u w:val="none"/>
                  <w:effect w:val="none"/>
                </w:rPr>
                <w:t>46</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81">
              <w:r>
                <w:rPr>
                  <w:rStyle w:val="InternetLink"/>
                  <w:rFonts w:ascii="Times New Roman;sans-serif" w:hAnsi="Times New Roman;sans-serif"/>
                  <w:b w:val="false"/>
                  <w:strike w:val="false"/>
                  <w:dstrike w:val="false"/>
                  <w:color w:val="0000FF"/>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81">
              <w:r>
                <w:rPr>
                  <w:rStyle w:val="InternetLink"/>
                  <w:rFonts w:ascii="Times New Roman;sans-serif" w:hAnsi="Times New Roman;sans-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181">
              <w:r>
                <w:rPr>
                  <w:rStyle w:val="InternetLink"/>
                  <w:rFonts w:ascii="Times New Roman;sans-serif" w:hAnsi="Times New Roman;sans-serif"/>
                  <w:b w:val="false"/>
                  <w:strike w:val="false"/>
                  <w:dstrike w:val="false"/>
                  <w:color w:val="0000FF"/>
                  <w:sz w:val="20"/>
                  <w:u w:val="none"/>
                  <w:effect w:val="none"/>
                </w:rPr>
                <w:t>46</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84">
              <w:r>
                <w:rPr>
                  <w:rStyle w:val="InternetLink"/>
                  <w:rFonts w:ascii="Times New Roman;sans-serif" w:hAnsi="Times New Roman;sans-serif"/>
                  <w:b w:val="false"/>
                  <w:strike w:val="false"/>
                  <w:dstrike w:val="false"/>
                  <w:color w:val="0000FF"/>
                  <w:sz w:val="20"/>
                  <w:u w:val="none"/>
                  <w:effect w:val="non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84">
              <w:r>
                <w:rPr>
                  <w:rStyle w:val="InternetLink"/>
                  <w:rFonts w:ascii="Times New Roman;sans-serif" w:hAnsi="Times New Roman;sans-serif"/>
                  <w:b w:val="false"/>
                  <w:color w:val="0000FF"/>
                  <w:sz w:val="20"/>
                  <w:u w:val="single"/>
                </w:rPr>
                <w:t>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184">
              <w:r>
                <w:rPr>
                  <w:rStyle w:val="InternetLink"/>
                  <w:rFonts w:ascii="Times New Roman;sans-serif" w:hAnsi="Times New Roman;sans-serif"/>
                  <w:b w:val="false"/>
                  <w:strike w:val="false"/>
                  <w:dstrike w:val="false"/>
                  <w:color w:val="0000FF"/>
                  <w:sz w:val="20"/>
                  <w:u w:val="none"/>
                  <w:effect w:val="none"/>
                </w:rPr>
                <w:t>46</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1ddf5cb545e4c868e2e5c0b1dc21a8a_187">
              <w:r>
                <w:rPr>
                  <w:rStyle w:val="InternetLink"/>
                  <w:rFonts w:ascii="Times New Roman;sans-serif" w:hAnsi="Times New Roman;sans-serif"/>
                  <w:b w:val="false"/>
                  <w:strike w:val="false"/>
                  <w:dstrike w:val="false"/>
                  <w:color w:val="0000FF"/>
                  <w:sz w:val="20"/>
                  <w:u w:val="none"/>
                  <w:effect w:val="non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1ddf5cb545e4c868e2e5c0b1dc21a8a_187">
              <w:r>
                <w:rPr>
                  <w:rStyle w:val="InternetLink"/>
                  <w:rFonts w:ascii="Times New Roman;sans-serif" w:hAnsi="Times New Roman;sans-serif"/>
                  <w:b w:val="false"/>
                  <w:color w:val="0000FF"/>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1ddf5cb545e4c868e2e5c0b1dc21a8a_187">
              <w:r>
                <w:rPr>
                  <w:rStyle w:val="InternetLink"/>
                  <w:rFonts w:ascii="Times New Roman;sans-serif" w:hAnsi="Times New Roman;sans-serif"/>
                  <w:b w:val="false"/>
                  <w:strike w:val="false"/>
                  <w:dstrike w:val="false"/>
                  <w:color w:val="0000FF"/>
                  <w:sz w:val="20"/>
                  <w:u w:val="none"/>
                  <w:effect w:val="none"/>
                </w:rPr>
                <w:t>47</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1ddf5cb545e4c868e2e5c0b1dc21a8a_193">
              <w:r>
                <w:rPr>
                  <w:rStyle w:val="InternetLink"/>
                  <w:rFonts w:ascii="Times New Roman;sans-serif" w:hAnsi="Times New Roman;sans-serif"/>
                  <w:b/>
                  <w:color w:val="0000FF"/>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31ddf5cb545e4c868e2e5c0b1dc21a8a_193">
              <w:r>
                <w:rPr>
                  <w:rStyle w:val="InternetLink"/>
                  <w:rFonts w:ascii="Times New Roman;sans-serif" w:hAnsi="Times New Roman;sans-serif"/>
                  <w:b w:val="false"/>
                  <w:strike w:val="false"/>
                  <w:dstrike w:val="false"/>
                  <w:color w:val="0000FF"/>
                  <w:sz w:val="20"/>
                  <w:u w:val="none"/>
                  <w:effect w:val="none"/>
                </w:rPr>
                <w:t>48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80" w:after="283"/>
        <w:jc w:val="center"/>
        <w:rPr>
          <w:rFonts w:ascii="Times New Roman;sans-serif" w:hAnsi="Times New Roman;sans-serif"/>
          <w:b/>
          <w:color w:val="BF2115"/>
          <w:sz w:val="24"/>
        </w:rPr>
      </w:pPr>
      <w:r>
        <w:rPr>
          <w:rFonts w:ascii="Times New Roman;sans-serif" w:hAnsi="Times New Roman;sans-serif"/>
          <w:b/>
          <w:color w:val="BF2115"/>
          <w:sz w:val="24"/>
        </w:rPr>
        <w:t>PART I - FINANCIAL INFORMATION</w:t>
      </w: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166" w:type="dxa"/>
        <w:jc w:val="left"/>
        <w:tblInd w:w="0" w:type="dxa"/>
        <w:tblLayout w:type="fixed"/>
        <w:tblCellMar>
          <w:top w:w="28" w:type="dxa"/>
          <w:left w:w="28" w:type="dxa"/>
          <w:bottom w:w="28" w:type="dxa"/>
          <w:right w:w="28" w:type="dxa"/>
        </w:tblCellMar>
      </w:tblPr>
      <w:tblGrid>
        <w:gridCol w:w="1485"/>
        <w:gridCol w:w="1303"/>
        <w:gridCol w:w="1307"/>
        <w:gridCol w:w="238"/>
        <w:gridCol w:w="785"/>
        <w:gridCol w:w="132"/>
        <w:gridCol w:w="109"/>
        <w:gridCol w:w="109"/>
        <w:gridCol w:w="109"/>
        <w:gridCol w:w="313"/>
        <w:gridCol w:w="1031"/>
        <w:gridCol w:w="245"/>
      </w:tblGrid>
      <w:tr>
        <w:trPr/>
        <w:tc>
          <w:tcPr>
            <w:tcW w:w="148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and advances to unconsolidated affiliates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and equipment, net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other than goodwill</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33,478 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other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2,668 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financing obligations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28,811 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7)</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stockholders’ equity</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3,751 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33,478 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33,527 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04165"/>
                <wp:effectExtent l="0" t="0" r="0" b="0"/>
                <wp:wrapNone/>
                <wp:docPr id="3" name="Frame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59" w:type="dxa"/>
        <w:jc w:val="left"/>
        <w:tblInd w:w="0" w:type="dxa"/>
        <w:tblLayout w:type="fixed"/>
        <w:tblCellMar>
          <w:top w:w="28" w:type="dxa"/>
          <w:left w:w="28" w:type="dxa"/>
          <w:bottom w:w="28" w:type="dxa"/>
          <w:right w:w="28" w:type="dxa"/>
        </w:tblCellMar>
      </w:tblPr>
      <w:tblGrid>
        <w:gridCol w:w="1635"/>
        <w:gridCol w:w="1434"/>
        <w:gridCol w:w="1446"/>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163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 except per share data)</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other costs, net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continuing operations before income taxes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continuing operations, net of income taxes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 net of income taxes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Net income (loss) per share - basic and diluted:</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income (loss) per share from continuing operations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loss per share from discontinued operations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income (loss) per share</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income (loss) per share from continuing operations</w:t>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loss per share from discontinued operations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income (loss) per share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basic shares outstanding</w:t>
            </w:r>
          </w:p>
        </w:tc>
        <w:tc>
          <w:tcPr>
            <w:tcW w:w="8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diluted shares outstanding</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04165"/>
                <wp:effectExtent l="0" t="0" r="0" b="0"/>
                <wp:wrapNone/>
                <wp:docPr id="4" name="Frame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40" w:type="dxa"/>
        <w:jc w:val="left"/>
        <w:tblInd w:w="0" w:type="dxa"/>
        <w:tblLayout w:type="fixed"/>
        <w:tblCellMar>
          <w:top w:w="28" w:type="dxa"/>
          <w:left w:w="28" w:type="dxa"/>
          <w:bottom w:w="28" w:type="dxa"/>
          <w:right w:w="28" w:type="dxa"/>
        </w:tblCellMar>
      </w:tblPr>
      <w:tblGrid>
        <w:gridCol w:w="1632"/>
        <w:gridCol w:w="1432"/>
        <w:gridCol w:w="1435"/>
        <w:gridCol w:w="258"/>
        <w:gridCol w:w="555"/>
        <w:gridCol w:w="143"/>
        <w:gridCol w:w="143"/>
        <w:gridCol w:w="143"/>
        <w:gridCol w:w="143"/>
        <w:gridCol w:w="258"/>
        <w:gridCol w:w="654"/>
        <w:gridCol w:w="143"/>
        <w:gridCol w:w="109"/>
        <w:gridCol w:w="109"/>
        <w:gridCol w:w="109"/>
        <w:gridCol w:w="235"/>
        <w:gridCol w:w="505"/>
        <w:gridCol w:w="130"/>
        <w:gridCol w:w="130"/>
        <w:gridCol w:w="130"/>
        <w:gridCol w:w="130"/>
        <w:gridCol w:w="235"/>
        <w:gridCol w:w="595"/>
        <w:gridCol w:w="184"/>
      </w:tblGrid>
      <w:tr>
        <w:trPr/>
        <w:tc>
          <w:tcPr>
            <w:tcW w:w="16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market value of interest rate swaps, net of tax</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noncontrolling interests</w:t>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Caesars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4165"/>
                <wp:effectExtent l="0" t="0" r="0" b="0"/>
                <wp:wrapNone/>
                <wp:docPr id="5" name="Frame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475" w:type="dxa"/>
        <w:jc w:val="left"/>
        <w:tblInd w:w="0" w:type="dxa"/>
        <w:tblLayout w:type="fixed"/>
        <w:tblCellMar>
          <w:top w:w="28" w:type="dxa"/>
          <w:left w:w="28" w:type="dxa"/>
          <w:bottom w:w="28" w:type="dxa"/>
          <w:right w:w="28" w:type="dxa"/>
        </w:tblCellMar>
      </w:tblPr>
      <w:tblGrid>
        <w:gridCol w:w="755"/>
        <w:gridCol w:w="215"/>
        <w:gridCol w:w="216"/>
        <w:gridCol w:w="210"/>
        <w:gridCol w:w="210"/>
        <w:gridCol w:w="211"/>
        <w:gridCol w:w="109"/>
        <w:gridCol w:w="109"/>
        <w:gridCol w:w="109"/>
        <w:gridCol w:w="207"/>
        <w:gridCol w:w="428"/>
        <w:gridCol w:w="116"/>
        <w:gridCol w:w="109"/>
        <w:gridCol w:w="109"/>
        <w:gridCol w:w="109"/>
        <w:gridCol w:w="210"/>
        <w:gridCol w:w="211"/>
        <w:gridCol w:w="211"/>
        <w:gridCol w:w="109"/>
        <w:gridCol w:w="109"/>
        <w:gridCol w:w="109"/>
        <w:gridCol w:w="207"/>
        <w:gridCol w:w="428"/>
        <w:gridCol w:w="116"/>
        <w:gridCol w:w="109"/>
        <w:gridCol w:w="109"/>
        <w:gridCol w:w="109"/>
        <w:gridCol w:w="196"/>
        <w:gridCol w:w="556"/>
        <w:gridCol w:w="109"/>
        <w:gridCol w:w="109"/>
        <w:gridCol w:w="109"/>
        <w:gridCol w:w="109"/>
        <w:gridCol w:w="251"/>
        <w:gridCol w:w="733"/>
        <w:gridCol w:w="142"/>
        <w:gridCol w:w="109"/>
        <w:gridCol w:w="109"/>
        <w:gridCol w:w="109"/>
        <w:gridCol w:w="393"/>
        <w:gridCol w:w="694"/>
        <w:gridCol w:w="219"/>
        <w:gridCol w:w="109"/>
        <w:gridCol w:w="109"/>
        <w:gridCol w:w="109"/>
        <w:gridCol w:w="244"/>
        <w:gridCol w:w="431"/>
        <w:gridCol w:w="136"/>
        <w:gridCol w:w="109"/>
        <w:gridCol w:w="109"/>
        <w:gridCol w:w="109"/>
        <w:gridCol w:w="340"/>
        <w:gridCol w:w="731"/>
        <w:gridCol w:w="190"/>
        <w:gridCol w:w="109"/>
        <w:gridCol w:w="109"/>
        <w:gridCol w:w="109"/>
        <w:gridCol w:w="263"/>
        <w:gridCol w:w="746"/>
        <w:gridCol w:w="207"/>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2021</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stock awards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2022</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(3,090)</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stock awards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Transactions with noncontrolling interests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June 30, 2022</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2022</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3,751 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Shares withheld related to net share settlement of stock awards </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2023</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stock awards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Transactions with noncontrolling interests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June 30, 2023</w:t>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4165"/>
                <wp:effectExtent l="0" t="0" r="0" b="0"/>
                <wp:wrapNone/>
                <wp:docPr id="6" name="Frame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514" w:type="dxa"/>
        <w:jc w:val="left"/>
        <w:tblInd w:w="0" w:type="dxa"/>
        <w:tblLayout w:type="fixed"/>
        <w:tblCellMar>
          <w:top w:w="28" w:type="dxa"/>
          <w:left w:w="28" w:type="dxa"/>
          <w:bottom w:w="28" w:type="dxa"/>
          <w:right w:w="28" w:type="dxa"/>
        </w:tblCellMar>
      </w:tblPr>
      <w:tblGrid>
        <w:gridCol w:w="2256"/>
        <w:gridCol w:w="1981"/>
        <w:gridCol w:w="2002"/>
        <w:gridCol w:w="213"/>
        <w:gridCol w:w="605"/>
        <w:gridCol w:w="118"/>
        <w:gridCol w:w="118"/>
        <w:gridCol w:w="118"/>
        <w:gridCol w:w="118"/>
        <w:gridCol w:w="213"/>
        <w:gridCol w:w="605"/>
        <w:gridCol w:w="167"/>
      </w:tblGrid>
      <w:tr>
        <w:trPr/>
        <w:tc>
          <w:tcPr>
            <w:tcW w:w="225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 and discounts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amortization</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investments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 and disposal of property and equipment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derivatives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adjustments to net income (loss)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gaming rights and trademarks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business, property and equipment, net of cash sold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investments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insurance related to property damage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 and revolving credit facilities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 and revolving credit facilities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obligation payments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and extinguishment costs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 owners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DISCONTINUED OPERATIONS: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discontinued operations</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exchange rates on cash</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cash equivalents and restricted cash</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4165"/>
                <wp:effectExtent l="0" t="0" r="0" b="0"/>
                <wp:wrapNone/>
                <wp:docPr id="7" name="Frame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2904"/>
        <w:gridCol w:w="2549"/>
        <w:gridCol w:w="2564"/>
        <w:gridCol w:w="204"/>
        <w:gridCol w:w="581"/>
        <w:gridCol w:w="113"/>
        <w:gridCol w:w="113"/>
        <w:gridCol w:w="113"/>
        <w:gridCol w:w="113"/>
        <w:gridCol w:w="204"/>
        <w:gridCol w:w="581"/>
        <w:gridCol w:w="166"/>
      </w:tblGrid>
      <w:tr>
        <w:trPr/>
        <w:tc>
          <w:tcPr>
            <w:tcW w:w="2904"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8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CASH, CASH EQUIVALENTS AND RESTRICTED CASH TO AMOUNTS REPORTED WITHIN THE CONSOLIDATED CONDENSED BALANCE SHEETS:</w:t>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and escrow cash included in other assets, net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held for sale - discontinued operations</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CASH FLOW INFORMATION:</w:t>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interest paid for debt</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interest paid for rent related to financing obligations</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net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for capital expenditures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01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801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4165"/>
                <wp:effectExtent l="0" t="0" r="0" b="0"/>
                <wp:wrapNone/>
                <wp:docPr id="8" name="Frame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Form 10-Q should be read in conjunction with our Annual Report on Form 10-K for the year ended December 31, 2022 (the “2022 Annual Report”). Capitalized terms used but not defined in this Form 10-Q have the same meanings as in the 2022 Annual Report.</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pStyle w:val="TextBody"/>
        <w:bidi w:val="0"/>
        <w:spacing w:lineRule="auto" w:line="288" w:before="0" w:after="0"/>
        <w:jc w:val="both"/>
        <w:rPr>
          <w:rFonts w:ascii="Times New Roman;sans-serif" w:hAnsi="Times New Roman;sans-serif"/>
          <w:b/>
          <w:color w:val="BF2115"/>
          <w:sz w:val="24"/>
        </w:rPr>
      </w:pPr>
      <w:r>
        <w:rPr>
          <w:rFonts w:ascii="Times New Roman;sans-serif" w:hAnsi="Times New Roman;sans-serif"/>
          <w:b/>
          <w:color w:val="BF2115"/>
          <w:sz w:val="24"/>
        </w:rPr>
        <w:t>Note 1. Organization and Description of Business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in 2017, Tropicana Entertainment, Inc. in 2018, Caesars Entertainment Corporation in 2020 and William Hill PLC on April 22, 2021. The Company’s ticker symbol on the NASDAQ Stock Market is “CZR.”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leases, brands or manages an aggregate of 53 domestic properties in 18 states with approximately 52,700 slot machines, video lottery terminals and e-tables, approximately 2,700 table games and approximately 47,200 hotel rooms as of June 30, 2023. The Company operates and conducts sports wagering across 30 jurisdictions in North America, 22 of which offer mobile sports betting, and operates regulated online real money gaming businesses in six jurisdictions in North America. In addition, we have other domestic and international properties that are authorized to use the brands and marks of Caesars Entertainment, Inc., as well as other non-gaming properties. The Company’s primary source of revenue is generated by our casino properties’ gaming operations, retail and online sports betting, online gaming, and the Company utilizes its hotels, restaurants, bars, entertainment, racing, retail shops and other services to attract customers to its properties.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for retail and mobile sports betting, online casino, and online poker are included under the Caesars Digital segment. As part of the Caesars Digital segment, the Company has made significant investments into the interactive business in recent years, including the acquisition of William Hill PLC and strategic expansions into new markets as legalization permits. The Company has utilized significant marketing campaigns with distinguished actors, athletes and media personalities promoting the Caesars Sportsbook app. The Company expects to continue to expand its operations in the Caesars Digital segment as new jurisdictions legalize retail and online gaming and sports betting.</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divest of assets in order to raise capital, as a result of a determination that the assets are not core to our business, or due to regulatory requirements. A summary of recently completed divestitures of our properties as of June 30, 2023 is as follows:</w:t>
      </w:r>
    </w:p>
    <w:tbl>
      <w:tblPr>
        <w:tblW w:w="8101" w:type="dxa"/>
        <w:jc w:val="center"/>
        <w:tblInd w:w="0" w:type="dxa"/>
        <w:tblLayout w:type="fixed"/>
        <w:tblCellMar>
          <w:top w:w="28" w:type="dxa"/>
          <w:left w:w="28" w:type="dxa"/>
          <w:bottom w:w="28" w:type="dxa"/>
          <w:right w:w="28" w:type="dxa"/>
        </w:tblCellMar>
      </w:tblPr>
      <w:tblGrid>
        <w:gridCol w:w="283"/>
        <w:gridCol w:w="248"/>
        <w:gridCol w:w="250"/>
        <w:gridCol w:w="109"/>
        <w:gridCol w:w="109"/>
        <w:gridCol w:w="109"/>
        <w:gridCol w:w="1343"/>
        <w:gridCol w:w="1343"/>
        <w:gridCol w:w="1348"/>
        <w:gridCol w:w="109"/>
        <w:gridCol w:w="109"/>
        <w:gridCol w:w="109"/>
        <w:gridCol w:w="339"/>
        <w:gridCol w:w="339"/>
        <w:gridCol w:w="341"/>
        <w:gridCol w:w="109"/>
        <w:gridCol w:w="109"/>
        <w:gridCol w:w="109"/>
        <w:gridCol w:w="109"/>
        <w:gridCol w:w="109"/>
        <w:gridCol w:w="109"/>
        <w:gridCol w:w="280"/>
        <w:gridCol w:w="280"/>
        <w:gridCol w:w="399"/>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Sales Price</w:t>
            </w:r>
          </w:p>
        </w:tc>
      </w:tr>
      <w:tr>
        <w:trPr/>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Belle of Baton Rouge Casino &amp; Hotel (“Baton Rouge”)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5,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William Hill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 billion</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4165"/>
                <wp:effectExtent l="0" t="0" r="0" b="0"/>
                <wp:wrapNone/>
                <wp:docPr id="9" name="Frame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presents the net revenues and net loss of recently completed divestitures:</w:t>
      </w:r>
    </w:p>
    <w:tbl>
      <w:tblPr>
        <w:tblW w:w="8926" w:type="dxa"/>
        <w:jc w:val="left"/>
        <w:tblInd w:w="0" w:type="dxa"/>
        <w:tblLayout w:type="fixed"/>
        <w:tblCellMar>
          <w:top w:w="28" w:type="dxa"/>
          <w:left w:w="28" w:type="dxa"/>
          <w:bottom w:w="28" w:type="dxa"/>
          <w:right w:w="28" w:type="dxa"/>
        </w:tblCellMar>
      </w:tblPr>
      <w:tblGrid>
        <w:gridCol w:w="381"/>
        <w:gridCol w:w="334"/>
        <w:gridCol w:w="335"/>
        <w:gridCol w:w="398"/>
        <w:gridCol w:w="490"/>
        <w:gridCol w:w="221"/>
        <w:gridCol w:w="194"/>
        <w:gridCol w:w="194"/>
        <w:gridCol w:w="194"/>
        <w:gridCol w:w="563"/>
        <w:gridCol w:w="1209"/>
        <w:gridCol w:w="312"/>
        <w:gridCol w:w="109"/>
        <w:gridCol w:w="109"/>
        <w:gridCol w:w="109"/>
        <w:gridCol w:w="399"/>
        <w:gridCol w:w="490"/>
        <w:gridCol w:w="221"/>
        <w:gridCol w:w="178"/>
        <w:gridCol w:w="178"/>
        <w:gridCol w:w="178"/>
        <w:gridCol w:w="542"/>
        <w:gridCol w:w="1163"/>
        <w:gridCol w:w="425"/>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2022</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Baton Rouge</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William Hill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Baton Rouge</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William Hill International</w:t>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2. Basis of Presentation and Significant Accounting Policies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Financial Statements of the Company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 Additionally, certain reclassifications of prior year presentations have been made to conform to the current period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presentation of financial information herein for the periods before the Company’s divestitures of various properties is not fully comparable to the periods after the sale dates.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Consolidation of Subsidiaries and Variable Interest Entities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include the accounts of Caesars Entertainment, Inc. and its subsidiaries after elimination of all intercompany accounts and transactions.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investments for VIE consideration if a reconsideration event occurs to determine if the investment qualifies, or continues to qualify, as a VIE. If we determine an investment qualifies, or no longer qualifies, as a VIE, there may be a material effect to our Financial Statements.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include highly-liquid investments with original maturities of three months or less at the date of purchase including investments in money market funds that can be redeemed immediately at 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Cash and cash equivalents also include cash maintained for gaming operations. The carrying amounts approximate the fair value because of the short maturity of those instruments (Level 1).</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includes certificates of deposit and similar instruments that are subject to remeasurement on a recurring basis, as well as cash deposits which are restricted under certain operating agreements, regulatory requirement, or for future capital expenditures in the normal course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4165"/>
                <wp:effectExtent l="0" t="0" r="0" b="0"/>
                <wp:wrapNone/>
                <wp:docPr id="10" name="Frame1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Advertising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in the period the advertising first occurs. Advertising costs for the three months ended June 30, 2023 and 2022 were $52 million and $106 million, respectively, and for the six months ended June 30, 2023 and 2022 totaled $120 million and $376 million, respectively, and are included within operating expenses. Advertising costs in the six months ended June 30, 2022 included significant television, radio and internet marketing campaigns promoting our Caesars Sportsbook. Advertising costs related to the Caesars Digital segment are primarily recorded in Casino expense.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6990" w:type="dxa"/>
        <w:jc w:val="left"/>
        <w:tblInd w:w="0" w:type="dxa"/>
        <w:tblLayout w:type="fixed"/>
        <w:tblCellMar>
          <w:top w:w="28" w:type="dxa"/>
          <w:left w:w="28" w:type="dxa"/>
          <w:bottom w:w="28" w:type="dxa"/>
          <w:right w:w="28" w:type="dxa"/>
        </w:tblCellMar>
      </w:tblPr>
      <w:tblGrid>
        <w:gridCol w:w="707"/>
        <w:gridCol w:w="620"/>
        <w:gridCol w:w="622"/>
        <w:gridCol w:w="269"/>
        <w:gridCol w:w="578"/>
        <w:gridCol w:w="149"/>
        <w:gridCol w:w="149"/>
        <w:gridCol w:w="149"/>
        <w:gridCol w:w="149"/>
        <w:gridCol w:w="269"/>
        <w:gridCol w:w="578"/>
        <w:gridCol w:w="149"/>
        <w:gridCol w:w="109"/>
        <w:gridCol w:w="109"/>
        <w:gridCol w:w="109"/>
        <w:gridCol w:w="213"/>
        <w:gridCol w:w="605"/>
        <w:gridCol w:w="118"/>
        <w:gridCol w:w="118"/>
        <w:gridCol w:w="118"/>
        <w:gridCol w:w="118"/>
        <w:gridCol w:w="213"/>
        <w:gridCol w:w="605"/>
        <w:gridCol w:w="167"/>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interest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 net</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does not believe that any recently issued, but not yet effective, accounting pronouncements, if currently adopted, would have a material effect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3. Investments in and Advances to Unconsolidated Affiliates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Pompano Joint Venture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2018, the Company entered into a joint venture with Cordish Companies (“Cordish”) to plan and develop a mixed-use entertainment and hospitality destination expected to be located on unused land adjacent to the casino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are included in Transaction and other costs, net on the Statements of Operations. As of both June 30, 2023 and December 31, 2022, the Company’s investment in the joint venture was $80 million and is recorded in Investments in and advances to unconsolidated affiliates on the Balance Sheets. The Company has no further obligation to contribute additional real estate or cash as of June 30,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NeoGames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an investment in NeoGames S.A., a global leader of iLottery solutions and services to national and state-regulated lotteries, and other investments. On March 14, 2022, the Company sold its investment at fair value for $26 million and recorded a loss of $34 million during the six months ended June 30, 2022, which is included within Other income on the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4165"/>
                <wp:effectExtent l="0" t="0" r="0" b="0"/>
                <wp:wrapNone/>
                <wp:docPr id="11" name="Frame1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4. Property and Equipment</w:t>
      </w:r>
    </w:p>
    <w:tbl>
      <w:tblPr>
        <w:tblW w:w="7421" w:type="dxa"/>
        <w:jc w:val="left"/>
        <w:tblInd w:w="0" w:type="dxa"/>
        <w:tblLayout w:type="fixed"/>
        <w:tblCellMar>
          <w:top w:w="28" w:type="dxa"/>
          <w:left w:w="28" w:type="dxa"/>
          <w:bottom w:w="28" w:type="dxa"/>
          <w:right w:w="28" w:type="dxa"/>
        </w:tblCellMar>
      </w:tblPr>
      <w:tblGrid>
        <w:gridCol w:w="1576"/>
        <w:gridCol w:w="1383"/>
        <w:gridCol w:w="1391"/>
        <w:gridCol w:w="238"/>
        <w:gridCol w:w="785"/>
        <w:gridCol w:w="132"/>
        <w:gridCol w:w="109"/>
        <w:gridCol w:w="109"/>
        <w:gridCol w:w="109"/>
        <w:gridCol w:w="313"/>
        <w:gridCol w:w="1031"/>
        <w:gridCol w:w="245"/>
      </w:tblGrid>
      <w:tr>
        <w:trPr/>
        <w:tc>
          <w:tcPr>
            <w:tcW w:w="157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riverboats, and leasehold and land improvements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fixtures, and equipment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net</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14,598 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our property and equipment is subject to various operating leases for which we are the lessor. Leased property includes our hotel rooms, convention space and retail space through various short-term and long-term operating leases.</w:t>
      </w:r>
    </w:p>
    <w:tbl>
      <w:tblPr>
        <w:tblW w:w="6964" w:type="dxa"/>
        <w:jc w:val="left"/>
        <w:tblInd w:w="0" w:type="dxa"/>
        <w:tblLayout w:type="fixed"/>
        <w:tblCellMar>
          <w:top w:w="28" w:type="dxa"/>
          <w:left w:w="28" w:type="dxa"/>
          <w:bottom w:w="28" w:type="dxa"/>
          <w:right w:w="28" w:type="dxa"/>
        </w:tblCellMar>
      </w:tblPr>
      <w:tblGrid>
        <w:gridCol w:w="695"/>
        <w:gridCol w:w="611"/>
        <w:gridCol w:w="614"/>
        <w:gridCol w:w="269"/>
        <w:gridCol w:w="578"/>
        <w:gridCol w:w="149"/>
        <w:gridCol w:w="149"/>
        <w:gridCol w:w="149"/>
        <w:gridCol w:w="149"/>
        <w:gridCol w:w="269"/>
        <w:gridCol w:w="578"/>
        <w:gridCol w:w="149"/>
        <w:gridCol w:w="109"/>
        <w:gridCol w:w="109"/>
        <w:gridCol w:w="109"/>
        <w:gridCol w:w="245"/>
        <w:gridCol w:w="526"/>
        <w:gridCol w:w="136"/>
        <w:gridCol w:w="136"/>
        <w:gridCol w:w="136"/>
        <w:gridCol w:w="136"/>
        <w:gridCol w:w="245"/>
        <w:gridCol w:w="526"/>
        <w:gridCol w:w="192"/>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Depreciation Expense</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is calculated using the straight-line method over the shorter of the estimated useful life of the asset or the related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5. Goodwill and Intangible Assets,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of an acquisition is allocated to the underlying assets acquired and liabilities assumed based upon their estimated fair values at the date of acquisition. The Company determines the estimated fair values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w:t>
      </w:r>
    </w:p>
    <w:tbl>
      <w:tblPr>
        <w:tblW w:w="10205" w:type="dxa"/>
        <w:jc w:val="left"/>
        <w:tblInd w:w="0" w:type="dxa"/>
        <w:tblLayout w:type="fixed"/>
        <w:tblCellMar>
          <w:top w:w="28" w:type="dxa"/>
          <w:left w:w="28" w:type="dxa"/>
          <w:bottom w:w="28" w:type="dxa"/>
          <w:right w:w="28" w:type="dxa"/>
        </w:tblCellMar>
      </w:tblPr>
      <w:tblGrid>
        <w:gridCol w:w="1830"/>
        <w:gridCol w:w="1595"/>
        <w:gridCol w:w="1600"/>
        <w:gridCol w:w="489"/>
        <w:gridCol w:w="1389"/>
        <w:gridCol w:w="273"/>
        <w:gridCol w:w="109"/>
        <w:gridCol w:w="109"/>
        <w:gridCol w:w="109"/>
        <w:gridCol w:w="242"/>
        <w:gridCol w:w="798"/>
        <w:gridCol w:w="134"/>
        <w:gridCol w:w="134"/>
        <w:gridCol w:w="134"/>
        <w:gridCol w:w="134"/>
        <w:gridCol w:w="242"/>
        <w:gridCol w:w="687"/>
        <w:gridCol w:w="197"/>
      </w:tblGrid>
      <w:tr>
        <w:trPr/>
        <w:tc>
          <w:tcPr>
            <w:tcW w:w="183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Changes in Carrying Value of Goodwill and Other Intangible Assets</w:t>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Non-Amortizing Intangible Assets</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Amortizing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Goodwill</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2022</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gaming rights and trademarks</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June 30, 2023</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3,658 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4165"/>
                <wp:effectExtent l="0" t="0" r="0" b="0"/>
                <wp:wrapNone/>
                <wp:docPr id="12" name="Frame1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00"/>
        <w:gridCol w:w="269"/>
        <w:gridCol w:w="270"/>
        <w:gridCol w:w="215"/>
        <w:gridCol w:w="215"/>
        <w:gridCol w:w="216"/>
        <w:gridCol w:w="111"/>
        <w:gridCol w:w="111"/>
        <w:gridCol w:w="111"/>
        <w:gridCol w:w="223"/>
        <w:gridCol w:w="634"/>
        <w:gridCol w:w="124"/>
        <w:gridCol w:w="111"/>
        <w:gridCol w:w="111"/>
        <w:gridCol w:w="111"/>
        <w:gridCol w:w="327"/>
        <w:gridCol w:w="729"/>
        <w:gridCol w:w="183"/>
        <w:gridCol w:w="111"/>
        <w:gridCol w:w="111"/>
        <w:gridCol w:w="111"/>
        <w:gridCol w:w="219"/>
        <w:gridCol w:w="622"/>
        <w:gridCol w:w="121"/>
        <w:gridCol w:w="111"/>
        <w:gridCol w:w="111"/>
        <w:gridCol w:w="111"/>
        <w:gridCol w:w="223"/>
        <w:gridCol w:w="634"/>
        <w:gridCol w:w="124"/>
        <w:gridCol w:w="111"/>
        <w:gridCol w:w="111"/>
        <w:gridCol w:w="111"/>
        <w:gridCol w:w="327"/>
        <w:gridCol w:w="729"/>
        <w:gridCol w:w="183"/>
        <w:gridCol w:w="109"/>
        <w:gridCol w:w="109"/>
        <w:gridCol w:w="109"/>
        <w:gridCol w:w="218"/>
        <w:gridCol w:w="618"/>
        <w:gridCol w:w="190"/>
      </w:tblGrid>
      <w:tr>
        <w:trPr/>
        <w:tc>
          <w:tcPr>
            <w:tcW w:w="6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8852"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Gross Carrying Value and Accumulated Amortization of Intangible Assets Other Than 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Useful Life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Amortizing intangible assets</w:t>
            </w:r>
          </w:p>
        </w:tc>
        <w:tc>
          <w:tcPr>
            <w:tcW w:w="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3 - 7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 rights and other</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10 - 34 years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Reacquired rights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 years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 years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Non-amortizing intangible assets other than Goodwill</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 rights</w:t>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Rewards</w:t>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1"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amortizing and non-amortizing intangible assets other than Goodwill, net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4,714 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with respect to intangible assets for the three months ended June 30, 2023 and 2022 totaled $36 million and $51 million, respectively, and for the six months ended June 30, 2023 and 2022 totaled $72 million and $108 million, respectively, which is included in depreciation and amortization in the Statements of Operations.</w:t>
      </w:r>
    </w:p>
    <w:tbl>
      <w:tblPr>
        <w:tblW w:w="9358" w:type="dxa"/>
        <w:jc w:val="left"/>
        <w:tblInd w:w="0" w:type="dxa"/>
        <w:tblLayout w:type="fixed"/>
        <w:tblCellMar>
          <w:top w:w="28" w:type="dxa"/>
          <w:left w:w="28" w:type="dxa"/>
          <w:bottom w:w="28" w:type="dxa"/>
          <w:right w:w="28" w:type="dxa"/>
        </w:tblCellMar>
      </w:tblPr>
      <w:tblGrid>
        <w:gridCol w:w="1044"/>
        <w:gridCol w:w="915"/>
        <w:gridCol w:w="920"/>
        <w:gridCol w:w="415"/>
        <w:gridCol w:w="702"/>
        <w:gridCol w:w="232"/>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331"/>
        <w:gridCol w:w="109"/>
        <w:gridCol w:w="109"/>
        <w:gridCol w:w="109"/>
        <w:gridCol w:w="109"/>
        <w:gridCol w:w="196"/>
        <w:gridCol w:w="331"/>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Estimated Five-Year Amortization</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3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annual amortization expense</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6. Fair Value Measurements</w:t>
      </w:r>
    </w:p>
    <w:p>
      <w:pPr>
        <w:pStyle w:val="TextBody"/>
        <w:bidi w:val="0"/>
        <w:spacing w:lineRule="auto" w:line="288" w:before="180" w:after="283"/>
        <w:jc w:val="both"/>
        <w:rPr/>
      </w:pPr>
      <w:r>
        <w:rPr>
          <w:rFonts w:ascii="Times New Roman;sans-serif" w:hAnsi="Times New Roman;sans-serif"/>
          <w:b/>
          <w:i/>
          <w:color w:val="000000"/>
          <w:sz w:val="20"/>
        </w:rPr>
        <w:t>Items Measured at Fair Value on a Recurring Basis</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assets and liabilities measured at fair value on a recurring basis, by input level, in the Balance Sheets:</w:t>
      </w:r>
    </w:p>
    <w:tbl>
      <w:tblPr>
        <w:tblW w:w="5452" w:type="dxa"/>
        <w:jc w:val="left"/>
        <w:tblInd w:w="0" w:type="dxa"/>
        <w:tblLayout w:type="fixed"/>
        <w:tblCellMar>
          <w:top w:w="28" w:type="dxa"/>
          <w:left w:w="28" w:type="dxa"/>
          <w:bottom w:w="28" w:type="dxa"/>
          <w:right w:w="28" w:type="dxa"/>
        </w:tblCellMar>
      </w:tblPr>
      <w:tblGrid>
        <w:gridCol w:w="658"/>
        <w:gridCol w:w="577"/>
        <w:gridCol w:w="579"/>
        <w:gridCol w:w="231"/>
        <w:gridCol w:w="285"/>
        <w:gridCol w:w="128"/>
        <w:gridCol w:w="109"/>
        <w:gridCol w:w="109"/>
        <w:gridCol w:w="109"/>
        <w:gridCol w:w="196"/>
        <w:gridCol w:w="406"/>
        <w:gridCol w:w="109"/>
        <w:gridCol w:w="109"/>
        <w:gridCol w:w="109"/>
        <w:gridCol w:w="109"/>
        <w:gridCol w:w="196"/>
        <w:gridCol w:w="406"/>
        <w:gridCol w:w="109"/>
        <w:gridCol w:w="109"/>
        <w:gridCol w:w="109"/>
        <w:gridCol w:w="109"/>
        <w:gridCol w:w="196"/>
        <w:gridCol w:w="241"/>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at fair value</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bl>
    <w:tbl>
      <w:tblPr>
        <w:tblW w:w="5385" w:type="dxa"/>
        <w:jc w:val="left"/>
        <w:tblInd w:w="0" w:type="dxa"/>
        <w:tblLayout w:type="fixed"/>
        <w:tblCellMar>
          <w:top w:w="28" w:type="dxa"/>
          <w:left w:w="28" w:type="dxa"/>
          <w:bottom w:w="28" w:type="dxa"/>
          <w:right w:w="28" w:type="dxa"/>
        </w:tblCellMar>
      </w:tblPr>
      <w:tblGrid>
        <w:gridCol w:w="658"/>
        <w:gridCol w:w="577"/>
        <w:gridCol w:w="579"/>
        <w:gridCol w:w="231"/>
        <w:gridCol w:w="285"/>
        <w:gridCol w:w="128"/>
        <w:gridCol w:w="109"/>
        <w:gridCol w:w="109"/>
        <w:gridCol w:w="109"/>
        <w:gridCol w:w="231"/>
        <w:gridCol w:w="285"/>
        <w:gridCol w:w="128"/>
        <w:gridCol w:w="109"/>
        <w:gridCol w:w="109"/>
        <w:gridCol w:w="109"/>
        <w:gridCol w:w="196"/>
        <w:gridCol w:w="406"/>
        <w:gridCol w:w="109"/>
        <w:gridCol w:w="109"/>
        <w:gridCol w:w="109"/>
        <w:gridCol w:w="109"/>
        <w:gridCol w:w="196"/>
        <w:gridCol w:w="241"/>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at fair value</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4165"/>
                <wp:effectExtent l="0" t="0" r="0" b="0"/>
                <wp:wrapNone/>
                <wp:docPr id="13" name="Frame1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values of the Company’s restricted cash are based upon quoted prices available in active markets (Level 1) or quoted prices for similar assets in active and inactive markets (Level 2) and represent the amounts the Company would expect to receive if the Company sold the instruments classified as restricted cash. Restricted cash classified as Level 1 includes cash equivalents held in short-term certificate of deposit accounts or money market type funds. Restricted cash that is not subject to remeasurement on a recurring basis is not included in the table above.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Marketable Securities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Marketable securities consist primarily of trading securities held by the Company’s captive insurance subsidiary and deferred compensation plans.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the Company would expect to receive if the Company sold these marketable securities.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purchase or hold any derivative financial instruments for trading purposes.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Forward Contracts</w:t>
      </w:r>
    </w:p>
    <w:p>
      <w:pPr>
        <w:pStyle w:val="TextBody"/>
        <w:bidi w:val="0"/>
        <w:spacing w:lineRule="auto" w:line="288" w:before="180" w:after="283"/>
        <w:jc w:val="both"/>
        <w:rPr/>
      </w:pPr>
      <w:r>
        <w:rPr>
          <w:rFonts w:ascii="Times New Roman;sans-serif" w:hAnsi="Times New Roman;sans-serif"/>
          <w:b w:val="false"/>
          <w:color w:val="000000"/>
          <w:sz w:val="20"/>
        </w:rPr>
        <w:t>T</w:t>
      </w:r>
      <w:r>
        <w:rPr>
          <w:rFonts w:ascii="Times New Roman;sans-serif" w:hAnsi="Times New Roman;sans-serif"/>
          <w:b w:val="false"/>
          <w:color w:val="212529"/>
          <w:sz w:val="20"/>
        </w:rPr>
        <w:t xml:space="preserve">he Company entered into several foreign exchange forward contracts with third parties to hedge the risk of fluctuations in the foreign exchange rates between USD and GBP. During the </w:t>
      </w:r>
      <w:r>
        <w:rPr>
          <w:rFonts w:ascii="Times New Roman;sans-serif" w:hAnsi="Times New Roman;sans-serif"/>
          <w:b w:val="false"/>
          <w:color w:val="000000"/>
          <w:sz w:val="20"/>
        </w:rPr>
        <w:t>three</w:t>
      </w:r>
      <w:r>
        <w:rPr>
          <w:color w:val="212529"/>
        </w:rPr>
        <w:t xml:space="preserve"> </w:t>
      </w:r>
      <w:r>
        <w:rPr>
          <w:rFonts w:ascii="Times New Roman;sans-serif" w:hAnsi="Times New Roman;sans-serif"/>
          <w:b w:val="false"/>
          <w:color w:val="212529"/>
          <w:sz w:val="20"/>
        </w:rPr>
        <w:t xml:space="preserve">and </w:t>
      </w:r>
      <w:r>
        <w:rPr>
          <w:rFonts w:ascii="Times New Roman;sans-serif" w:hAnsi="Times New Roman;sans-serif"/>
          <w:b w:val="false"/>
          <w:color w:val="000000"/>
          <w:sz w:val="20"/>
        </w:rPr>
        <w:t>six</w:t>
      </w:r>
      <w:r>
        <w:rPr>
          <w:color w:val="212529"/>
        </w:rPr>
        <w:t xml:space="preserve"> </w:t>
      </w:r>
      <w:r>
        <w:rPr>
          <w:rFonts w:ascii="Times New Roman;sans-serif" w:hAnsi="Times New Roman;sans-serif"/>
          <w:b w:val="false"/>
          <w:color w:val="212529"/>
          <w:sz w:val="20"/>
        </w:rPr>
        <w:t xml:space="preserve">months ended </w:t>
      </w:r>
      <w:r>
        <w:rPr>
          <w:rFonts w:ascii="Times New Roman;sans-serif" w:hAnsi="Times New Roman;sans-serif"/>
          <w:b w:val="false"/>
          <w:color w:val="000000"/>
          <w:sz w:val="20"/>
        </w:rPr>
        <w:t>June 30, 2022,</w:t>
      </w:r>
      <w:r>
        <w:rPr>
          <w:color w:val="212529"/>
        </w:rPr>
        <w:t xml:space="preserve"> </w:t>
      </w:r>
      <w:r>
        <w:rPr>
          <w:rFonts w:ascii="Times New Roman;sans-serif" w:hAnsi="Times New Roman;sans-serif"/>
          <w:b w:val="false"/>
          <w:color w:val="212529"/>
          <w:sz w:val="20"/>
        </w:rPr>
        <w:t xml:space="preserve">the Company recorded gains of $55 million and </w:t>
      </w:r>
      <w:r>
        <w:rPr>
          <w:rFonts w:ascii="Times New Roman;sans-serif" w:hAnsi="Times New Roman;sans-serif"/>
          <w:b w:val="false"/>
          <w:color w:val="000000"/>
          <w:sz w:val="20"/>
        </w:rPr>
        <w:t xml:space="preserve">$76 million, respectively, related to forward contracts, which have been recorded in Other income (loss) on the Statements of Operations. All </w:t>
      </w:r>
      <w:r>
        <w:rPr>
          <w:rFonts w:ascii="Times New Roman;sans-serif" w:hAnsi="Times New Roman;sans-serif"/>
          <w:b w:val="false"/>
          <w:color w:val="212529"/>
          <w:sz w:val="20"/>
        </w:rPr>
        <w:t xml:space="preserve">forward contracts were settled as of July 1, 2022.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Interest Rate Swap Derivatives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used interest rate swaps to manage the mix of debt between fixed and variable rate instruments. The term of the last interest rate swaps ended on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04165"/>
                <wp:effectExtent l="0" t="0" r="0" b="0"/>
                <wp:wrapNone/>
                <wp:docPr id="14" name="Frame1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Accumulated other comprehensive income (loss) by component, net of tax, for the periods through June 30, 2023 and 2022 are shown below.</w:t>
      </w:r>
    </w:p>
    <w:tbl>
      <w:tblPr>
        <w:tblW w:w="10205" w:type="dxa"/>
        <w:jc w:val="left"/>
        <w:tblInd w:w="0" w:type="dxa"/>
        <w:tblLayout w:type="fixed"/>
        <w:tblCellMar>
          <w:top w:w="28" w:type="dxa"/>
          <w:left w:w="28" w:type="dxa"/>
          <w:bottom w:w="28" w:type="dxa"/>
          <w:right w:w="28" w:type="dxa"/>
        </w:tblCellMar>
      </w:tblPr>
      <w:tblGrid>
        <w:gridCol w:w="1160"/>
        <w:gridCol w:w="958"/>
        <w:gridCol w:w="967"/>
        <w:gridCol w:w="742"/>
        <w:gridCol w:w="1254"/>
        <w:gridCol w:w="416"/>
        <w:gridCol w:w="109"/>
        <w:gridCol w:w="109"/>
        <w:gridCol w:w="109"/>
        <w:gridCol w:w="603"/>
        <w:gridCol w:w="1345"/>
        <w:gridCol w:w="339"/>
        <w:gridCol w:w="109"/>
        <w:gridCol w:w="109"/>
        <w:gridCol w:w="109"/>
        <w:gridCol w:w="196"/>
        <w:gridCol w:w="406"/>
        <w:gridCol w:w="109"/>
        <w:gridCol w:w="109"/>
        <w:gridCol w:w="109"/>
        <w:gridCol w:w="109"/>
        <w:gridCol w:w="196"/>
        <w:gridCol w:w="375"/>
        <w:gridCol w:w="158"/>
      </w:tblGrid>
      <w:tr>
        <w:trPr/>
        <w:tc>
          <w:tcPr>
            <w:tcW w:w="116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Net Gains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Foreign Currency Translation Adjustments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2021</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 net of tax</w:t>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2022</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 net of tax</w:t>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June 30, 2022</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2022</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 net of tax</w:t>
            </w:r>
          </w:p>
        </w:tc>
        <w:tc>
          <w:tcPr>
            <w:tcW w:w="1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2023</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 net of tax</w:t>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June 30, 2023</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85" w:type="dxa"/>
            <w:gridSpan w:val="3"/>
            <w:tcBorders/>
            <w:vAlign w:val="center"/>
          </w:tcPr>
          <w:p>
            <w:pPr>
              <w:pStyle w:val="TableContents"/>
              <w:bidi w:val="0"/>
              <w:spacing w:before="0" w:after="283"/>
              <w:jc w:val="left"/>
              <w:rPr>
                <w:sz w:val="4"/>
                <w:szCs w:val="4"/>
              </w:rPr>
            </w:pPr>
            <w:r>
              <w:rPr>
                <w:sz w:val="4"/>
                <w:szCs w:val="4"/>
              </w:rPr>
            </w:r>
          </w:p>
        </w:tc>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 xml:space="preserve">Note 7. Litigation, Commitments and Contingencies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General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various legal proceedings, which have arisen in the normal course of our business.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COVID-19 Insurance Claims</w:t>
      </w:r>
    </w:p>
    <w:p>
      <w:pPr>
        <w:pStyle w:val="TextBody"/>
        <w:bidi w:val="0"/>
        <w:spacing w:lineRule="auto" w:line="288" w:before="180" w:after="283"/>
        <w:jc w:val="both"/>
        <w:rPr/>
      </w:pPr>
      <w:r>
        <w:rPr>
          <w:rFonts w:ascii="Times New Roman;sans-serif" w:hAnsi="Times New Roman;sans-serif"/>
          <w:b w:val="false"/>
          <w:color w:val="000000"/>
          <w:sz w:val="20"/>
        </w:rPr>
        <w:t>The COVID-19 public health emergency had a significant impact on the Company’s business and employees, as well as the communities where the Company operates and serves. The Company purchased broad property insurance coverage to protect against “all risk of physical loss or damage” and resulting business interruption, unless specifically excluded by policies. The Company submitted claims for losses incurred as a result of the COVID-19 public health emergency which exceed $2 billion. The insurance carriers under the Company’s insurance policies have asserted that the policies do not cover losses incurred by the Company as a result of the COVID-19 public health emergency and have refused to make payments under the applicable policies. Therefore, on March 19, 2021, the Company filed a lawsuit against its insurance carriers in the state court in Clark County, Nevada. On June 8, 2021, the Company filed an amended complaint.</w:t>
      </w:r>
      <w:r>
        <w:rPr>
          <w:color w:val="000000"/>
          <w:shd w:fill="FFFFFF" w:val="clear"/>
        </w:rPr>
        <w:t xml:space="preserve"> </w:t>
      </w:r>
      <w:r>
        <w:rPr>
          <w:rFonts w:ascii="Times New Roman;sans-serif" w:hAnsi="Times New Roman;sans-serif"/>
          <w:b w:val="false"/>
          <w:color w:val="000000"/>
          <w:sz w:val="20"/>
          <w:shd w:fill="FFFFFF" w:val="clear"/>
        </w:rPr>
        <w:t>Litigation in this matter has been temporarily stayed as the parties await a decision from the Nevada Supreme Court in a separate similar case, in which the decision may affect the Company’s claims in this matter. There can be no assurances as to the outcome of this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4165"/>
                <wp:effectExtent l="0" t="0" r="0" b="0"/>
                <wp:wrapNone/>
                <wp:docPr id="15" name="Frame1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Contractual Commitments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Capital Commitments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Harrah’s New Orleans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2020, the Company and the State of Louisiana, by and through the Louisiana Gaming Control Board, entered into an Amended and Restated Casino Operating Contract. Additionally, the Company, New Orleans Building Corporation and the City entered into a Second Amended and Restated Lease Agreement. Based on these amendments related to Harrah’s New Orleans, the Company is required to make a capital investment of $325 million on or around Harrah’s New Orleans by July 15, 2024. The capital investment will involve the rebranding of the property to Caesars New Orleans which includes a renovation and full interior and exterior redesign, updated casino floor, new culinary experiences and a new 340-room hotel tower. The project has a current capital plan of approximately $430 million, and as of June 30, 2023, total capital expenditures have been $187 million since the project began.</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Atlantic City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the New Jersey Gaming Control Board, in 2020, the Company funded $400 million in escrow to provide funds for a three year capital expenditure plan in the state of New Jersey. The capital plan includes significant room renovations at both Caesars Atlantic City and Harrah’s Atlantic City, as well as the addition of new restaurants with celebrity partners. As of June 30, 2023 and December 31, 2022, the restricted cash balance remaining in the escrow account was $59 million and $118 million, respectively. This amount is currently included in restricted cash in Other assets, net.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Sports Sponsorship/Partnership Obligations</w:t>
      </w:r>
    </w:p>
    <w:p>
      <w:pPr>
        <w:pStyle w:val="TextBody"/>
        <w:bidi w:val="0"/>
        <w:spacing w:lineRule="auto" w:line="288" w:before="180" w:after="283"/>
        <w:jc w:val="both"/>
        <w:rPr/>
      </w:pPr>
      <w:r>
        <w:rPr>
          <w:rFonts w:ascii="Times New Roman;sans-serif" w:hAnsi="Times New Roman;sans-serif"/>
          <w:b w:val="false"/>
          <w:color w:val="222222"/>
          <w:sz w:val="20"/>
        </w:rPr>
        <w:t xml:space="preserve">The Company has agreements with certain professional sports leagues and teams, sporting event facilities and media companies for tickets, suites, advertising, marketing, promotional and sponsorship opportunities including communication with partner customer databases. Additionally, a selection of such partnerships provide Caesars with exclusivity to access the aforementioned rights within the casino and/or sports betting category. As of </w:t>
      </w:r>
      <w:r>
        <w:rPr>
          <w:rFonts w:ascii="Times New Roman;sans-serif" w:hAnsi="Times New Roman;sans-serif"/>
          <w:b w:val="false"/>
          <w:color w:val="000000"/>
          <w:sz w:val="20"/>
        </w:rPr>
        <w:t>June 30, 2023 and December 31, 2022</w:t>
      </w:r>
      <w:r>
        <w:rPr>
          <w:rFonts w:ascii="Times New Roman;sans-serif" w:hAnsi="Times New Roman;sans-serif"/>
          <w:b w:val="false"/>
          <w:color w:val="222222"/>
          <w:sz w:val="20"/>
        </w:rPr>
        <w:t>, obligations related to these agreements were $788 million and $898 million, respectively, with contracts extending through 2040. These obligations include leasing of event suites that are generally considered short-term leases for which the Company does not record a right of use asset or lease liability. The Company recognizes expenses in the period services are received in accordance with the various agreements. In addition, assets or liabilities may be recorded related to the timing of payments as required by the respective agreement.</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Self-Insurance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self-insured for workers compensation and other risk insurance, as well as health insurance and general liability. The Company’s total estimated self-insurance liability as of June 30, 2023 and December 31, 2022, was $207 million and $203 million, respectively, which is included in Accrued other liabilities in our Balance Sheets.</w:t>
      </w:r>
    </w:p>
    <w:p>
      <w:pPr>
        <w:pStyle w:val="TextBody"/>
        <w:bidi w:val="0"/>
        <w:spacing w:lineRule="auto" w:line="288" w:before="180" w:after="283"/>
        <w:jc w:val="both"/>
        <w:rPr>
          <w:rFonts w:ascii="Times New Roman;sans-serif" w:hAnsi="Times New Roman;sans-serif"/>
          <w:b w:val="false"/>
          <w:color w:val="222222"/>
          <w:sz w:val="20"/>
        </w:rPr>
      </w:pPr>
      <w:r>
        <w:rPr>
          <w:rFonts w:ascii="Times New Roman;sans-serif" w:hAnsi="Times New Roman;sans-serif"/>
          <w:b w:val="false"/>
          <w:color w:val="222222"/>
          <w:sz w:val="20"/>
        </w:rPr>
        <w:t xml:space="preserve">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04165"/>
                <wp:effectExtent l="0" t="0" r="0" b="0"/>
                <wp:wrapNone/>
                <wp:docPr id="16" name="Frame1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8. Long-Term Debt</w:t>
      </w:r>
    </w:p>
    <w:tbl>
      <w:tblPr>
        <w:tblW w:w="9951" w:type="dxa"/>
        <w:jc w:val="left"/>
        <w:tblInd w:w="0" w:type="dxa"/>
        <w:tblLayout w:type="fixed"/>
        <w:tblCellMar>
          <w:top w:w="28" w:type="dxa"/>
          <w:left w:w="28" w:type="dxa"/>
          <w:bottom w:w="28" w:type="dxa"/>
          <w:right w:w="28" w:type="dxa"/>
        </w:tblCellMar>
      </w:tblPr>
      <w:tblGrid>
        <w:gridCol w:w="1105"/>
        <w:gridCol w:w="973"/>
        <w:gridCol w:w="976"/>
        <w:gridCol w:w="438"/>
        <w:gridCol w:w="438"/>
        <w:gridCol w:w="440"/>
        <w:gridCol w:w="116"/>
        <w:gridCol w:w="116"/>
        <w:gridCol w:w="116"/>
        <w:gridCol w:w="234"/>
        <w:gridCol w:w="234"/>
        <w:gridCol w:w="239"/>
        <w:gridCol w:w="109"/>
        <w:gridCol w:w="109"/>
        <w:gridCol w:w="109"/>
        <w:gridCol w:w="196"/>
        <w:gridCol w:w="646"/>
        <w:gridCol w:w="109"/>
        <w:gridCol w:w="109"/>
        <w:gridCol w:w="109"/>
        <w:gridCol w:w="109"/>
        <w:gridCol w:w="207"/>
        <w:gridCol w:w="683"/>
        <w:gridCol w:w="115"/>
        <w:gridCol w:w="109"/>
        <w:gridCol w:w="109"/>
        <w:gridCol w:w="109"/>
        <w:gridCol w:w="313"/>
        <w:gridCol w:w="1031"/>
        <w:gridCol w:w="245"/>
      </w:tblGrid>
      <w:tr>
        <w:trPr/>
        <w:tc>
          <w:tcPr>
            <w:tcW w:w="110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Final Maturity</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Book Value</w:t>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Secured Debt</w:t>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Baltimore Revolving Credit Facility</w:t>
            </w:r>
            <w:r>
              <w:rPr>
                <w:color w:val="000000"/>
              </w:rPr>
              <w:t xml:space="preserve"> </w:t>
            </w:r>
            <w:r>
              <w:rPr>
                <w:rFonts w:ascii="Times New Roman;sans-serif" w:hAnsi="Times New Roman;sans-serif"/>
                <w:b w:val="false"/>
                <w:i/>
                <w:color w:val="000000"/>
                <w:sz w:val="12"/>
              </w:rPr>
              <w:t>(a)</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Baltimore Term Loan</w:t>
            </w:r>
            <w:r>
              <w:rPr>
                <w:color w:val="000000"/>
              </w:rPr>
              <w:t xml:space="preserve"> </w:t>
            </w:r>
            <w:r>
              <w:rPr>
                <w:rFonts w:ascii="Times New Roman;sans-serif" w:hAnsi="Times New Roman;sans-serif"/>
                <w:b w:val="false"/>
                <w:i/>
                <w:color w:val="000000"/>
                <w:sz w:val="12"/>
              </w:rPr>
              <w:t>(a)</w:t>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Revolving Credit Facility</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Term Loan A</w:t>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Term Loan B</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CRC Senior Secured Notes</w:t>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Senior Secured Notes due 2025</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Senior Secured Notes due 2030</w:t>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Convention Center Mortgage Loan</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CRC Incremental Term Loan</w:t>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CRC Term Loan</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Debt</w:t>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Senior Notes due 2027</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Senior Notes due 2029</w:t>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Improvement District Bonds</w:t>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2037</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notes and other payables</w:t>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12,787 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finance charges associated with the CEI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discounts and deferred finance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The Baltimore Revolving Credit Facility matured on July 7, 2023, and as described below, the Baltimore Term Loan was fully repaid on July 17, 2023.</w:t>
      </w:r>
    </w:p>
    <w:tbl>
      <w:tblPr>
        <w:tblW w:w="10205" w:type="dxa"/>
        <w:jc w:val="left"/>
        <w:tblInd w:w="0" w:type="dxa"/>
        <w:tblLayout w:type="fixed"/>
        <w:tblCellMar>
          <w:top w:w="28" w:type="dxa"/>
          <w:left w:w="28" w:type="dxa"/>
          <w:bottom w:w="28" w:type="dxa"/>
          <w:right w:w="28" w:type="dxa"/>
        </w:tblCellMar>
      </w:tblPr>
      <w:tblGrid>
        <w:gridCol w:w="776"/>
        <w:gridCol w:w="652"/>
        <w:gridCol w:w="647"/>
        <w:gridCol w:w="255"/>
        <w:gridCol w:w="548"/>
        <w:gridCol w:w="143"/>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208"/>
        <w:gridCol w:w="591"/>
        <w:gridCol w:w="117"/>
        <w:gridCol w:w="109"/>
        <w:gridCol w:w="109"/>
        <w:gridCol w:w="109"/>
        <w:gridCol w:w="196"/>
        <w:gridCol w:w="646"/>
        <w:gridCol w:w="155"/>
      </w:tblGrid>
      <w:tr>
        <w:trPr/>
        <w:tc>
          <w:tcPr>
            <w:tcW w:w="77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38"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Annual Estimated Debt Service Requirements 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2024</w:t>
            </w:r>
            <w:r>
              <w:rPr>
                <w:color w:val="000000"/>
              </w:rPr>
              <w:t xml:space="preserve"> </w:t>
            </w:r>
            <w:r>
              <w:rPr>
                <w:rFonts w:ascii="Times New Roman;sans-serif" w:hAnsi="Times New Roman;sans-serif"/>
                <w:b/>
                <w:i/>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maturities of long-term debt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interest payments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Total debt service obligation </w:t>
            </w:r>
            <w:r>
              <w:rPr>
                <w:rFonts w:ascii="Times New Roman;sans-serif" w:hAnsi="Times New Roman;sans-serif"/>
                <w:b w:val="false"/>
                <w:i/>
                <w:color w:val="000000"/>
                <w:sz w:val="12"/>
              </w:rPr>
              <w:t>(b)</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Maturity of $249 million in 2024 was repaid on July 17, 2023.</w:t>
      </w:r>
    </w:p>
    <w:p>
      <w:pPr>
        <w:pStyle w:val="TextBody"/>
        <w:bidi w:val="0"/>
        <w:spacing w:lineRule="auto" w:line="288" w:before="0" w:after="0"/>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Debt principal payments are estimated amounts based on contractual maturity and scheduled repayment dates. Interest payments are estimated based on the forward-looking SOFR curve, where applicable. Actual payments may differ from these estimates.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Current Portion of Long-Term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portion of long-term debt as of June 30, 2023 includes the principal payments on the term loans, other unsecured borrowings, and special improvement district bonds that are contractually due within 12 months. The Company may, from time to time, seek to repurchase or prepay its outstanding indebtedness. Any such purchases or repayments may be funded by existing cash balances or the incurrence of debt. The amount and timing of any repurchase will be based on business and market conditions, capital availability, compliance with debt covenants and other considerations.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Debt Discounts or Premiums and Deferred Finance Charges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the original maturity or scheduled payment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4165"/>
                <wp:effectExtent l="0" t="0" r="0" b="0"/>
                <wp:wrapNone/>
                <wp:docPr id="17" name="Frame1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Fair Value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debt has been calculated primarily based on the borrowing rates available as of June 30, 2023 and based on market quotes of our publicly traded debt. We classify the fair value of debt within Level 1 and Level 2 in the fair value hierarchy.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Terms of Outstanding Debt</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Baltimore Term Loan and Baltimore Revolving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consolidate the aggregate principal amount of Horseshoe Baltimore’s senior secured term loan facility (the “Baltimore Term Loan”) and amount outstanding, if any, under Horseshoe Baltimore’s senior secured revolving credit facility (the “Baltimore Revolving Credit Facility”). The Baltimore Term Loan matures in July 2024 and was subject to a variable rate of interest calculated as London Interbank Offered Rate (“LIBOR”) plus 4.00%. On May 1, 2023, the Baltimore Term Loan’s benchmark interest rate was amended from LIBOR to the Adjusted Term Secured Overnight Financing Rate (“SOFR”) plus adjustment for the applicable period. The Baltimore Revolving Credit Facility had borrowing capacity of up to $10 million, subject to a variable rate of interest calculated as Term SOFR plus 4.00% subject to one 0.25% step-down based on senior secured leverage ratio, the ratio of first lien senior secured net debt to adjusted earnings before interest, taxes, depreciation and amortization. The Baltimore Revolving Credit Facility matured on July 7, 2023. As of June 30, 2023, there was $10 million of available borrowing capacity under the Baltimore Revolving Credit Facility. On June 30, 2023, the Company prepaid $15 million of the outstanding principal balance of the Baltimore Term Loan. On July 17, 2023, following the acquisition of the remaining 24% equity interest in Horseshoe Baltimore, the Company permanently repaid the outstanding principal balance of the Baltimore Term Loan of $250 million by utilizing the CEI Revolving Credit Facility. In connection with the repayment, the Company recognized a $3 million loss on the early extinguishment of debt.</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Term Loans and CEI Revolving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CEI is party to a credit agreement, dated as of July 20, 2020, with JPMorgan Chase Bank, N.A., as administrative agent, U.S. Bank National Association, as collateral agent, and certain banks and other financial institutions and lenders party thereto (the “CEI Credit Agreement”), which, as amended, provides for the CEI Revolving Credit Facility in an aggregate principal amount of $2.25 billion (the “CEI Revolving Credit Facility”). The CEI Revolving Credit Facility contains reserves of $40 million which are available only for certain permitted uses.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5, 2022, Caesars entered into a third amendment to the CEI Credit Agreement (the “Third Amendment”) pursuant to which the Company (a) incurred a senior secured term loan in an aggregate principal amount of $750 million (the “CEI Term Loan A”) as a new term loan under the credit agreement, (b) amended and extended the CEI Revolving Credit Facility under the CEI Credit Agreement (the CEI Revolving Credit Facility, as so amended, the “Amended CEI Revolving Credit Facility” and, together with the CEI Term Loan A, the “Senior Credit Facilities”), (c) increased the aggregate principal amount of the CEI Revolving Credit Facility to $2.25 billion, and (d) made certain other amendments to the CEI Credit Agreement. Both the Amended CEI Revolving Credit Facility and the new CEI Term Loan A mature on January 31, 2028, subject to a springing maturity in the event certain other long-term debt of Caesars is not extended or repaid. The Amended CEI Revolving Credit Facility includes a letter of credit sub-facility of $388 million. The CEI Term Loan A requires scheduled quarterly payments in amounts equal to 1.25% of the original aggregate principal amount of the CEI Term Loan A, with the balance payable at maturity. The Company may make voluntary prepayments of the CEI Term Loan A at any time prior to maturity at par.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Senior Credit Facilities bear interest, paid monthly, at a rate equal to, at the Company’s option, either (a) a forward-looking term rate based on SOFR for the applicable interest period plus an adjustment of 0.10% per annum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Adjusted Term SOFR plus 1.00% per annum, in each case, plus an applicable margin. Such applicable margin is 2.25% per annum in the case of any Adjusted Term SOFR loan and 1.25% per annum in the case of any Base Rate loan, subject to three 0.25% step-downs based on the Company’s net total leverage ratio. In addition, on a quarterly basis, the Company is required to pay each lender under the Amended CEI Revolving Credit Facility a commitment fee in respect of any unused commitments under the Amended CEI Revolving Credit Facility in the amount of 0.35% per annum of the principal amount of the unused commitments of such lender, subject to three 0.05% step-downs based on the Company’s net total leverage ratio.</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2023, Caesars entered into an Incremental Assumption Agreement No. 2 pursuant to which the Company incurred a new senior secured term loan facility in an aggregate principal amount of $2.5 billion (the “CEI Term Loan B” and, together with the CEI Term Loan A, the “CEI Term Loans”) as a new term loan under the CEI Credit Agreement. The CEI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4165"/>
                <wp:effectExtent l="0" t="0" r="0" b="0"/>
                <wp:wrapNone/>
                <wp:docPr id="18" name="Frame1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Term Loan B requires scheduled quarterly amortization payments in amounts equal to 0.25% of the original aggregate principal amount of the CEI Term Loan B, with the balance payable at maturity. Borrowings under the CEI Term Loan B bear interest, paid monthly, at a rate equal to, at the Company’s option, either (a) a forward-looking term rate based on the Adjusted Term SOFR, subject to a floor of 0.50% or (b) a base rate (the “Base Rate”) determined by reference to the highest of (i) the Prime Rate in the United States, (ii) the federal funds rate plus 0.50% per annum and (iii) the one-month Adjusted Term SOFR plus 1.00% per annum, in each case, plus an applicable margin. Such applicable margin is 3.25% per annum in the case of any Adjusted Term SOFR loan and 2.25% per annum in the case of any Base Rate loan, subject to one 0.25% step-down based on the Company’s net total leverage ratio. The CEI Term Loan B was issued at a price of 99.0% of the principal amount and will mature in February 2030.</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proceeds from the CEI Term Loan B, along with the net proceeds from the issuance of the CEI Senior Secured Notes due 2030 described below, were used to repay the outstanding principal balance, including accrued and unpaid interest, of both the CRC Term Loan and the CRC Incremental Term Loan. Upon the termination of the CRC Term Loan and the CRC Incremental Term Loan, the Company recorded a loss on extinguishment of debt of $197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the Company utilized and fully repaid the CEI Revolving Credit Facility. Such activity is presented in the financing section in the Statements of Cash Flows. As of June 30, 2023, the Company had $2.1 billion of available borrowing capacity under the CEI Revolving Credit Facility, after consideration of $71 million in outstanding letters of credit, $48 million committed for regulatory purposes, and the reserves described above.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CRC Senior Secured Notes due 2025</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6, 2020, Colt Merger Sub, Inc. (the “Escrow Issuer”) issued $1.0 billion in aggregate principal amount of 5.75% Senior Secured Notes due 2025 pursuant to an indenture, dated July 6, 2020 (the “CRC Senior Secured Notes”), by and among the Escrow Issuer, U.S. Bank National Association, as trustee and Credit Suisse AG, Cayman Islands Branch, as collateral agent. The CRC Senior Secured Notes rank equally with all existing and future first priority lien obligations of CRC, CRC Finco, Inc. and the subsidiary guarantors. The CRC Senior Secured Notes will mature on July 1, 2025, with interest payable semi-annually in cash in arrears on January 1 and July 1 of each year.</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Secured Notes due 2025</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6, 2020, the Escrow Issuer issued $3.4 billion in aggregate principal amount of 6.25% Senior Secured Notes due 2025 pursuant to an indenture dated July 6, 2020 (the “CEI Senior Secured Notes due 2025”), by and among the Escrow Issuer, U.S. Bank National Association, as trustee, and U.S. Bank National Association, as collateral agent. The CEI Senior Secured Notes due 2025 rank equally with all existing and future first-priority lien obligations of the Company and the subsidiary guarantors. The CEI Senior Secured Notes due 2025 will mature on July 1, 2025, with interest payable semi-annually in cash in arrears on January 1 and July 1 of each year. On April 5, 2023, the Company purchased $1 million in principal amount of the CEI Senior Secured Notes due 2025.</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Secured Notes due 2030</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2023, concurrently with the issuance of the CEI Term Loan B, the Company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in February 2030, with interest paid semi-annually on February 15 and August 15 of each year, commencing August 15, 2023.</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Convention Center Mortgage Loan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18, 2020, the Company entered into a loan agreement with a subsidiary of VICI Properties L.P., a Delaware limited partnership (“VICI”), to borrow a 5-year, $400 million Forum Convention Center mortgage loan (the “Mortgage Loan”). The Mortgage Loan bears interest at a rate of, initially, 7.7% per annum, which escalates annually on the anniversary of the closing date to a maximum interest rate of 8.3% per annum. On May 1, 2023, the Company elected to prepay the outstanding $400 million Mortgage Loan utilizing cash on hand. In connection with the repayment, the Company extended VICI’s call right relating to the CAESARS FORUM convention center from December 31, 2026 to December 31,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4165"/>
                <wp:effectExtent l="0" t="0" r="0" b="0"/>
                <wp:wrapNone/>
                <wp:docPr id="19" name="Frame1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CRC Term Loan and CRC Incremental Term Loan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Resort Collection (“CRC”) was party to a credit agreement, dated as of December 22, 2017 (as amended, the “CRC Credit Agreement”), which provided for, among other things, an initial $4.7 billion seven-year senior secured term loan (the “CRC Term Loan”), and an incremental $1.8 billion five-year senior secured term loan (the “CRC Incremental Term Loan”).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CRC Term Loan and the CRC Incremental Term Loan were subject to the terms described below prior to repayment. The Company repaid the $3.4 billion outstanding principal amount of the CRC Term Loan and the $1.0 billion outstanding principal amount of the CRC Incremental Term Loan on February 6, 2023, with proceeds from a new CEI Term Loan B and new CEI Senior Secured Notes due 2030, both of which are described above.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CRC Credit Agreement were subject to interest at a rate equal to either (a) LIBOR adjusted for certain additional costs, subject to a floor of 0% or (b) a base rate determined by reference to the highest of (i) the federal funds rate plus 0.50%, (ii) the prime rate as determined by Credit Suisse AG, Cayman Islands Branch, as administrative agent under the CRC Credit Agreement and (iii) the one-month adjusted LIBOR rate plus 1.00%, in each case plus an applicable margin. Such applicable margin shall be (a) with respect to the CRC Term Loan, 2.75% per annum in the case of any LIBOR loan or 1.75% per annum in the case of any base rate loan and (b) with respect to the CRC Incremental Term Loan, 3.50% per annum in the case of any LIBOR loan or 2.50% in the case of any base rate loan.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Notes due 2027</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6, 2020, the Escrow Issuer issued $1.8 billion in aggregate principal amount of 8.125% Senior Notes due 2027 pursuant to an indenture, dated July 6, 2020 (the “CEI Senior Notes due 2027”), by and between the Escrow Issuer and U.S. Bank National Association, as trustee. The CEI Senior Notes due 2027 rank equally with all existing and future senior unsecured indebtedness of the Company and the subsidiary guarantors. The CEI Senior Notes due 2027 will mature on July 1, 2027, with interest payable semi-annually in cash in arrears on January 1 and July 1 of each year.</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Notes due 2029</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24, 2021, the Company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 indebtedness of the Company and the subsidiary guarantors. The CEI Senior Notes due 2029 will mature on October 15, 2029, with interest payable on April 15 and October 15 of each year.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 Covenant Compliance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Facilities, the CEI Term Loan B, the Baltimore Term Loan, the Baltimore Revolving Credit Facility and the indentures governing the CRC Senior Secured Notes, the CEI Senior Secured Notes due 2025, the CEI Senior Secured Notes due 2030, the CEI Senior Notes due 2027, and the CEI Senior Notes due 2029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 The Baltimore Revolving Credit Facility included a net senior secured leverage ratio financial covenant of 5.0:1. The Baltimore Revolving Credit Facility matured on July 7, 2023 and the Baltimore Term Loan was repaid in full on July 17,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Third Amendment, the Amended CEI Revolving Credit Facility and the CEI Term Loan A include a maximum net total leverage ratio financial covenant of 7.25:1 until December 31, 2024 and 6.50:1 from and after December 31, 2024. In addition, the Amended CEI Revolving Credit Facility and the CEI Term Loan A include a minimum fixed charge coverage ratio financial covenant of 1.75:1 until December 31, 2024 and 2.0:1 from and after December 31, 2024. From and after the repayment of the CEI Term Loan A, the financial covenants applicable to the Amended CEI Revolving Credit Facility will be tested solely to the extent that certain testing conditions are satisfied. Failure to comply with such covenants could result in an acceleration of the maturity of indebtedness outstanding under the relevant debt document.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was in compliance with all of the applicable financial covenants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4165"/>
                <wp:effectExtent l="0" t="0" r="0" b="0"/>
                <wp:wrapNone/>
                <wp:docPr id="20" name="Frame2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Guarantees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Facilities, the CEI Term Loan B, the CEI Senior Secured Notes due 2025 and the CEI Senior Secured Notes due 2030 are guaranteed on a senior secured basis by each existing and future material wholly-owned domestic subsidiary of the Company (subject to certain exceptions including CRC and its subsidiaries) and are secured by substantially all of the existing and future property and assets of the Company and its subsidiary guarantors (subject to certain exceptions). The CEI Senior Notes due 2027 and the CEI Senior Notes due 2029 are guaranteed on a senior unsecured basis by such subsidiaries.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CRC Senior Secured Notes are guaranteed on a senior secured basis by each existing and future material wholly-owned domestic subsidiary of CRC (subject to certain exceptions) and are secured by substantially all of the existing and future property and assets of CRC and its subsidiary guarantors (subject to certain exceptions). The CRC Senior Secured Notes are also guaranteed on a senior unsecured basis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9. Revenue Recognition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Statements of Operations present net revenue disaggregated by type or nature of the good or service. A summary of net revenues disaggregated by type of revenue and reportable segment is presented below. Refer to Note 14 for additional information on the Company’s reportable segments.</w:t>
      </w:r>
    </w:p>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76"/>
        <w:gridCol w:w="988"/>
        <w:gridCol w:w="268"/>
        <w:gridCol w:w="109"/>
        <w:gridCol w:w="109"/>
        <w:gridCol w:w="109"/>
        <w:gridCol w:w="563"/>
        <w:gridCol w:w="737"/>
        <w:gridCol w:w="315"/>
        <w:gridCol w:w="109"/>
        <w:gridCol w:w="109"/>
        <w:gridCol w:w="109"/>
        <w:gridCol w:w="196"/>
        <w:gridCol w:w="556"/>
        <w:gridCol w:w="163"/>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76"/>
        <w:gridCol w:w="988"/>
        <w:gridCol w:w="268"/>
        <w:gridCol w:w="109"/>
        <w:gridCol w:w="109"/>
        <w:gridCol w:w="109"/>
        <w:gridCol w:w="563"/>
        <w:gridCol w:w="737"/>
        <w:gridCol w:w="315"/>
        <w:gridCol w:w="109"/>
        <w:gridCol w:w="109"/>
        <w:gridCol w:w="109"/>
        <w:gridCol w:w="196"/>
        <w:gridCol w:w="556"/>
        <w:gridCol w:w="163"/>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2022</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66"/>
        <w:gridCol w:w="1003"/>
        <w:gridCol w:w="264"/>
        <w:gridCol w:w="109"/>
        <w:gridCol w:w="109"/>
        <w:gridCol w:w="109"/>
        <w:gridCol w:w="563"/>
        <w:gridCol w:w="737"/>
        <w:gridCol w:w="315"/>
        <w:gridCol w:w="109"/>
        <w:gridCol w:w="109"/>
        <w:gridCol w:w="109"/>
        <w:gridCol w:w="196"/>
        <w:gridCol w:w="556"/>
        <w:gridCol w:w="162"/>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67"/>
        <w:gridCol w:w="620"/>
        <w:gridCol w:w="205"/>
        <w:gridCol w:w="109"/>
        <w:gridCol w:w="109"/>
        <w:gridCol w:w="109"/>
        <w:gridCol w:w="466"/>
        <w:gridCol w:w="1003"/>
        <w:gridCol w:w="264"/>
        <w:gridCol w:w="109"/>
        <w:gridCol w:w="109"/>
        <w:gridCol w:w="109"/>
        <w:gridCol w:w="445"/>
        <w:gridCol w:w="922"/>
        <w:gridCol w:w="249"/>
        <w:gridCol w:w="109"/>
        <w:gridCol w:w="109"/>
        <w:gridCol w:w="109"/>
        <w:gridCol w:w="196"/>
        <w:gridCol w:w="556"/>
        <w:gridCol w:w="161"/>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2022</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4165"/>
                <wp:effectExtent l="0" t="0" r="0" b="0"/>
                <wp:wrapNone/>
                <wp:docPr id="21" name="Frame2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5260" w:type="dxa"/>
        <w:jc w:val="left"/>
        <w:tblInd w:w="0" w:type="dxa"/>
        <w:tblLayout w:type="fixed"/>
        <w:tblCellMar>
          <w:top w:w="28" w:type="dxa"/>
          <w:left w:w="28" w:type="dxa"/>
          <w:bottom w:w="28" w:type="dxa"/>
          <w:right w:w="28" w:type="dxa"/>
        </w:tblCellMar>
      </w:tblPr>
      <w:tblGrid>
        <w:gridCol w:w="793"/>
        <w:gridCol w:w="696"/>
        <w:gridCol w:w="700"/>
        <w:gridCol w:w="312"/>
        <w:gridCol w:w="670"/>
        <w:gridCol w:w="173"/>
        <w:gridCol w:w="109"/>
        <w:gridCol w:w="109"/>
        <w:gridCol w:w="109"/>
        <w:gridCol w:w="402"/>
        <w:gridCol w:w="868"/>
        <w:gridCol w:w="319"/>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Accounts Receivable, Net</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 and hotel</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Contract and Contract-Related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customers, (2) Caesars Rewards player loyalty program obligations, which represent the deferred allocation of revenue relating to reward credits granted to Caesars Rewards members based on certain types of customer spend, including online and retail gaming, hotel, dining, retail shopping, and player loyalty program incentives earned, and (3) customer deposits and other deferred revenue, which primarily represents funds deposited by customers related to gaming play and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 Liabilities expected to be recognized as revenue beyond one year of being purchased, earned, or deposited are recorded within Other long-term liabilities on the Company’s Balance Sheets.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contract and contract-related liabilities:</w:t>
      </w:r>
    </w:p>
    <w:tbl>
      <w:tblPr>
        <w:tblW w:w="9912" w:type="dxa"/>
        <w:jc w:val="left"/>
        <w:tblInd w:w="0" w:type="dxa"/>
        <w:tblLayout w:type="fixed"/>
        <w:tblCellMar>
          <w:top w:w="28" w:type="dxa"/>
          <w:left w:w="28" w:type="dxa"/>
          <w:bottom w:w="28" w:type="dxa"/>
          <w:right w:w="28" w:type="dxa"/>
        </w:tblCellMar>
      </w:tblPr>
      <w:tblGrid>
        <w:gridCol w:w="571"/>
        <w:gridCol w:w="501"/>
        <w:gridCol w:w="503"/>
        <w:gridCol w:w="258"/>
        <w:gridCol w:w="535"/>
        <w:gridCol w:w="143"/>
        <w:gridCol w:w="143"/>
        <w:gridCol w:w="143"/>
        <w:gridCol w:w="143"/>
        <w:gridCol w:w="258"/>
        <w:gridCol w:w="436"/>
        <w:gridCol w:w="143"/>
        <w:gridCol w:w="109"/>
        <w:gridCol w:w="109"/>
        <w:gridCol w:w="109"/>
        <w:gridCol w:w="196"/>
        <w:gridCol w:w="331"/>
        <w:gridCol w:w="109"/>
        <w:gridCol w:w="109"/>
        <w:gridCol w:w="109"/>
        <w:gridCol w:w="109"/>
        <w:gridCol w:w="196"/>
        <w:gridCol w:w="331"/>
        <w:gridCol w:w="109"/>
        <w:gridCol w:w="109"/>
        <w:gridCol w:w="109"/>
        <w:gridCol w:w="109"/>
        <w:gridCol w:w="417"/>
        <w:gridCol w:w="896"/>
        <w:gridCol w:w="232"/>
        <w:gridCol w:w="232"/>
        <w:gridCol w:w="232"/>
        <w:gridCol w:w="232"/>
        <w:gridCol w:w="417"/>
        <w:gridCol w:w="896"/>
        <w:gridCol w:w="328"/>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Chip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Rewards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Customer Deposits and Other Deferred Revenue</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January 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 (decrease)</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Revenue</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Lodging Arrangements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June 30, 2023 and 2022, we recognized approximately $525 million and $519 million, respectively, and during the six months ended June 30, 2023 and 2022, we recognized approximately $1.0 billion and $902 million, respectively, which is included in Hotel revenues in the Statements of Operations.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Conventions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Other revenue in the Statements of Operations and during the three months ended June 30, 2023 and 2022, lease revenue related to conventions was approximately $12 million and $13 million, respectively, and during the six months ended June 30, 2023 and 2022, lease revenue related to conventions was approximately $26 million and $19 million, respectively.</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Real Estate Operating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lease revenue is included in Other revenue in the Statements of Operations. During the three months ended June 30, 2023 and 2022, we recognized approximately $43 million and $47 million, respectively, and during the six months ended June 30, 2023 and 2022, we recognized approximately $80 million and $83 million, respectively, of real estate lease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04165"/>
                <wp:effectExtent l="0" t="0" r="0" b="0"/>
                <wp:wrapNone/>
                <wp:docPr id="22" name="Frame2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lease revenue includes $16 million of variable rental income for both three months ended June 30, 2023 and 2022, and $30 million and $28 million for the six months ended June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10. Earnings per Share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illustrates the reconciliation of the numerators and denominators of the basic and diluted net income (loss) per share computations for the three and six months ended June 30, 2023 and 2022: </w:t>
      </w:r>
    </w:p>
    <w:tbl>
      <w:tblPr>
        <w:tblW w:w="10205" w:type="dxa"/>
        <w:jc w:val="left"/>
        <w:tblInd w:w="0" w:type="dxa"/>
        <w:tblLayout w:type="fixed"/>
        <w:tblCellMar>
          <w:top w:w="28" w:type="dxa"/>
          <w:left w:w="28" w:type="dxa"/>
          <w:bottom w:w="28" w:type="dxa"/>
          <w:right w:w="28" w:type="dxa"/>
        </w:tblCellMar>
      </w:tblPr>
      <w:tblGrid>
        <w:gridCol w:w="1981"/>
        <w:gridCol w:w="1671"/>
        <w:gridCol w:w="1685"/>
        <w:gridCol w:w="235"/>
        <w:gridCol w:w="561"/>
        <w:gridCol w:w="131"/>
        <w:gridCol w:w="131"/>
        <w:gridCol w:w="131"/>
        <w:gridCol w:w="131"/>
        <w:gridCol w:w="235"/>
        <w:gridCol w:w="640"/>
        <w:gridCol w:w="131"/>
        <w:gridCol w:w="109"/>
        <w:gridCol w:w="109"/>
        <w:gridCol w:w="109"/>
        <w:gridCol w:w="218"/>
        <w:gridCol w:w="520"/>
        <w:gridCol w:w="121"/>
        <w:gridCol w:w="121"/>
        <w:gridCol w:w="121"/>
        <w:gridCol w:w="121"/>
        <w:gridCol w:w="218"/>
        <w:gridCol w:w="592"/>
        <w:gridCol w:w="183"/>
      </w:tblGrid>
      <w:tr>
        <w:trPr/>
        <w:tc>
          <w:tcPr>
            <w:tcW w:w="198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 except per share data)</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from continuing operations attributable to Caesars, net of income taxes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 net of income taxes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outstanding:</w:t>
            </w:r>
          </w:p>
        </w:tc>
        <w:tc>
          <w:tcPr>
            <w:tcW w:w="9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basic</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5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awards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diluted</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income (loss) per share from continuing operations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loss per share from discontinued operations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 attributable to common stockholders – basic:</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income (loss) per share from continuing operations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loss per share from discontinued operations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 attributable to common stockholders – diluted:</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period in which the Company generated a net loss from continuing operations, the Weighted average shares outstanding - basic was used in calculating Diluted loss per share because using diluted shares would have been anti-dilutive to loss per share.</w:t>
      </w:r>
    </w:p>
    <w:tbl>
      <w:tblPr>
        <w:tblW w:w="10144" w:type="dxa"/>
        <w:jc w:val="left"/>
        <w:tblInd w:w="0" w:type="dxa"/>
        <w:tblLayout w:type="fixed"/>
        <w:tblCellMar>
          <w:top w:w="28" w:type="dxa"/>
          <w:left w:w="28" w:type="dxa"/>
          <w:bottom w:w="28" w:type="dxa"/>
          <w:right w:w="28" w:type="dxa"/>
        </w:tblCellMar>
      </w:tblPr>
      <w:tblGrid>
        <w:gridCol w:w="930"/>
        <w:gridCol w:w="817"/>
        <w:gridCol w:w="817"/>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500"/>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0144"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Weighted-Average Number of Anti-Dilutive Shares Excluded from the Calculation of Earnings per Share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awards</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anti-dilutive common stock</w:t>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11. Stock-Based Compensation and Stockholders’ Equity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Stock-Based Awards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long-term incentive plans which allow for granting stock-based compensation awards to directors, employees, officers, and consultants or advisers who render services to the Company or its subsidiaries, based on Company Common Stock, including stock options, restricted stock, restricted stock units (“RSUs”), performance stock units (“PSUs”), market-based performance stock units (“MSUs”), stock appreciation rights, and other stock-based awards or dividend equivalents. Forfeitures are recognized in the period in which they occur.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stock-based compensation expense in the accompanying Statements of Operations totaled $29 million and $26 million during the three months ended June 30, 2023 and 2022, respectively, and $56 million and $51 million during the six months ended June 30, 2023 and 2022, respectively. These amounts are included in Corporate expense in the Company’s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4165"/>
                <wp:effectExtent l="0" t="0" r="0" b="0"/>
                <wp:wrapNone/>
                <wp:docPr id="23" name="Frame2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2015 Equity Incentive Plan (“2015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as part of the annual incentive program, the Company granted 1.4 million RSUs to eligible participants with an aggregate fair value of $74 million and a ratable vesting period of one to three years. Each RSU represents the right to receive payment in respect of one share of the Company’s Common Stock.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also granted 192 thousand PSUs that are scheduled to vest over a period of two to three years. On the vesting date, recipients will receive between 0% and 200% of the target number of PSUs granted, in the form of Company Common Stock, based on the achievement of specified performance and service conditions. The fair value of the PSUs is based on the market price of our common stock when a mutual understanding of the key terms and conditions of the awards between the Company and recipient is achieved. The awards are remeasured each period until such an understanding is reached. The aggregate value of PSUs granted during the year was $10 million as of June 30,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during the six months ended June 30, 2023, the Company granted 379 thousand MSUs that are scheduled to cliff vest over a period of one to three years. On the vesting date, recipients will receive between 0% and 200% of the target number of MSUs granted, in the form of Company Common Stock, based on the achievement of specified market and service conditions.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 The aggregate value of MSUs granted during the six months ended June 30, 2023 was $31 million.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there were no grants of stock options and 88 stock options were exercised. In addition, during the six months ended June 30, 2023, 596 thousand, 237 thousand and 20 thousand of RSUs, PSUs and MSUs, respectively, vested under the 2015 Plan.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Outstanding at End of Period</w:t>
      </w:r>
    </w:p>
    <w:tbl>
      <w:tblPr>
        <w:tblW w:w="6627" w:type="dxa"/>
        <w:jc w:val="left"/>
        <w:tblInd w:w="0" w:type="dxa"/>
        <w:tblLayout w:type="fixed"/>
        <w:tblCellMar>
          <w:top w:w="28" w:type="dxa"/>
          <w:left w:w="28" w:type="dxa"/>
          <w:bottom w:w="28" w:type="dxa"/>
          <w:right w:w="28" w:type="dxa"/>
        </w:tblCellMar>
      </w:tblPr>
      <w:tblGrid>
        <w:gridCol w:w="691"/>
        <w:gridCol w:w="603"/>
        <w:gridCol w:w="610"/>
        <w:gridCol w:w="274"/>
        <w:gridCol w:w="274"/>
        <w:gridCol w:w="278"/>
        <w:gridCol w:w="109"/>
        <w:gridCol w:w="109"/>
        <w:gridCol w:w="109"/>
        <w:gridCol w:w="280"/>
        <w:gridCol w:w="582"/>
        <w:gridCol w:w="158"/>
        <w:gridCol w:w="109"/>
        <w:gridCol w:w="109"/>
        <w:gridCol w:w="109"/>
        <w:gridCol w:w="274"/>
        <w:gridCol w:w="274"/>
        <w:gridCol w:w="278"/>
        <w:gridCol w:w="111"/>
        <w:gridCol w:w="111"/>
        <w:gridCol w:w="111"/>
        <w:gridCol w:w="229"/>
        <w:gridCol w:w="654"/>
        <w:gridCol w:w="181"/>
      </w:tblGrid>
      <w:tr>
        <w:trPr/>
        <w:tc>
          <w:tcPr>
            <w:tcW w:w="69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Quantity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Wtd-Avg </w:t>
            </w:r>
            <w:r>
              <w:rPr>
                <w:rFonts w:ascii="Times New Roman;sans-serif" w:hAnsi="Times New Roman;sans-serif"/>
                <w:b/>
                <w:i/>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Quantity</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Wtd-Avg </w:t>
            </w:r>
            <w:r>
              <w:rPr>
                <w:rFonts w:ascii="Times New Roman;sans-serif" w:hAnsi="Times New Roman;sans-serif"/>
                <w:b/>
                <w:i/>
                <w:color w:val="000000"/>
                <w:sz w:val="12"/>
              </w:rPr>
              <w:t>(a)</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2,598,976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1,863,481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Performance stock units </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383,157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Market-based stock units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741,803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Represents the weighted-average exercise price for stock options, weighted-average grant date fair value for RSUs, weighted-average grant date fair value for PSUs where the grant date has been achieved, the price of CEI common stock as of the balance sheet date for PSUs where a grant date has not been achieved, and the grant date fair value of the MSUs determined using the Monte-Carlo simulation model.</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has acquired 223,823 shares of common stock under the Share Repurchase Program at an aggregate value of $9 million and an average of $40.80 per share. No shares were repurchased during the six months ended June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12. Income Taxes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provision for income taxes during interim reporting periods has historically been calculated by applying an estimate of the annual effective tax rate for the full year to “ordinary” income or loss (pre-tax income or loss excluding unusual or infrequently occurring discrete items) for the reporting period. However, the Company utilized a discrete effective tax rate method, as allowed by ASC 740-270 “Income Taxes, Interim Reporting,” to calculate taxes for the three and six months ended June 30, 2023. The Company determined that small changes in estimated “ordinary” income would result in significant changes in the estimated annual effective tax rate, and therefore, the historical method would not provide a reliable estimate for the three and six months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4165"/>
                <wp:effectExtent l="0" t="0" r="0" b="0"/>
                <wp:wrapNone/>
                <wp:docPr id="24" name="Frame2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59" w:type="dxa"/>
        <w:jc w:val="left"/>
        <w:tblInd w:w="0" w:type="dxa"/>
        <w:tblLayout w:type="fixed"/>
        <w:tblCellMar>
          <w:top w:w="28" w:type="dxa"/>
          <w:left w:w="28" w:type="dxa"/>
          <w:bottom w:w="28" w:type="dxa"/>
          <w:right w:w="28" w:type="dxa"/>
        </w:tblCellMar>
      </w:tblPr>
      <w:tblGrid>
        <w:gridCol w:w="1637"/>
        <w:gridCol w:w="1434"/>
        <w:gridCol w:w="1444"/>
        <w:gridCol w:w="274"/>
        <w:gridCol w:w="463"/>
        <w:gridCol w:w="152"/>
        <w:gridCol w:w="152"/>
        <w:gridCol w:w="152"/>
        <w:gridCol w:w="152"/>
        <w:gridCol w:w="274"/>
        <w:gridCol w:w="463"/>
        <w:gridCol w:w="358"/>
        <w:gridCol w:w="109"/>
        <w:gridCol w:w="109"/>
        <w:gridCol w:w="109"/>
        <w:gridCol w:w="210"/>
        <w:gridCol w:w="533"/>
        <w:gridCol w:w="117"/>
        <w:gridCol w:w="117"/>
        <w:gridCol w:w="117"/>
        <w:gridCol w:w="117"/>
        <w:gridCol w:w="210"/>
        <w:gridCol w:w="533"/>
        <w:gridCol w:w="323"/>
      </w:tblGrid>
      <w:tr>
        <w:trPr/>
        <w:tc>
          <w:tcPr>
            <w:tcW w:w="163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Income Tax Allocation</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continuing operations before income taxes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tax rate</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accruals for uncertain tax positions within Other long-term liabilities on the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assesses the available positive and negative evidence to estimate if sufficient future taxable income will be generated to use existing deferred tax assets. Prior to June 30, 2023, the Company provided a valuation allowance on certain federal, state and foreign deferred tax assets that were not deemed realizable based upon estimates of future income at that time. In the last five quarters, the Company began to observe positive trends in income. As of June 30, 2023, the Company evaluated its forecasted adjusted taxable income and objectively verifiable evidence and placed substantial weight on its 2022 and 2023 quarterly earnings, adjusted for non-recurring items, including the interest expense disallowed under current tax law. Accordingly, the Company determined it was more likely than not that a portion of the federal and state deferred tax assets will be realized and, as a result, the Company reversed the valuation allowance related to these deferred tax assets and recorded an income tax benefit of $940 million. The Company is still carrying a valuation allowance on certain federal and state deferred tax assets that are not more likely than not to be realized in the future. The Company has assessed the changes to the valuation allowance, including realization of the disallowed interest expense deferred tax asset, using the integrated approach.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income tax benefit for the three and six months ended June 30, 2023 differed from the expected income tax benefit based on the federal tax rate of 21% primarily due to the partial release of federal and state valuation allowances.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benefit for the three and six months ended June 30, 2022 differed from the expected income tax benefit based on the federal tax rate of 21% primarily due to a deferred tax adjustment related to the tax impact of the settlement of preexisting relationships upon the acquisition of William Hill in 2021.</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US federal or state and local tax assessments by tax authorities for years before 2019, and it is possible that the amount of the liability for unrecognized tax benefits could change during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13. Related Affiliates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REI</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Recreational Enterprises, Inc. (“REI”) owned approximately 4.0% of outstanding common stock of the Company. The directors of REI are the Company’s Executive Chairman of the Board, Gary L. Carano, its Chief Executive Officer and Board member, Thomas R. Reeg, and its Vice President of Player Development, Gene Carano. In addition, Gary L. Carano also serves as the Vice President of REI and Gene Carano also serves as the Secretary and Treasurer of REI. Members of the Carano family, including Gary L. Carano and Gene Carano, own the equity interests in REI. During the six months ended June 30, 2023 and 2022, there were no related party transactions between the Company and the Carano family other than compensation, including salary and equity incentives, and the CSY Lease listed below.</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 S. &amp; Y. Associates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the entire parcel on which Eldorado Reno is located, except for approximately 30,000 square feet which is leased from C. S. &amp; Y. Associates (“CSY”) which is an entity partially owned by REI (the “CSY Lease”). The CSY Lease expires on June 30, 2057. Annual rent pursuant to the CSY Lease is currently $0.6 million, paid monthly. Annual rent is subject to periodic rent escalations through the term of the lease. As of June 30, 2023 and December 31, 2022, there were no amounts due to or from CSY.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4165"/>
                <wp:effectExtent l="0" t="0" r="0" b="0"/>
                <wp:wrapNone/>
                <wp:docPr id="25" name="Frame2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pPr>
      <w:r>
        <w:rPr>
          <w:rFonts w:ascii="Times New Roman;sans-serif" w:hAnsi="Times New Roman;sans-serif"/>
          <w:b/>
          <w:color w:val="000000"/>
          <w:sz w:val="20"/>
        </w:rPr>
        <w:t>C</w:t>
      </w:r>
      <w:r>
        <w:rPr>
          <w:rFonts w:ascii="Times New Roman;sans-serif" w:hAnsi="Times New Roman;sans-serif"/>
          <w:b/>
          <w:i/>
          <w:color w:val="000000"/>
          <w:sz w:val="20"/>
        </w:rPr>
        <w:t>VA Holdco, LLC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the Company entered into a joint venture, CVA Holdco, LLC (“CVA”), with the Eastern Bank of Cherokee Indians (“EBCI”) and an additional minority partner, to construct, own and operate a gaming facility in Danville, Virginia (“Caesars Virginia”). Caesars Virginia opened in a temporary facility on May 15, 2023 which will be replaced by a permanent facility that is currently under construction and is estimated to open in late 2024. As the managing member, the Company will operate the business and manage the development, construction, financing, marketing, leasing, maintenance and day-to-day operation of the various phases of the project.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Company holds a 49.5% variable interest in the joint venture, it is the primary beneficiary; as such, the joint venture’s operations are included in the Financial Statements, with a minority interest recorded reflecting the operations attributed to the other partners. The Company participates ratably, based on ownership percentage, with the partners in the profits and losses of the joint venture. As of June 30, 2023, the Company has received $77 million in contributions for the project and the EBCI and the other minority partners are obligated to contribute cash totaling $47 million to the joint venture.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BF2115"/>
          <w:sz w:val="24"/>
        </w:rPr>
      </w:pPr>
      <w:r>
        <w:rPr>
          <w:rFonts w:ascii="Times New Roman;sans-serif" w:hAnsi="Times New Roman;sans-serif"/>
          <w:b/>
          <w:color w:val="BF2115"/>
          <w:sz w:val="24"/>
        </w:rPr>
        <w:t>Note 14. Segment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table below for a summary of these segments. Also, see Note 4 and Note 5 for a discussion of any impairment of intangible assets or long-lived assets related to certain segments, when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4165"/>
                <wp:effectExtent l="0" t="0" r="0" b="0"/>
                <wp:wrapNone/>
                <wp:docPr id="26" name="Frame2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properties (listed by segment in which each property is reported) as of June 30, 2023:</w:t>
      </w:r>
    </w:p>
    <w:tbl>
      <w:tblPr>
        <w:tblW w:w="10205" w:type="dxa"/>
        <w:jc w:val="left"/>
        <w:tblInd w:w="0" w:type="dxa"/>
        <w:tblLayout w:type="fixed"/>
        <w:tblCellMar>
          <w:top w:w="28" w:type="dxa"/>
          <w:left w:w="28" w:type="dxa"/>
          <w:bottom w:w="28" w:type="dxa"/>
          <w:right w:w="28" w:type="dxa"/>
        </w:tblCellMar>
      </w:tblPr>
      <w:tblGrid>
        <w:gridCol w:w="858"/>
        <w:gridCol w:w="677"/>
        <w:gridCol w:w="685"/>
        <w:gridCol w:w="109"/>
        <w:gridCol w:w="109"/>
        <w:gridCol w:w="109"/>
        <w:gridCol w:w="881"/>
        <w:gridCol w:w="804"/>
        <w:gridCol w:w="807"/>
        <w:gridCol w:w="109"/>
        <w:gridCol w:w="109"/>
        <w:gridCol w:w="109"/>
        <w:gridCol w:w="787"/>
        <w:gridCol w:w="721"/>
        <w:gridCol w:w="723"/>
        <w:gridCol w:w="109"/>
        <w:gridCol w:w="109"/>
        <w:gridCol w:w="109"/>
        <w:gridCol w:w="665"/>
        <w:gridCol w:w="665"/>
        <w:gridCol w:w="951"/>
      </w:tblGrid>
      <w:tr>
        <w:trPr/>
        <w:tc>
          <w:tcPr>
            <w:tcW w:w="85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Caesars Palace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Atlantic City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Harveys Lake Tahoe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Managed</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Cromwell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Caesars Virginia </w:t>
            </w:r>
            <w:r>
              <w:rPr>
                <w:rFonts w:ascii="Times New Roman;sans-serif" w:hAnsi="Times New Roman;sans-serif"/>
                <w:b w:val="false"/>
                <w:i/>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Horseshoe Baltimore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Ak-Chin</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Flamingo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Circus Circus Reno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Black Hawk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Cherokee</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Eldorado Gaming Scioto 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Bossier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Cherokee Valley River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Horseshoe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Eldorado Resort Casino Reno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Resort Southern California</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LINQ Hotel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Grand Victoria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Hammond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Caesars Windsor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Paris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Atlantic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Horseshoe Indianapolis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Caesars Dubai</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Planet Hollywood Resort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Harrah’s Columbus Nebraska </w:t>
            </w:r>
            <w:r>
              <w:rPr>
                <w:rFonts w:ascii="Times New Roman;sans-serif" w:hAnsi="Times New Roman;sans-serif"/>
                <w:b w:val="false"/>
                <w:i/>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Lake Charles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Branded</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Rio All-Suite Hotel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St. Louis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Caesars Southern Indiana </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Gulf Coast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Horseshoe Tunica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Northern California</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Hoosier Park Racing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Casino Bettendorf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Joliet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of Capri Casino Boonville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Lake Tahoe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of Capri Casino Lula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Laughlin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Casino Waterloo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Metropolis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Lady Luck Casino - Black Hawk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New Orleans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Silver Legacy Resort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North Kansas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 Casino Greenville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Philadelphia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Tropicana Atlantic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Pompano Beach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Tropicana Laughlin Hotel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Temporary gaming facility opened on May 15, 2023. The construction of the permanent facility of Caesars Virginia is expected to be completed in late 2024.</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Temporary gaming facility opened on June 12, 2023. The construction of the permanent facility of Harrah’s Columbus Nebraska is expected to be completed in the first half of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properties operate off-track betting locations, including Harrah’s Hoosier Park Racing &amp; Casino, which operates Winner’s Circle Indianapolis and Winner’s Circle New Haven, and Horseshoe Indianapolis, which operates Winner’s Circle Clarksville. The LINQ Promenade is an open-air dining, entertainment, and retail promenade located on the east side of the Las Vegas Strip next to The LINQ Hotel &amp; Casino (the “LINQ”) that features the High Roller, a 550-foot observation wheel, and the Fly LINQ Zipline attraction. We also own the CAESARS FORUM convention center, which is a 550,000 square feet conference center with 300,000 square feet of flexible meeting space, two of the largest pillarless ballrooms in the world and direct access to the LINQ.</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and Other includes certain unallocated corporate overhead costs and other adjustments, including eliminations of transactions among segments, to reconcile to the Company’s consolidated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04165"/>
                <wp:effectExtent l="0" t="0" r="0" b="0"/>
                <wp:wrapNone/>
                <wp:docPr id="27" name="Frame2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indicated, certain operating data for the Company’s four reportable segments, in addition to Corporate and Other:</w:t>
      </w:r>
    </w:p>
    <w:tbl>
      <w:tblPr>
        <w:tblW w:w="6874" w:type="dxa"/>
        <w:jc w:val="left"/>
        <w:tblInd w:w="0" w:type="dxa"/>
        <w:tblLayout w:type="fixed"/>
        <w:tblCellMar>
          <w:top w:w="28" w:type="dxa"/>
          <w:left w:w="28" w:type="dxa"/>
          <w:bottom w:w="28" w:type="dxa"/>
          <w:right w:w="28" w:type="dxa"/>
        </w:tblCellMar>
      </w:tblPr>
      <w:tblGrid>
        <w:gridCol w:w="664"/>
        <w:gridCol w:w="582"/>
        <w:gridCol w:w="584"/>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66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Las Vegas: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Regional:</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Caesars Digital:</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Managed and Branded:</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Corporate and Other:</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Reconciliation of Net Income (Loss) Attributable to Caesars to Adjusted EBITDA by Segment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presented as a measure of the Company’s performance. Adjusted EBITDA is defined as revenues less certain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financial measure commonly used in our industry and should not be construed as an alternative to net income (loss)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04165"/>
                <wp:effectExtent l="0" t="0" r="0" b="0"/>
                <wp:wrapNone/>
                <wp:docPr id="28" name="Frame2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CONDENSED FINANCIAL STATEMENTS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691" w:type="dxa"/>
        <w:jc w:val="left"/>
        <w:tblInd w:w="0" w:type="dxa"/>
        <w:tblLayout w:type="fixed"/>
        <w:tblCellMar>
          <w:top w:w="28" w:type="dxa"/>
          <w:left w:w="28" w:type="dxa"/>
          <w:bottom w:w="28" w:type="dxa"/>
          <w:right w:w="28" w:type="dxa"/>
        </w:tblCellMar>
      </w:tblPr>
      <w:tblGrid>
        <w:gridCol w:w="1321"/>
        <w:gridCol w:w="1160"/>
        <w:gridCol w:w="1164"/>
        <w:gridCol w:w="241"/>
        <w:gridCol w:w="683"/>
        <w:gridCol w:w="134"/>
        <w:gridCol w:w="134"/>
        <w:gridCol w:w="134"/>
        <w:gridCol w:w="134"/>
        <w:gridCol w:w="241"/>
        <w:gridCol w:w="609"/>
        <w:gridCol w:w="134"/>
        <w:gridCol w:w="109"/>
        <w:gridCol w:w="109"/>
        <w:gridCol w:w="109"/>
        <w:gridCol w:w="213"/>
        <w:gridCol w:w="605"/>
        <w:gridCol w:w="118"/>
        <w:gridCol w:w="118"/>
        <w:gridCol w:w="118"/>
        <w:gridCol w:w="118"/>
        <w:gridCol w:w="213"/>
        <w:gridCol w:w="605"/>
        <w:gridCol w:w="167"/>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from discontinued operations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income </w:t>
            </w:r>
            <w:r>
              <w:rPr>
                <w:rFonts w:ascii="Times New Roman;sans-serif" w:hAnsi="Times New Roman;sans-serif"/>
                <w:b w:val="false"/>
                <w:i/>
                <w:color w:val="000000"/>
                <w:sz w:val="12"/>
              </w:rPr>
              <w:t>(a)</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Transaction costs and other, net</w:t>
            </w:r>
            <w:r>
              <w:rPr>
                <w:color w:val="000000"/>
              </w:rPr>
              <w:t xml:space="preserve"> </w:t>
            </w:r>
            <w:r>
              <w:rPr>
                <w:rFonts w:ascii="Times New Roman;sans-serif" w:hAnsi="Times New Roman;sans-serif"/>
                <w:b w:val="false"/>
                <w:i/>
                <w:color w:val="000000"/>
                <w:sz w:val="12"/>
              </w:rPr>
              <w:t>(b)</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by Segment:</w:t>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Managed and Branded</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 xml:space="preserve">Other income for the three and six months ended June 30, 2022 primarily represents the net change in fair value of investments held by the Company, foreign exchange forward contracts, and changes in the fair value of a disputed claim liability. </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Transaction costs and other, net for the three and six months ended June 30, 2023 primarily includes non-cash losses on the write down and disposal of assets, pre-opening costs in connection with new temporary facility openings and non-cash changes in equity method investments. Transaction costs and other, net for the three and six months ended June 30, 2022 primarily represents professional services for integration activities and various contract exit or termination costs partially offset by a gain resulting from insurance proceeds received in excess of the respective carrying value of damaged assets associated with the Lake Charles property.</w:t>
      </w:r>
    </w:p>
    <w:tbl>
      <w:tblPr>
        <w:tblW w:w="5261" w:type="dxa"/>
        <w:jc w:val="left"/>
        <w:tblInd w:w="0" w:type="dxa"/>
        <w:tblLayout w:type="fixed"/>
        <w:tblCellMar>
          <w:top w:w="28" w:type="dxa"/>
          <w:left w:w="28" w:type="dxa"/>
          <w:bottom w:w="28" w:type="dxa"/>
          <w:right w:w="28" w:type="dxa"/>
        </w:tblCellMar>
      </w:tblPr>
      <w:tblGrid>
        <w:gridCol w:w="794"/>
        <w:gridCol w:w="697"/>
        <w:gridCol w:w="699"/>
        <w:gridCol w:w="238"/>
        <w:gridCol w:w="785"/>
        <w:gridCol w:w="132"/>
        <w:gridCol w:w="109"/>
        <w:gridCol w:w="109"/>
        <w:gridCol w:w="109"/>
        <w:gridCol w:w="313"/>
        <w:gridCol w:w="1031"/>
        <w:gridCol w:w="245"/>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Total Assets - By Segment</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Managed and Branded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Corporate and Other </w:t>
            </w:r>
            <w:r>
              <w:rPr>
                <w:rFonts w:ascii="Times New Roman;sans-serif" w:hAnsi="Times New Roman;sans-serif"/>
                <w:b w:val="false"/>
                <w:i/>
                <w:color w:val="000000"/>
                <w:sz w:val="12"/>
              </w:rPr>
              <w:t>(a)</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33,478 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33,527 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Includes eliminations of transactions among segments, to reconcile to the Company’s consolidated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04165"/>
                <wp:effectExtent l="0" t="0" r="0" b="0"/>
                <wp:wrapNone/>
                <wp:docPr id="29" name="Frame2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2. Management’s Discussion and Analysis of Financial Condition and Results of Operations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the financial position and operating results of Caesars Entertainment, Inc., a Delaware corporation, and its consolidated subsidiaries, which may be referred to as the “Company,” “CEI,” “Caesars,” “we,” “our,” or “us,” for the three and six months ended June 30, 2023 and 2022 should be read in conjunction with the unaudited consolidated condensed financial statements and the notes thereto and other financial information included elsewhere in this Form 10-Q as well as our Annual Report on Form 10-K for the fiscal year ended December 31, 2022 (the “2022 Annual Report”). Capitalized terms used but not defined in this Form 10-Q have the same meanings as in the 2022 Annual Report.</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We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Consolidated Condensed Financial Statements” included in Item 1, “Unaudited Financial Statements,” unless otherwise noted.</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INFORMATION”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Objective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Tropicana Entertainment, Inc. in 2018, Caesars Entertainment Corporation in 2020, and William Hill PLC on April 22, 2021. Our ticker symbol on the NASDAQ Stock Market is “CZR.”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lease, brand, or manage an aggregate of 53 domestic properties in 18 states with approximately 52,700 slot machines, video lottery terminals and e-tables, approximately 2,700 table games and approximately 47,200 hotel rooms as of June 30, 2023. In addition, we have other domestic and international properties that are authorized to use the brands and marks of Caesars Entertainment, Inc., as well as other non-gaming properties. Our primary source of revenue is generated by our casino properties’ gaming operations, our retail and online sports betting, as well as our online gaming, and we utilize our hotels, restaurants, bars, entertainment, racing, retail shops and other services to attract customers to our properties.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we owned 22 of our casinos and leased 25 casinos in the U.S. We lease 18 casinos from VICI Properties L.P., a Delaware limited partnership (“VICI”), pursuant to a regional lease, a Las Vegas lease and a Joliet lease (the “VICI Leases”). In addition, we lease six casinos from GLP Capital, L.P., the operating partnership of Gaming and Leisure Properties, Inc. (“GLPI”) pursuant to a Master Lease (as amended, the “GLPI Master Lease”) and a Lumière lease associated with our Horseshoe St. Louis property (together with the GLPI Master Lease, the “GLPI Leases”) and lease the Rio All-Suite Hotel &amp; Casino from a separate third party, until October 1, 2023, at which time operations will be assumed by our lessor.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4165"/>
                <wp:effectExtent l="0" t="0" r="0" b="0"/>
                <wp:wrapNone/>
                <wp:docPr id="30" name="Frame3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operate and conduct sports wagering across 30 jurisdictions in North America, 22 of which offer mobile sports betting, and operate regulated online real money gaming in six jurisdictions in North America. Our Caesars Sportsbook app operates on the Liberty platform and we maintain other technology platforms that we intend to migrate to the Liberty platform in the future, subject to required approvals. The map below illustrates Caesars Digital’s presence as of June 30, 2023:</w:t>
      </w:r>
    </w:p>
    <w:p>
      <w:pPr>
        <w:pStyle w:val="TextBody"/>
        <w:bidi w:val="0"/>
        <w:spacing w:before="180" w:after="283"/>
        <w:jc w:val="center"/>
        <w:rPr/>
      </w:pPr>
      <w:r>
        <w:rPr/>
        <w:drawing>
          <wp:inline distT="0" distB="0" distL="0" distR="0">
            <wp:extent cx="6515100" cy="5419725"/>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2"/>
                    <a:stretch>
                      <a:fillRect/>
                    </a:stretch>
                  </pic:blipFill>
                  <pic:spPr bwMode="auto">
                    <a:xfrm>
                      <a:off x="0" y="0"/>
                      <a:ext cx="6515100" cy="5419725"/>
                    </a:xfrm>
                    <a:prstGeom prst="rect">
                      <a:avLst/>
                    </a:prstGeom>
                  </pic:spPr>
                </pic:pic>
              </a:graphicData>
            </a:graphic>
          </wp:inline>
        </w:drawing>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2022, we partnered with NYRABets LLC, the official online wagering platform of the New York Racing Association, Inc., and launched the Caesars Racebook app which operates in 16 states as of June 30, 2023. The Caesars Racebook app provides access for pari-mutuel wagering at over 300 racetracks around the world as well as livestreaming of races. Wagers placed can earn credits towards our Caesars Rewards loyalty program or points which can be redeemed for free wagering credits.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in the process of expanding our Caesars Digital footprint into other states in the near term with our Caesars Sportsbook, Caesars Racebook and iGaming mobile apps as jurisdictions legalize or provide necessary approvals. No customers under 21 years old are allowed to wager on any of our Caesars Sportsbook, Caesars Racebook and iGaming mobile apps.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04165"/>
                <wp:effectExtent l="0" t="0" r="0" b="0"/>
                <wp:wrapNone/>
                <wp:docPr id="32" name="Frame3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divest of assets in order to raise capital, as a result of a determination that the assets are not core to our business, or due to regulatory requirements. A summary of recently completed divestitures of our properties as of June 30, 2023 is as follows:</w:t>
      </w:r>
    </w:p>
    <w:tbl>
      <w:tblPr>
        <w:tblW w:w="6857" w:type="dxa"/>
        <w:jc w:val="center"/>
        <w:tblInd w:w="0" w:type="dxa"/>
        <w:tblLayout w:type="fixed"/>
        <w:tblCellMar>
          <w:top w:w="28" w:type="dxa"/>
          <w:left w:w="28" w:type="dxa"/>
          <w:bottom w:w="28" w:type="dxa"/>
          <w:right w:w="28" w:type="dxa"/>
        </w:tblCellMar>
      </w:tblPr>
      <w:tblGrid>
        <w:gridCol w:w="283"/>
        <w:gridCol w:w="248"/>
        <w:gridCol w:w="250"/>
        <w:gridCol w:w="109"/>
        <w:gridCol w:w="109"/>
        <w:gridCol w:w="109"/>
        <w:gridCol w:w="929"/>
        <w:gridCol w:w="929"/>
        <w:gridCol w:w="932"/>
        <w:gridCol w:w="109"/>
        <w:gridCol w:w="109"/>
        <w:gridCol w:w="109"/>
        <w:gridCol w:w="339"/>
        <w:gridCol w:w="339"/>
        <w:gridCol w:w="341"/>
        <w:gridCol w:w="109"/>
        <w:gridCol w:w="109"/>
        <w:gridCol w:w="109"/>
        <w:gridCol w:w="109"/>
        <w:gridCol w:w="109"/>
        <w:gridCol w:w="109"/>
        <w:gridCol w:w="280"/>
        <w:gridCol w:w="280"/>
        <w:gridCol w:w="399"/>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Sales Price</w:t>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Belle of Baton Rouge Casino &amp;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5,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1"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William Hill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 billion</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*Not meaningful.</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Investments and Partnerships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Pompano Joint Venture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2018, we entered into a joint venture with Cordish Companies (“Cordish”) to plan and develop a mixed-use entertainment and hospitality destination expected to be located on unused land adjacent to the casino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hold a 50% variable interest in the joint venture, we are not the primary beneficiary; as such, the investment in the joint venture is accounted for using the equity method. We participate evenly with Cordish in the profits and losses of the joint venture, which are included in Transaction and other costs, net on our Statements of Operations. As of June 30, 2023 and December 31, 2022, our investment in the joint venture was $80 million for both periods, and is recorded in Investments in and advances to unconsolidated affiliates on the Balance Sheets. We have no further obligation to contribute additional real estate or cash as of June 30, 2023.</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NeoGames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held an investment in NeoGames S.A., a global leader of iLottery solutions and services to national and state-regulated lotteries, and other investments. On March 14, 2022, we sold our investment at fair value for $26 million and recorded a loss of $34 million during the six months ended June 30, 2022, which is included within Other income on the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Reportable Segments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Presentation of Financial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presentation of financial information herein for the periods after the sale of our completed divestitures, described above, is not fully comparable to the periods prior to their respective sale dates.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MD&amp;A is intended to provide information to assist in better understanding and evaluating our financial condition and results of operations. Our historical operating results may not be indicative of our future results of operations because of the factors described in the preceding paragraph and the changing competitive landscape in each of our markets, including changes in market and societal trends, as well as by factors discussed elsewhere herein. We recommend that you read this MD&amp;A in conjunction with our unaudited Financial Statements and the notes to those statements included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04165"/>
                <wp:effectExtent l="0" t="0" r="0" b="0"/>
                <wp:wrapNone/>
                <wp:docPr id="33" name="Frame3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Key Performance Metrics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revenue is generated by our gaming operations, our retail and online sports betting, as well as our online gaming. Additionally, we utilize our hotels, restaurants, bars, entertainment venues, retail shops, racing and other services to attract customers to our properties. Our operating results are highly dependent on the volume and quality of customers staying at, or visiting, our properties and using our sports betting and iGaming applications.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for both the Las Vegas and Regional segments. Table game hold percentage is typically in the range of approximately 16% to 23% of table game drop in both the Las Vegas and Regional segments. Sports betting hold is typically in the range of 5% to 10% and iGaming hold typically ranges from 3% to 5%. In addition, hotel occupancy, which is the average percentage of available hotel rooms occupied during a period, is a key indicator for our hotel business in the Las Vegas segment. See “Results of Operations” section below. Complimentary and discounted rooms are treated as occupied rooms in our calculation of hotel occupancy. The key metrics we utilize to measure our profitability and performance are Adjusted EBITDA and Adjusted EBITDA margin.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Significant Factors Impacting Financial Results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highlights the significant factors impacting our financial results for the three and six months ended June 30, 2023 and 2022:</w:t>
      </w:r>
    </w:p>
    <w:p>
      <w:pPr>
        <w:pStyle w:val="TextBody"/>
        <w:bidi w:val="0"/>
        <w:spacing w:lineRule="auto" w:line="288" w:before="180" w:after="283"/>
        <w:ind w:left="0" w:right="0" w:hanging="360"/>
        <w:jc w:val="both"/>
        <w:rPr/>
      </w:pPr>
      <w:r>
        <w:rPr>
          <w:color w:val="222222"/>
        </w:rPr>
        <w:t>•</w:t>
      </w:r>
      <w:r>
        <w:rPr>
          <w:rFonts w:ascii="Times New Roman;sans-serif" w:hAnsi="Times New Roman;sans-serif"/>
          <w:b w:val="false"/>
          <w:i/>
          <w:color w:val="212529"/>
          <w:sz w:val="20"/>
        </w:rPr>
        <w:t>Caesars Sportsbook, Caesars Racebook and iGaming mobile apps</w:t>
      </w:r>
      <w:r>
        <w:rPr>
          <w:color w:val="000000"/>
        </w:rPr>
        <w:t xml:space="preserve"> – </w:t>
      </w:r>
      <w:r>
        <w:rPr>
          <w:rFonts w:ascii="Times New Roman;sans-serif" w:hAnsi="Times New Roman;sans-serif"/>
          <w:b w:val="false"/>
          <w:color w:val="000000"/>
          <w:sz w:val="20"/>
        </w:rPr>
        <w:t xml:space="preserve">As new states and jurisdictions have legalized sports betting, we have made varying degrees of upfront investments which have been executed through marketing campaigns and promotional incentives to acquire new customers and establish our presence in the new state or jurisdiction. In connection with the launch of our Caesars Sportsbook app in the state of New York and Louisiana in January 2022, we experienced negative net revenue in the first quarter of 2022 resulting from a substantial amount of bonus cash and matched deposits issued to customers as sign-on incentives, which exceeded our gaming win. We continue to adjust our level of investment during the launch period in new jurisdictions based, in part, on prior experience and do not expect such investment to continue at elevated levels subsequent to the initial launch period. During the three and six months ended June 30, 2023, promotional and marketing expenses have significantly decreased as a result of these efforts, as compared to the prior year period. </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i/>
          <w:color w:val="000000"/>
          <w:sz w:val="20"/>
        </w:rPr>
        <w:t xml:space="preserve">Economic Factors Impacting Discretionary Spending – </w:t>
      </w:r>
      <w:r>
        <w:rPr>
          <w:rFonts w:ascii="Times New Roman;sans-serif" w:hAnsi="Times New Roman;sans-serif"/>
          <w:b w:val="false"/>
          <w:color w:val="212529"/>
          <w:sz w:val="20"/>
        </w:rPr>
        <w:t>Gaming and other leisure activities we offer represent discretionary expenditures which may be sensitive to economic downturns, such as the resurgence of the Omicron variant of COVID-19 that negatively impacted the first quarter of 2022. W</w:t>
      </w:r>
      <w:r>
        <w:rPr>
          <w:rFonts w:ascii="Times New Roman;sans-serif" w:hAnsi="Times New Roman;sans-serif"/>
          <w:b w:val="false"/>
          <w:color w:val="000000"/>
          <w:sz w:val="20"/>
        </w:rPr>
        <w:t xml:space="preserve">e also monitor recent trends, including higher inflation and interest rates, and the related effects on our customers, and our operations. </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i/>
          <w:color w:val="000000"/>
          <w:sz w:val="20"/>
        </w:rPr>
        <w:t>New Developments and Re-openings –</w:t>
      </w:r>
      <w:r>
        <w:rPr>
          <w:color w:val="000000"/>
        </w:rPr>
        <w:t xml:space="preserve"> </w:t>
      </w:r>
      <w:r>
        <w:rPr>
          <w:rFonts w:ascii="Times New Roman;sans-serif" w:hAnsi="Times New Roman;sans-serif"/>
          <w:b w:val="false"/>
          <w:color w:val="212529"/>
          <w:sz w:val="20"/>
        </w:rPr>
        <w:t>During the construction of permanent facilities of Caesars Virginia and Harrah’s Columbus Nebraska, we opened temporary gaming facilities during the second quarter of 2023. Caesars Virginia’s temporary facility opened on May 15, 2023 and Harrah’s Columbus Nebraska’s temporary facility opened on June 12, 2023. In addition to the temporary facilities, the reopening of Horseshoe Lake Charles in December 2022 has contributed to the Regional segment’s performance when compared to the prior year period.</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i/>
          <w:color w:val="000000"/>
          <w:sz w:val="20"/>
        </w:rPr>
        <w:t>Income Taxes –</w:t>
      </w:r>
      <w:r>
        <w:rPr>
          <w:color w:val="000000"/>
        </w:rPr>
        <w:t xml:space="preserve"> </w:t>
      </w:r>
      <w:r>
        <w:rPr>
          <w:rFonts w:ascii="Times New Roman;sans-serif" w:hAnsi="Times New Roman;sans-serif"/>
          <w:b w:val="false"/>
          <w:color w:val="000000"/>
          <w:sz w:val="20"/>
        </w:rPr>
        <w:t>Management assesses the available positive and negative evidence to estimate if sufficient future taxable income will be generated to use existing deferred tax assets. Prior to June 30, 2023, the Company provided a valuation allowance on certain federal, state and foreign deferred tax assets that were not deemed realizable based upon estimates of future income at that time. In the last five quarters, the Company began to observe positive trends in income. As of June 30, 2023, the Company evaluated its forecasted adjusted taxable income and objectively verifiable evidence and placed substantial weight on its 2022 and 2023 quarterly earnings, adjusted for non-recurring items, including the interest expense disallowed under current tax law. Accordingly, the Company determined it was more likely than not that a portion of the federal and state deferred tax assets will be realized and, as a result, the Company reversed the valuation allowance related to these deferred tax assets and recorded an income tax benefit of $940 million. The Company is still carrying a valuation allowance on certain federal and state deferred tax assets that are not more likely than not to be realized in the future. The Company has assessed the changes to the valuation allowance, including realization of the disallowed interest expense deferred tax asset, using the integrated approach.</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 xml:space="preserve">Divestitures and Discontinued Operations – </w:t>
      </w:r>
      <w:r>
        <w:rPr>
          <w:rFonts w:ascii="Times New Roman;sans-serif" w:hAnsi="Times New Roman;sans-serif"/>
          <w:b w:val="false"/>
          <w:color w:val="000000"/>
          <w:sz w:val="20"/>
        </w:rPr>
        <w:t>See “Overview” section above for detail on properties divested, including related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04165"/>
                <wp:effectExtent l="0" t="0" r="0" b="0"/>
                <wp:wrapNone/>
                <wp:docPr id="34" name="Frame3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highlights the results of our operations:</w:t>
      </w:r>
    </w:p>
    <w:tbl>
      <w:tblPr>
        <w:tblW w:w="7166" w:type="dxa"/>
        <w:jc w:val="left"/>
        <w:tblInd w:w="0" w:type="dxa"/>
        <w:tblLayout w:type="fixed"/>
        <w:tblCellMar>
          <w:top w:w="28" w:type="dxa"/>
          <w:left w:w="28" w:type="dxa"/>
          <w:bottom w:w="28" w:type="dxa"/>
          <w:right w:w="28" w:type="dxa"/>
        </w:tblCellMar>
      </w:tblPr>
      <w:tblGrid>
        <w:gridCol w:w="727"/>
        <w:gridCol w:w="640"/>
        <w:gridCol w:w="643"/>
        <w:gridCol w:w="204"/>
        <w:gridCol w:w="580"/>
        <w:gridCol w:w="267"/>
        <w:gridCol w:w="113"/>
        <w:gridCol w:w="113"/>
        <w:gridCol w:w="113"/>
        <w:gridCol w:w="204"/>
        <w:gridCol w:w="580"/>
        <w:gridCol w:w="267"/>
        <w:gridCol w:w="109"/>
        <w:gridCol w:w="109"/>
        <w:gridCol w:w="109"/>
        <w:gridCol w:w="196"/>
        <w:gridCol w:w="556"/>
        <w:gridCol w:w="256"/>
        <w:gridCol w:w="109"/>
        <w:gridCol w:w="109"/>
        <w:gridCol w:w="109"/>
        <w:gridCol w:w="196"/>
        <w:gridCol w:w="556"/>
        <w:gridCol w:w="301"/>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Managed and Branded</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Corporate and Other </w:t>
            </w:r>
            <w:r>
              <w:rPr>
                <w:rFonts w:ascii="Times New Roman;sans-serif" w:hAnsi="Times New Roman;sans-serif"/>
                <w:b w:val="false"/>
                <w:i/>
                <w:color w:val="000000"/>
                <w:sz w:val="12"/>
              </w:rPr>
              <w:t>(a)</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EBITDA </w:t>
            </w:r>
            <w:r>
              <w:rPr>
                <w:rFonts w:ascii="Times New Roman;sans-serif" w:hAnsi="Times New Roman;sans-serif"/>
                <w:b/>
                <w:i/>
                <w:color w:val="000000"/>
                <w:sz w:val="12"/>
              </w:rPr>
              <w:t>(b)</w:t>
            </w:r>
            <w:r>
              <w:rPr>
                <w:rFonts w:ascii="Times New Roman;sans-serif" w:hAnsi="Times New Roman;sans-serif"/>
                <w:b/>
                <w:color w:val="000000"/>
                <w:sz w:val="18"/>
              </w:rPr>
              <w:t>:</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Managed and Branded</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Corporate and Other </w:t>
            </w:r>
            <w:r>
              <w:rPr>
                <w:rFonts w:ascii="Times New Roman;sans-serif" w:hAnsi="Times New Roman;sans-serif"/>
                <w:b w:val="false"/>
                <w:i/>
                <w:color w:val="000000"/>
                <w:sz w:val="12"/>
              </w:rPr>
              <w:t>(a)</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margin</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Corporate and Other includes revenues related to certain licensing arrangements and various revenue sharing agreements. Corporate and Other Adjusted EBITDA includes corporate overhead costs, which consist of certain expenses, such as: payroll, professional fees and other general and administrative expenses.</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See the “Supplemental Unaudited Presentation of Consolidated Adjusted Earnings Before Interest, Taxes, Depreciation and Amortization (“Adjusted EBITDA”) for the three and six months ended June 30, 2023 and 2022” discussion later in this MD&amp;A for a definition of Adjusted EBITDA and a reconciliation of net income (loss) to Adjusted EBITDA.</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Consolidated comparison of the three and six months ended June 30, 2023 and 2022</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Revenues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revenues were as follows:</w:t>
      </w:r>
    </w:p>
    <w:tbl>
      <w:tblPr>
        <w:tblW w:w="10205" w:type="dxa"/>
        <w:jc w:val="left"/>
        <w:tblInd w:w="0" w:type="dxa"/>
        <w:tblLayout w:type="fixed"/>
        <w:tblCellMar>
          <w:top w:w="28" w:type="dxa"/>
          <w:left w:w="28" w:type="dxa"/>
          <w:bottom w:w="28" w:type="dxa"/>
          <w:right w:w="28" w:type="dxa"/>
        </w:tblCellMar>
      </w:tblPr>
      <w:tblGrid>
        <w:gridCol w:w="357"/>
        <w:gridCol w:w="272"/>
        <w:gridCol w:w="273"/>
        <w:gridCol w:w="203"/>
        <w:gridCol w:w="577"/>
        <w:gridCol w:w="113"/>
        <w:gridCol w:w="113"/>
        <w:gridCol w:w="113"/>
        <w:gridCol w:w="113"/>
        <w:gridCol w:w="203"/>
        <w:gridCol w:w="577"/>
        <w:gridCol w:w="113"/>
        <w:gridCol w:w="109"/>
        <w:gridCol w:w="109"/>
        <w:gridCol w:w="109"/>
        <w:gridCol w:w="245"/>
        <w:gridCol w:w="414"/>
        <w:gridCol w:w="137"/>
        <w:gridCol w:w="109"/>
        <w:gridCol w:w="109"/>
        <w:gridCol w:w="109"/>
        <w:gridCol w:w="231"/>
        <w:gridCol w:w="189"/>
        <w:gridCol w:w="447"/>
        <w:gridCol w:w="109"/>
        <w:gridCol w:w="109"/>
        <w:gridCol w:w="109"/>
        <w:gridCol w:w="199"/>
        <w:gridCol w:w="565"/>
        <w:gridCol w:w="110"/>
        <w:gridCol w:w="110"/>
        <w:gridCol w:w="110"/>
        <w:gridCol w:w="110"/>
        <w:gridCol w:w="199"/>
        <w:gridCol w:w="565"/>
        <w:gridCol w:w="110"/>
        <w:gridCol w:w="109"/>
        <w:gridCol w:w="109"/>
        <w:gridCol w:w="109"/>
        <w:gridCol w:w="214"/>
        <w:gridCol w:w="461"/>
        <w:gridCol w:w="121"/>
        <w:gridCol w:w="109"/>
        <w:gridCol w:w="109"/>
        <w:gridCol w:w="109"/>
        <w:gridCol w:w="285"/>
        <w:gridCol w:w="201"/>
        <w:gridCol w:w="520"/>
      </w:tblGrid>
      <w:tr>
        <w:trPr/>
        <w:tc>
          <w:tcPr>
            <w:tcW w:w="35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net revenues increased for the three and six months ended June 30, 2023 primarily due to improved gaming revenues in the Caesars Digital segment with additional state launches of our online and retail Caesars Sportsbooks, coupled with improved sports betting hold. Promotional allowances offered during launches in new jurisdictions have been significantly reduced year over year. Hotel occupancy rates within the Las Vegas segment continue to improve and the Regional segment benefited from the opening of two temporary gaming facilities, Caesars Virginia on May 15, 2023 and Harrah’s Columbus Nebraska on June 12, 2023, as well as the reopening of Horseshoe Lake Charles in December 2022. The Omicron variant of COVID-19 negatively impacted prior year results during the first quarter of 2022 across substantially all of our properties, including disruptions to group and conventions, banquets, and scheduled concert events. These results were partially offset by increased competition associated with new casino resorts opening in our regional market, construction disruptions,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04165"/>
                <wp:effectExtent l="0" t="0" r="0" b="0"/>
                <wp:wrapNone/>
                <wp:docPr id="35" name="Frame3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inclement weather across the country, particularly in northern Nevada, which restricted travel in the first quarter of 2023. The Company continues to expand partnerships with iconic entertainers to host concerts and performances, and celebrity chefs to offer new food and beverage venues.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were as follows:</w:t>
      </w:r>
    </w:p>
    <w:tbl>
      <w:tblPr>
        <w:tblW w:w="10292" w:type="dxa"/>
        <w:jc w:val="left"/>
        <w:tblInd w:w="0" w:type="dxa"/>
        <w:tblLayout w:type="fixed"/>
        <w:tblCellMar>
          <w:top w:w="28" w:type="dxa"/>
          <w:left w:w="28" w:type="dxa"/>
          <w:bottom w:w="28" w:type="dxa"/>
          <w:right w:w="28" w:type="dxa"/>
        </w:tblCellMar>
      </w:tblPr>
      <w:tblGrid>
        <w:gridCol w:w="553"/>
        <w:gridCol w:w="337"/>
        <w:gridCol w:w="221"/>
        <w:gridCol w:w="196"/>
        <w:gridCol w:w="556"/>
        <w:gridCol w:w="109"/>
        <w:gridCol w:w="109"/>
        <w:gridCol w:w="109"/>
        <w:gridCol w:w="109"/>
        <w:gridCol w:w="196"/>
        <w:gridCol w:w="556"/>
        <w:gridCol w:w="109"/>
        <w:gridCol w:w="109"/>
        <w:gridCol w:w="109"/>
        <w:gridCol w:w="109"/>
        <w:gridCol w:w="245"/>
        <w:gridCol w:w="414"/>
        <w:gridCol w:w="137"/>
        <w:gridCol w:w="109"/>
        <w:gridCol w:w="109"/>
        <w:gridCol w:w="109"/>
        <w:gridCol w:w="303"/>
        <w:gridCol w:w="253"/>
        <w:gridCol w:w="382"/>
        <w:gridCol w:w="109"/>
        <w:gridCol w:w="109"/>
        <w:gridCol w:w="109"/>
        <w:gridCol w:w="196"/>
        <w:gridCol w:w="556"/>
        <w:gridCol w:w="109"/>
        <w:gridCol w:w="109"/>
        <w:gridCol w:w="109"/>
        <w:gridCol w:w="109"/>
        <w:gridCol w:w="196"/>
        <w:gridCol w:w="556"/>
        <w:gridCol w:w="109"/>
        <w:gridCol w:w="109"/>
        <w:gridCol w:w="109"/>
        <w:gridCol w:w="109"/>
        <w:gridCol w:w="196"/>
        <w:gridCol w:w="491"/>
        <w:gridCol w:w="109"/>
        <w:gridCol w:w="109"/>
        <w:gridCol w:w="109"/>
        <w:gridCol w:w="109"/>
        <w:gridCol w:w="285"/>
        <w:gridCol w:w="196"/>
        <w:gridCol w:w="437"/>
      </w:tblGrid>
      <w:tr>
        <w:trPr/>
        <w:tc>
          <w:tcPr>
            <w:tcW w:w="5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other costs,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expenses consist principally of salaries and wages associated with our gaming operations, gaming taxes and marketing and advertising costs attributable to our Caesars Digital segment. Food and beverage expenses consist principally of salaries and wages and costs of goods sold associated with our food and beverage operations. Hotel expenses consist principally of salaries, wages and supplies associated with our hotel operations. Other expenses consist principally of salaries and wages, costs of goods sold and professional talent fees associated with our retail, entertainment and other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Casino expenses decreased for the three and six months ended June 30, 2023 as compared to the same prior year period as the first quarter of 2022 included significant advertising costs directly attributable to our Caesars Digital segment, due to the promotion of our Caesars Sportsbook app and its expansion into new jurisdictions. Operating expenses have increased in connection with increased revenues, however, we continue to focus on labor efficiencies to manage rising labor costs and strategically manage our marketing and advertising spend to reduce our casino expenses. Similarly, we continue to manage recent increases in food costs by focusing on efficiencies within food and beverage venues and menu options.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items such as information technology, facility maintenance, utilities, property and liability insurance, expenses for administrative departments such as accounting, compliance, purchasing, human resources, legal, internal audit, property taxes and marketing expenses indirectly related to our gaming and non-gaming operations. For the three and six months ended June 30, 2023, general and administrative expenses slightly decreased compared to the prior year period primarily due to reduced marketing expenses and a lower estimated annual bonus payout.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and other costs, net for the three and six months ended June 30, 2023 primarily includes non-cash losses on the write down and disposal of assets, pre-opening costs in connection with new temporary facility openings and non-cash changes in equity method investments. Transaction and other costs, net for the three and six months ended June 30, 2022 primarily represents professional services for integration activities and various contract exit or termination costs. However, these costs were offset by a $38 million gain in the first quarter of 2022 resulting from insurance proceeds received in excess of the respective carrying value of damaged assets associated with our Lake Charles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04165"/>
                <wp:effectExtent l="0" t="0" r="0" b="0"/>
                <wp:wrapNone/>
                <wp:docPr id="36" name="Frame3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income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(expenses) were as follows:</w:t>
      </w:r>
    </w:p>
    <w:tbl>
      <w:tblPr>
        <w:tblW w:w="10205" w:type="dxa"/>
        <w:jc w:val="left"/>
        <w:tblInd w:w="0" w:type="dxa"/>
        <w:tblLayout w:type="fixed"/>
        <w:tblCellMar>
          <w:top w:w="28" w:type="dxa"/>
          <w:left w:w="28" w:type="dxa"/>
          <w:bottom w:w="28" w:type="dxa"/>
          <w:right w:w="28" w:type="dxa"/>
        </w:tblCellMar>
      </w:tblPr>
      <w:tblGrid>
        <w:gridCol w:w="577"/>
        <w:gridCol w:w="430"/>
        <w:gridCol w:w="242"/>
        <w:gridCol w:w="197"/>
        <w:gridCol w:w="442"/>
        <w:gridCol w:w="109"/>
        <w:gridCol w:w="109"/>
        <w:gridCol w:w="109"/>
        <w:gridCol w:w="109"/>
        <w:gridCol w:w="197"/>
        <w:gridCol w:w="442"/>
        <w:gridCol w:w="109"/>
        <w:gridCol w:w="109"/>
        <w:gridCol w:w="109"/>
        <w:gridCol w:w="109"/>
        <w:gridCol w:w="239"/>
        <w:gridCol w:w="423"/>
        <w:gridCol w:w="134"/>
        <w:gridCol w:w="109"/>
        <w:gridCol w:w="109"/>
        <w:gridCol w:w="109"/>
        <w:gridCol w:w="303"/>
        <w:gridCol w:w="182"/>
        <w:gridCol w:w="393"/>
        <w:gridCol w:w="109"/>
        <w:gridCol w:w="109"/>
        <w:gridCol w:w="109"/>
        <w:gridCol w:w="196"/>
        <w:gridCol w:w="573"/>
        <w:gridCol w:w="109"/>
        <w:gridCol w:w="109"/>
        <w:gridCol w:w="109"/>
        <w:gridCol w:w="109"/>
        <w:gridCol w:w="196"/>
        <w:gridCol w:w="573"/>
        <w:gridCol w:w="109"/>
        <w:gridCol w:w="109"/>
        <w:gridCol w:w="109"/>
        <w:gridCol w:w="109"/>
        <w:gridCol w:w="239"/>
        <w:gridCol w:w="423"/>
        <w:gridCol w:w="134"/>
        <w:gridCol w:w="109"/>
        <w:gridCol w:w="109"/>
        <w:gridCol w:w="109"/>
        <w:gridCol w:w="285"/>
        <w:gridCol w:w="199"/>
        <w:gridCol w:w="461"/>
      </w:tblGrid>
      <w:tr>
        <w:trPr/>
        <w:tc>
          <w:tcPr>
            <w:tcW w:w="57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for the three and six months ended June 30, 2023, as compared to the same prior year period due to annual escalators in our financing obligations related to our VICI Leases, including escalators based on the Consumer Price Index (“CPI”) that take effect in November of each year. In addition, rising interest rates have increased our weighted average borrowing rate year over year.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loss on extinguishment of debt was related to the prepayments of the Caesars Resort Collection (“CRC”) Term Loan and the CRC Incremental Term Loan.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decreased for the three months ended June 30, 2023, as compared to the same prior year period, due to a change in the fair value of foreign exchange forward contracts, offset by the change in fair value of investments, recorded in the prior year.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decreased for the six months ended June 30, 2023, as compared to the same prior year period, mainly due to a change in the fair value of foreign exchange forward contracts and a gain related to the resolution of a disputed claim liability, offset by the change in fair value of investments, all of which were recorded in the prior year.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benefit for the three and six months ended June 30, 2023 differed from the expected income tax benefit based on the federal tax rate of 21% primarily due to the partial release of federal and state valuation allowances. The income tax benefit for the three and six months ended June 30, 2022 differed from the expected income tax benefit based on the federal tax rate of 21% primarily due to a deferred tax adjustment related to the tax impact of the settlement of preexisting relationships upon the acquisition of William Hill in 2021.</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reversed the valuation allowance related to certain deferred tax assets and recorded a one-time income tax benefit of $940 million, as we determined it was more likely than not that a portion of our federal and state deferred tax assets would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04165"/>
                <wp:effectExtent l="0" t="0" r="0" b="0"/>
                <wp:wrapNone/>
                <wp:docPr id="37" name="Frame3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Segment comparison of the three and six months ended June 30, 2023 and 2022</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Las Vegas Segment</w:t>
      </w:r>
    </w:p>
    <w:tbl>
      <w:tblPr>
        <w:tblW w:w="10580" w:type="dxa"/>
        <w:jc w:val="left"/>
        <w:tblInd w:w="0" w:type="dxa"/>
        <w:tblLayout w:type="fixed"/>
        <w:tblCellMar>
          <w:top w:w="28" w:type="dxa"/>
          <w:left w:w="28" w:type="dxa"/>
          <w:bottom w:w="28" w:type="dxa"/>
          <w:right w:w="28" w:type="dxa"/>
        </w:tblCellMar>
      </w:tblPr>
      <w:tblGrid>
        <w:gridCol w:w="460"/>
        <w:gridCol w:w="220"/>
        <w:gridCol w:w="221"/>
        <w:gridCol w:w="196"/>
        <w:gridCol w:w="556"/>
        <w:gridCol w:w="256"/>
        <w:gridCol w:w="109"/>
        <w:gridCol w:w="109"/>
        <w:gridCol w:w="109"/>
        <w:gridCol w:w="196"/>
        <w:gridCol w:w="556"/>
        <w:gridCol w:w="256"/>
        <w:gridCol w:w="109"/>
        <w:gridCol w:w="109"/>
        <w:gridCol w:w="109"/>
        <w:gridCol w:w="239"/>
        <w:gridCol w:w="423"/>
        <w:gridCol w:w="134"/>
        <w:gridCol w:w="109"/>
        <w:gridCol w:w="109"/>
        <w:gridCol w:w="109"/>
        <w:gridCol w:w="303"/>
        <w:gridCol w:w="178"/>
        <w:gridCol w:w="382"/>
        <w:gridCol w:w="109"/>
        <w:gridCol w:w="109"/>
        <w:gridCol w:w="109"/>
        <w:gridCol w:w="196"/>
        <w:gridCol w:w="556"/>
        <w:gridCol w:w="256"/>
        <w:gridCol w:w="109"/>
        <w:gridCol w:w="109"/>
        <w:gridCol w:w="109"/>
        <w:gridCol w:w="196"/>
        <w:gridCol w:w="556"/>
        <w:gridCol w:w="256"/>
        <w:gridCol w:w="109"/>
        <w:gridCol w:w="109"/>
        <w:gridCol w:w="109"/>
        <w:gridCol w:w="214"/>
        <w:gridCol w:w="461"/>
        <w:gridCol w:w="121"/>
        <w:gridCol w:w="109"/>
        <w:gridCol w:w="109"/>
        <w:gridCol w:w="109"/>
        <w:gridCol w:w="285"/>
        <w:gridCol w:w="181"/>
        <w:gridCol w:w="437"/>
      </w:tblGrid>
      <w:tr>
        <w:trPr/>
        <w:tc>
          <w:tcPr>
            <w:tcW w:w="4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 drop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 hold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handle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 occupancy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pts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Las Vegas segment’s operating results decreased slightly for the three months ended June 30, 2023, as compared to the same prior year period, primarily related to lower banquet revenues associated with a large group customer that did not visit Las Vegas this year. In addition, our properties faced access challenges related to construction disruption and roadwork on and around the Las Vegas Strip. Operating expenses increased modestly due to an overall increase in headcount and wages.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Las Vegas segment’s net revenues, net income, Adjusted EBITDA and Adjusted EBITDA margin increased for the six months ended June 30, 2023, primarily due to the resurgence of the Omicron variant of COVID-19 which negatively impacted visitation, group and conventions, and scheduled concert events in the first quarter of 2022. On a year-to-date basis, increased visitation has driven higher hotel occupancy, improved room rates, higher food and beverage revenues and additional entertainment revenues as compared to the prior year period. Our food and beverage revenues are driven by higher restaurant covers and improved product mix with recent additions of casual and premier dining venues.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slot win percentage in the Las Vegas segment was within our typical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04165"/>
                <wp:effectExtent l="0" t="0" r="0" b="0"/>
                <wp:wrapNone/>
                <wp:docPr id="38" name="Frame3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Regional Segment</w:t>
      </w:r>
    </w:p>
    <w:tbl>
      <w:tblPr>
        <w:tblW w:w="10955" w:type="dxa"/>
        <w:jc w:val="left"/>
        <w:tblInd w:w="0" w:type="dxa"/>
        <w:tblLayout w:type="fixed"/>
        <w:tblCellMar>
          <w:top w:w="28" w:type="dxa"/>
          <w:left w:w="28" w:type="dxa"/>
          <w:bottom w:w="28" w:type="dxa"/>
          <w:right w:w="28" w:type="dxa"/>
        </w:tblCellMar>
      </w:tblPr>
      <w:tblGrid>
        <w:gridCol w:w="460"/>
        <w:gridCol w:w="220"/>
        <w:gridCol w:w="221"/>
        <w:gridCol w:w="196"/>
        <w:gridCol w:w="646"/>
        <w:gridCol w:w="256"/>
        <w:gridCol w:w="109"/>
        <w:gridCol w:w="109"/>
        <w:gridCol w:w="109"/>
        <w:gridCol w:w="196"/>
        <w:gridCol w:w="646"/>
        <w:gridCol w:w="256"/>
        <w:gridCol w:w="109"/>
        <w:gridCol w:w="109"/>
        <w:gridCol w:w="109"/>
        <w:gridCol w:w="196"/>
        <w:gridCol w:w="491"/>
        <w:gridCol w:w="109"/>
        <w:gridCol w:w="109"/>
        <w:gridCol w:w="109"/>
        <w:gridCol w:w="109"/>
        <w:gridCol w:w="303"/>
        <w:gridCol w:w="178"/>
        <w:gridCol w:w="382"/>
        <w:gridCol w:w="109"/>
        <w:gridCol w:w="109"/>
        <w:gridCol w:w="109"/>
        <w:gridCol w:w="196"/>
        <w:gridCol w:w="646"/>
        <w:gridCol w:w="256"/>
        <w:gridCol w:w="109"/>
        <w:gridCol w:w="109"/>
        <w:gridCol w:w="109"/>
        <w:gridCol w:w="196"/>
        <w:gridCol w:w="646"/>
        <w:gridCol w:w="256"/>
        <w:gridCol w:w="109"/>
        <w:gridCol w:w="109"/>
        <w:gridCol w:w="109"/>
        <w:gridCol w:w="239"/>
        <w:gridCol w:w="423"/>
        <w:gridCol w:w="134"/>
        <w:gridCol w:w="109"/>
        <w:gridCol w:w="109"/>
        <w:gridCol w:w="109"/>
        <w:gridCol w:w="285"/>
        <w:gridCol w:w="196"/>
        <w:gridCol w:w="437"/>
      </w:tblGrid>
      <w:tr>
        <w:trPr/>
        <w:tc>
          <w:tcPr>
            <w:tcW w:w="4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 drop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 hold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handle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Regional segment’s net revenues increased slightly for the three and six months ended June 30, 2023, however, net income, Adjusted EBITDA and Adjusted EBITDA margin decreased compared to the same prior year period. The impact of increased competition associated with new casino resorts opening in our regional markets resulted in a decline in casino revenues. In addition, construction disruption from renovation projects impacted certain of our properties within the segment. We also experienced modest increases in headcount and wages. These headwinds were partially offset by net revenues generated from the reopening of Horseshoe Lake Charles in the fourth quarter of 2022 and the opening of our temporary gaming facilities at Caesars Virginia on May 15, 2023 and Harrah’s Columbus Nebraska on June 12, 2023. In addition, visitation significantly improved at our Lake Tahoe and Reno properties in northern Nevada following the severe winter weather in the first quarter of 2023.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Slot win percentage in the Regional segment for the three and six months ended June 30, 2023 was within our typical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04165"/>
                <wp:effectExtent l="0" t="0" r="0" b="0"/>
                <wp:wrapNone/>
                <wp:docPr id="39" name="Frame3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Caesars Digital Segment</w:t>
      </w:r>
    </w:p>
    <w:tbl>
      <w:tblPr>
        <w:tblW w:w="10660" w:type="dxa"/>
        <w:jc w:val="left"/>
        <w:tblInd w:w="0" w:type="dxa"/>
        <w:tblLayout w:type="fixed"/>
        <w:tblCellMar>
          <w:top w:w="28" w:type="dxa"/>
          <w:left w:w="28" w:type="dxa"/>
          <w:bottom w:w="28" w:type="dxa"/>
          <w:right w:w="28" w:type="dxa"/>
        </w:tblCellMar>
      </w:tblPr>
      <w:tblGrid>
        <w:gridCol w:w="460"/>
        <w:gridCol w:w="220"/>
        <w:gridCol w:w="221"/>
        <w:gridCol w:w="196"/>
        <w:gridCol w:w="556"/>
        <w:gridCol w:w="256"/>
        <w:gridCol w:w="109"/>
        <w:gridCol w:w="109"/>
        <w:gridCol w:w="109"/>
        <w:gridCol w:w="196"/>
        <w:gridCol w:w="556"/>
        <w:gridCol w:w="256"/>
        <w:gridCol w:w="109"/>
        <w:gridCol w:w="109"/>
        <w:gridCol w:w="109"/>
        <w:gridCol w:w="196"/>
        <w:gridCol w:w="491"/>
        <w:gridCol w:w="109"/>
        <w:gridCol w:w="109"/>
        <w:gridCol w:w="109"/>
        <w:gridCol w:w="109"/>
        <w:gridCol w:w="303"/>
        <w:gridCol w:w="163"/>
        <w:gridCol w:w="382"/>
        <w:gridCol w:w="109"/>
        <w:gridCol w:w="109"/>
        <w:gridCol w:w="109"/>
        <w:gridCol w:w="196"/>
        <w:gridCol w:w="556"/>
        <w:gridCol w:w="256"/>
        <w:gridCol w:w="109"/>
        <w:gridCol w:w="109"/>
        <w:gridCol w:w="109"/>
        <w:gridCol w:w="196"/>
        <w:gridCol w:w="556"/>
        <w:gridCol w:w="256"/>
        <w:gridCol w:w="109"/>
        <w:gridCol w:w="109"/>
        <w:gridCol w:w="109"/>
        <w:gridCol w:w="196"/>
        <w:gridCol w:w="571"/>
        <w:gridCol w:w="109"/>
        <w:gridCol w:w="109"/>
        <w:gridCol w:w="109"/>
        <w:gridCol w:w="109"/>
        <w:gridCol w:w="285"/>
        <w:gridCol w:w="196"/>
        <w:gridCol w:w="437"/>
      </w:tblGrid>
      <w:tr>
        <w:trPr/>
        <w:tc>
          <w:tcPr>
            <w:tcW w:w="4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Casino </w:t>
            </w:r>
            <w:r>
              <w:rPr>
                <w:rFonts w:ascii="Times New Roman;sans-serif" w:hAnsi="Times New Roman;sans-serif"/>
                <w:b w:val="false"/>
                <w:i/>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Sports betting handle</w:t>
            </w:r>
            <w:r>
              <w:rPr>
                <w:color w:val="000000"/>
              </w:rPr>
              <w:t xml:space="preserve"> </w:t>
            </w:r>
            <w:r>
              <w:rPr>
                <w:rFonts w:ascii="Times New Roman;sans-serif" w:hAnsi="Times New Roman;sans-serif"/>
                <w:b w:val="false"/>
                <w:i/>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Sports betting hold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pts</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iGaming handle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iGaming hold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pts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Includes total promotional and complimentary incentives related to sports betting, iGaming, and poker of $55 million and $66 million for the three months ended June 30, 2023 and 2022, respectively, and $132 million and $439 million for the six months ended June 30, 2023 and 2022, respectively. Promotional and complimentary incentives for poker were $3 million and $8 million for the three months ended June 30, 2023 and 2022, respectively, and $7 million and $13 million for the six months ended June 30, 2023 and 2022, respectively.</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Caesars Digital generated an additional $212 million and $261 million of sports betting handle, for the three months ended June 30, 2023 and 2022, respectively, and $540 million and $604 million for the six months ended June 30, 2023 and 2022, respectively, which is not included in this table, for select wholly-owned and third-party operations for which Caesars Digital provides services and we receive all, or a share of, the net profits. Hold related to these operations was 10.9% and 7.7%, for the three months ended June 30, 2023 and 2022, respectively, and 10.6% and 8.7% for the six months ended June 30, 2023 and 2022, respectively. Sports betting handle includes $12 million and $14 million for the three months ended June 30, 2023 and 2022, respectively, and $24 million and $27 million for the six months ended June 30, 2023 and 2022, respectively, related to horse racing and pari-mutuel wagers.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Digital includes the operations for retail and mobile sports betting, online casino, poker, and horse racing, which includes our Caesars Sportsbook, Caesars Racebook and iGaming mobile apps. Caesars Digital’s net revenues, net loss, Adjusted EBITDA, and Adjusted EBITDA margin improved for the three and six months ended June 30, 2023 as compared to the prior periods, primarily due to lower year over year promotional and marketing expenses for new state launches, coupled with higher sports betting hold. We experienced negative net revenue in the first quarter of 2022 as a result of increased promotional offerings for new state launches in New York and Louisiana. We have refined our promotional intensity during the launch period in new jurisdictions based, in part, on prior experience and do not expect such investments to continue at elevated levels subsequent to initial launch periods. During the three and six months ended June 30, 2023, promotional and marketing expenses decreased significantly as a result of these efforts, as compared to the prior year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sports betting and online casinos expand through increased state legalization, new product launches, and customer adoption, variations in hold percentages and increases in promotional and marketing expenses in highly competitive markets during promotional periods may negatively impact Caesars Digital’s net revenues, net income, Adjusted EBITDA and Adjusted EBITDA margin in comparison to current or prior periods.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Sports betting and iGaming hold percentages in the Caesars Digital segment for the three and six months ended June 30, 2023 were within our typical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04165"/>
                <wp:effectExtent l="0" t="0" r="0" b="0"/>
                <wp:wrapNone/>
                <wp:docPr id="40" name="Frame3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Managed and Branded Segment</w:t>
      </w:r>
    </w:p>
    <w:tbl>
      <w:tblPr>
        <w:tblW w:w="10205" w:type="dxa"/>
        <w:jc w:val="left"/>
        <w:tblInd w:w="0" w:type="dxa"/>
        <w:tblLayout w:type="fixed"/>
        <w:tblCellMar>
          <w:top w:w="28" w:type="dxa"/>
          <w:left w:w="28" w:type="dxa"/>
          <w:bottom w:w="28" w:type="dxa"/>
          <w:right w:w="28" w:type="dxa"/>
        </w:tblCellMar>
      </w:tblPr>
      <w:tblGrid>
        <w:gridCol w:w="476"/>
        <w:gridCol w:w="287"/>
        <w:gridCol w:w="289"/>
        <w:gridCol w:w="199"/>
        <w:gridCol w:w="336"/>
        <w:gridCol w:w="260"/>
        <w:gridCol w:w="110"/>
        <w:gridCol w:w="110"/>
        <w:gridCol w:w="110"/>
        <w:gridCol w:w="199"/>
        <w:gridCol w:w="450"/>
        <w:gridCol w:w="260"/>
        <w:gridCol w:w="109"/>
        <w:gridCol w:w="109"/>
        <w:gridCol w:w="109"/>
        <w:gridCol w:w="214"/>
        <w:gridCol w:w="461"/>
        <w:gridCol w:w="121"/>
        <w:gridCol w:w="109"/>
        <w:gridCol w:w="109"/>
        <w:gridCol w:w="109"/>
        <w:gridCol w:w="303"/>
        <w:gridCol w:w="189"/>
        <w:gridCol w:w="412"/>
        <w:gridCol w:w="109"/>
        <w:gridCol w:w="109"/>
        <w:gridCol w:w="109"/>
        <w:gridCol w:w="196"/>
        <w:gridCol w:w="422"/>
        <w:gridCol w:w="256"/>
        <w:gridCol w:w="109"/>
        <w:gridCol w:w="109"/>
        <w:gridCol w:w="109"/>
        <w:gridCol w:w="196"/>
        <w:gridCol w:w="443"/>
        <w:gridCol w:w="256"/>
        <w:gridCol w:w="109"/>
        <w:gridCol w:w="109"/>
        <w:gridCol w:w="109"/>
        <w:gridCol w:w="214"/>
        <w:gridCol w:w="461"/>
        <w:gridCol w:w="121"/>
        <w:gridCol w:w="109"/>
        <w:gridCol w:w="109"/>
        <w:gridCol w:w="109"/>
        <w:gridCol w:w="238"/>
        <w:gridCol w:w="168"/>
        <w:gridCol w:w="486"/>
      </w:tblGrid>
      <w:tr>
        <w:trPr/>
        <w:tc>
          <w:tcPr>
            <w:tcW w:w="47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2"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pts</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several properties and license rights to the use of certain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w:t>
      </w:r>
    </w:p>
    <w:tbl>
      <w:tblPr>
        <w:tblW w:w="10205" w:type="dxa"/>
        <w:jc w:val="left"/>
        <w:tblInd w:w="0" w:type="dxa"/>
        <w:tblLayout w:type="fixed"/>
        <w:tblCellMar>
          <w:top w:w="28" w:type="dxa"/>
          <w:left w:w="28" w:type="dxa"/>
          <w:bottom w:w="28" w:type="dxa"/>
          <w:right w:w="28" w:type="dxa"/>
        </w:tblCellMar>
      </w:tblPr>
      <w:tblGrid>
        <w:gridCol w:w="653"/>
        <w:gridCol w:w="452"/>
        <w:gridCol w:w="378"/>
        <w:gridCol w:w="222"/>
        <w:gridCol w:w="375"/>
        <w:gridCol w:w="123"/>
        <w:gridCol w:w="123"/>
        <w:gridCol w:w="123"/>
        <w:gridCol w:w="123"/>
        <w:gridCol w:w="222"/>
        <w:gridCol w:w="375"/>
        <w:gridCol w:w="123"/>
        <w:gridCol w:w="109"/>
        <w:gridCol w:w="109"/>
        <w:gridCol w:w="109"/>
        <w:gridCol w:w="285"/>
        <w:gridCol w:w="351"/>
        <w:gridCol w:w="160"/>
        <w:gridCol w:w="109"/>
        <w:gridCol w:w="109"/>
        <w:gridCol w:w="109"/>
        <w:gridCol w:w="236"/>
        <w:gridCol w:w="197"/>
        <w:gridCol w:w="466"/>
        <w:gridCol w:w="109"/>
        <w:gridCol w:w="109"/>
        <w:gridCol w:w="109"/>
        <w:gridCol w:w="212"/>
        <w:gridCol w:w="455"/>
        <w:gridCol w:w="117"/>
        <w:gridCol w:w="117"/>
        <w:gridCol w:w="117"/>
        <w:gridCol w:w="117"/>
        <w:gridCol w:w="212"/>
        <w:gridCol w:w="358"/>
        <w:gridCol w:w="117"/>
        <w:gridCol w:w="109"/>
        <w:gridCol w:w="109"/>
        <w:gridCol w:w="109"/>
        <w:gridCol w:w="285"/>
        <w:gridCol w:w="351"/>
        <w:gridCol w:w="160"/>
        <w:gridCol w:w="109"/>
        <w:gridCol w:w="109"/>
        <w:gridCol w:w="109"/>
        <w:gridCol w:w="235"/>
        <w:gridCol w:w="189"/>
        <w:gridCol w:w="541"/>
      </w:tblGrid>
      <w:tr>
        <w:trPr/>
        <w:tc>
          <w:tcPr>
            <w:tcW w:w="65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Reimbursable management revenue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Reimbursable management cost</w:t>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Corporate &amp; Other</w:t>
      </w:r>
    </w:p>
    <w:tbl>
      <w:tblPr>
        <w:tblW w:w="10205" w:type="dxa"/>
        <w:jc w:val="left"/>
        <w:tblInd w:w="0" w:type="dxa"/>
        <w:tblLayout w:type="fixed"/>
        <w:tblCellMar>
          <w:top w:w="28" w:type="dxa"/>
          <w:left w:w="28" w:type="dxa"/>
          <w:bottom w:w="28" w:type="dxa"/>
          <w:right w:w="28" w:type="dxa"/>
        </w:tblCellMar>
      </w:tblPr>
      <w:tblGrid>
        <w:gridCol w:w="459"/>
        <w:gridCol w:w="305"/>
        <w:gridCol w:w="307"/>
        <w:gridCol w:w="221"/>
        <w:gridCol w:w="417"/>
        <w:gridCol w:w="122"/>
        <w:gridCol w:w="122"/>
        <w:gridCol w:w="122"/>
        <w:gridCol w:w="122"/>
        <w:gridCol w:w="221"/>
        <w:gridCol w:w="417"/>
        <w:gridCol w:w="122"/>
        <w:gridCol w:w="109"/>
        <w:gridCol w:w="109"/>
        <w:gridCol w:w="109"/>
        <w:gridCol w:w="219"/>
        <w:gridCol w:w="454"/>
        <w:gridCol w:w="123"/>
        <w:gridCol w:w="109"/>
        <w:gridCol w:w="109"/>
        <w:gridCol w:w="109"/>
        <w:gridCol w:w="303"/>
        <w:gridCol w:w="218"/>
        <w:gridCol w:w="488"/>
        <w:gridCol w:w="109"/>
        <w:gridCol w:w="109"/>
        <w:gridCol w:w="109"/>
        <w:gridCol w:w="213"/>
        <w:gridCol w:w="401"/>
        <w:gridCol w:w="118"/>
        <w:gridCol w:w="118"/>
        <w:gridCol w:w="118"/>
        <w:gridCol w:w="118"/>
        <w:gridCol w:w="213"/>
        <w:gridCol w:w="442"/>
        <w:gridCol w:w="118"/>
        <w:gridCol w:w="109"/>
        <w:gridCol w:w="109"/>
        <w:gridCol w:w="109"/>
        <w:gridCol w:w="239"/>
        <w:gridCol w:w="423"/>
        <w:gridCol w:w="134"/>
        <w:gridCol w:w="109"/>
        <w:gridCol w:w="109"/>
        <w:gridCol w:w="109"/>
        <w:gridCol w:w="294"/>
        <w:gridCol w:w="295"/>
        <w:gridCol w:w="564"/>
      </w:tblGrid>
      <w:tr>
        <w:trPr/>
        <w:tc>
          <w:tcPr>
            <w:tcW w:w="45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71"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1071"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71"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Supplemental Unaudited Presentation of Consolidated Adjusted Earnings Before Interest, Taxes, Depreciation and Amortization (“Adjusted EBITDA”) for the Three and Six Months Ended June 30, 2023 and 2022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depreciation and amortization, (gain) loss on investments and marketable securities, stock-based compensation, impairment charges, equity in (income) loss of unconsolidated affiliates, (gain) loss on the sale or disposal of property and equipment, (gain) loss related to divestitures, changes in the fair value of certain derivatives and transaction costs associated with our acquisitions and divestitures such as (gain) loss on sale, sign-on and retention bonuses, severance expense, business integration and optimization costs, contract exit or termination costs, certain litigation awards and settlements, and certain regulatory settlements. Adjusted EBITDA also excludes the expense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04165"/>
                <wp:effectExtent l="0" t="0" r="0" b="0"/>
                <wp:wrapNone/>
                <wp:docPr id="41" name="Frame40"/>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It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leases with affiliates of GLPI and VICI and certain regulatory gaming assessments,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Adjusted EBITDA for the three and six months ended June 30, 2023 and 2022, respectively, in addition to reconciling net income (loss) to Adjusted EBITDA in accordance with GAAP (unaudited):</w:t>
      </w:r>
    </w:p>
    <w:tbl>
      <w:tblPr>
        <w:tblW w:w="8691" w:type="dxa"/>
        <w:jc w:val="left"/>
        <w:tblInd w:w="0" w:type="dxa"/>
        <w:tblLayout w:type="fixed"/>
        <w:tblCellMar>
          <w:top w:w="28" w:type="dxa"/>
          <w:left w:w="28" w:type="dxa"/>
          <w:bottom w:w="28" w:type="dxa"/>
          <w:right w:w="28" w:type="dxa"/>
        </w:tblCellMar>
      </w:tblPr>
      <w:tblGrid>
        <w:gridCol w:w="1321"/>
        <w:gridCol w:w="1160"/>
        <w:gridCol w:w="1164"/>
        <w:gridCol w:w="241"/>
        <w:gridCol w:w="683"/>
        <w:gridCol w:w="134"/>
        <w:gridCol w:w="134"/>
        <w:gridCol w:w="134"/>
        <w:gridCol w:w="134"/>
        <w:gridCol w:w="241"/>
        <w:gridCol w:w="609"/>
        <w:gridCol w:w="134"/>
        <w:gridCol w:w="109"/>
        <w:gridCol w:w="109"/>
        <w:gridCol w:w="109"/>
        <w:gridCol w:w="213"/>
        <w:gridCol w:w="605"/>
        <w:gridCol w:w="118"/>
        <w:gridCol w:w="118"/>
        <w:gridCol w:w="118"/>
        <w:gridCol w:w="118"/>
        <w:gridCol w:w="213"/>
        <w:gridCol w:w="605"/>
        <w:gridCol w:w="167"/>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 net of income taxes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Other income </w:t>
            </w:r>
            <w:r>
              <w:rPr>
                <w:rFonts w:ascii="Times New Roman;sans-serif" w:hAnsi="Times New Roman;sans-serif"/>
                <w:b w:val="false"/>
                <w:i/>
                <w:color w:val="000000"/>
                <w:sz w:val="12"/>
              </w:rPr>
              <w:t>(a)</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 costs and other, net </w:t>
            </w:r>
            <w:r>
              <w:rPr>
                <w:rFonts w:ascii="Times New Roman;sans-serif" w:hAnsi="Times New Roman;sans-serif"/>
                <w:b w:val="false"/>
                <w:i/>
                <w:color w:val="000000"/>
                <w:sz w:val="12"/>
              </w:rPr>
              <w:t>(b)</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Other income for the three and six months ended June 30, 2022 primarily represents the net change in fair value of investments held by the Company, foreign exchange forward contracts, and changes in the fair value of a disputed claim liability.</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Transaction costs and other, net for the three and six months ended June 30, 2023 primarily includes non-cash losses on the write down and disposal of assets, pre-opening costs in connection with new temporary facility openings and non-cash changes in equity method investments. Transaction costs and other, net for the three and six months ended June 30, 2022 primarily represents professional services for integration activities and various contract exit or termination costs partially offset by a gain resulting from insurance proceeds received in excess of the respective carrying value of damaged assets associated with our Lake Charles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holding company, and our only significant assets are ownership interests in our subsidiaries. Our ability to fund our obligations depends on existing cash on hand, contracted asset sales, cash flows from our subsidiaries and our ability to raise capital. Our primary sources of liquidity and capital resources are existing cash on hand, cash flows from operations, availability of borrowings under our revolving credit facility, proceeds from the issuance of debt and equity securities and proceeds from completed asset sales. Our cash requirements may fluctuate significantly depending on our decisions with respect to business acquisitions or divestitures and strategic capital and marketing investments.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our cash on hand and revolving borrowing capacity was as follows:</w:t>
      </w:r>
    </w:p>
    <w:tbl>
      <w:tblPr>
        <w:tblW w:w="5205" w:type="dxa"/>
        <w:jc w:val="left"/>
        <w:tblInd w:w="0" w:type="dxa"/>
        <w:tblLayout w:type="fixed"/>
        <w:tblCellMar>
          <w:top w:w="28" w:type="dxa"/>
          <w:left w:w="28" w:type="dxa"/>
          <w:bottom w:w="28" w:type="dxa"/>
          <w:right w:w="28" w:type="dxa"/>
        </w:tblCellMar>
      </w:tblPr>
      <w:tblGrid>
        <w:gridCol w:w="1452"/>
        <w:gridCol w:w="1275"/>
        <w:gridCol w:w="1278"/>
        <w:gridCol w:w="259"/>
        <w:gridCol w:w="737"/>
        <w:gridCol w:w="204"/>
      </w:tblGrid>
      <w:tr>
        <w:trPr/>
        <w:tc>
          <w:tcPr>
            <w:tcW w:w="14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Revolver capacity </w:t>
            </w:r>
            <w:r>
              <w:rPr>
                <w:rFonts w:ascii="Times New Roman;sans-serif" w:hAnsi="Times New Roman;sans-serif"/>
                <w:b w:val="false"/>
                <w:i/>
                <w:color w:val="000000"/>
                <w:sz w:val="12"/>
              </w:rPr>
              <w:t>(a)</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Revolver capacity committed to letters of credit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Revolver capacity committed as regulatory requirement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 xml:space="preserve">Revolver capacity includes $2.25 billion under our CEI Revolving Credit Facility, maturing in January 2028, less $40 million reserved for specific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04165"/>
                <wp:effectExtent l="0" t="0" r="0" b="0"/>
                <wp:wrapNone/>
                <wp:docPr id="42" name="Frame41"/>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our operating activities generated cash inflows of $953 million, as compared to operating cash inflows of $116 million during the six months ended June 30, 2022, due to the results of operations described above.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2023, we entered into an Incremental Assumption Agreement No. 2 pursuant to which we incurred a new senior secured term loan facility in an aggregate principal amount of $2.5 billion (the “CEI Term Loan B” and, together with the CEI Term Loan A, the “CEI Term Loans”) as a new term loan under the CEI Credit Agreement. The CEI Term Loan B requires scheduled quarterly amortization payments in amounts equal to 0.25% of the original aggregate principal amount of the CEI Term Loan B, with the balance payable at maturity. Borrowings under the CEI Term Loan B bear interest, paid monthly, at a rate equal to, at the Company’s option, either (a) a forward-looking term rate based on the Adjusted Term Secured Overnight Financing Rate (“SOFR”), subject to a floor of 0.50% or (b) a base rate (the “Base Rate”) determined by reference to the highest of (i) the Prime Rate in the United States, (ii) the federal funds rate plus 0.50% per annum and (iii) the one-month Adjusted Term SOFR plus 1.00% per annum, in each case, plus an applicable margin. Such applicable margin is 3.25% per annum in the case of any Adjusted Term SOFR loan and 2.25% per annum in the case of any Base Rate loan, subject to one 0.25% step-down based on our net total leverage ratio. The CEI Term Loan B was issued at a price of 99.0% of the principal amount and will mature in February 2030.</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2023, concurrently with the issuance of the CEI Term Loan B, we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in February 2030, with interest paid semi-annually on February 15 and August 15 of each year, commencing August 15,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proceeds from the CEI Term Loan B, along with the net proceeds from the issuance of the CEI Senior Secured Notes due 2030 described above, were used to repay the outstanding principal balance, including accrued and unpaid interest, of both the CRC Term Loan and the CRC Incremental Term Loan. Upon the termination of the CRC Term Loan and the CRC Incremental Term Loan, we recorded a loss on extinguishment of debt of $197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2023, we elected to prepay the outstanding $400 million Convention Center Mortgage Loan utilizing cash on hand.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we prepaid $15 million of the outstanding principal balance of the Baltimore Term Loan using cash on hand. On July 10, 2023, we completed the acquisition of the remaining 24% equity ownership in Horseshoe Baltimore, utilizing cash on hand, for a total of $66 million. On July 17, 2023, we repaid the remaining outstanding principal balance of the Baltimore Term Loan by utilizing $250 million of the CEI Revolving Credit Facility. In connection with the repayment, we recognized a $3 million loss on the early extinguishment of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primary capital requirements going forward will relate to the expansion and maintenance of our properties, taxes, servicing our outstanding indebtedness, and rent payments under our GLPI Master Lease, the VICI Leases and other leases. We make capital expenditures and perform continuing refurbishment and maintenance at our properties to maintain our quality standards. Our capital expenditure requirements for the remainder of 2023 include expansion projects, the rebranding of certain properties, implementation and migration of our Caesars Sportsbook and iGaming apps in certain states to our Liberty platform, and continued investment into new markets with our Caesars Sportsbook and iGaming applications in our Caesars Digital segment. In addition, we may, from time to time, seek to repurchase or prepay our outstanding indebtedness. Any such purchases or prepayments may be funded by existing cash balances or the incurrence of debt. The amount and timing of any repurchase will be based on business and market conditions, capital availability, compliance with debt covenants and other considerations.</w:t>
      </w:r>
    </w:p>
    <w:p>
      <w:pPr>
        <w:pStyle w:val="TextBody"/>
        <w:bidi w:val="0"/>
        <w:spacing w:lineRule="auto" w:line="288" w:before="180" w:after="283"/>
        <w:jc w:val="both"/>
        <w:rPr/>
      </w:pPr>
      <w:r>
        <w:rPr>
          <w:rFonts w:ascii="Times New Roman;sans-serif" w:hAnsi="Times New Roman;sans-serif"/>
          <w:b w:val="false"/>
          <w:color w:val="212529"/>
          <w:sz w:val="20"/>
        </w:rPr>
        <w:t>We continue to expand into new markets with projects such as our partnership with the Eastern Band of Cherokee Indians to build and develop Caesars Virginia which is estimated to open in late 2024. The development has a budget of $650 million and is expected to include a premier destination resort casino along with a 500 room hotel and world-class casino floor including 1,300 slot machines, 85 live table games, a WSOP Poker Room, a Caesars Sportsbook, a live entertainment theater and 40,000 square feet of meeting and convention space. Additionally, Caesars announced its expansion into Nebraska with the development of Harrah’s Columbus Nebraska. The casino development is expected to feature a new one-mile horse racing surface, a 40,000-square-foot-casino and sportsbook with more than 400 slot machines and 20 table games, as well as a restaurant and retail space. In</w:t>
      </w:r>
      <w:r>
        <w:rPr>
          <w:color w:val="000000"/>
        </w:rPr>
        <w:t xml:space="preserve"> </w:t>
      </w:r>
      <w:r>
        <w:rPr>
          <w:rFonts w:ascii="Times New Roman;sans-serif" w:hAnsi="Times New Roman;sans-serif"/>
          <w:b w:val="false"/>
          <w:color w:val="000000"/>
          <w:sz w:val="20"/>
        </w:rPr>
        <w:t xml:space="preserve">the second quarter of 2023, temporary gaming facilities for Caesars Virginia and Harrah’s </w:t>
      </w:r>
      <w:r>
        <w:rPr>
          <w:rFonts w:ascii="Times New Roman;sans-serif" w:hAnsi="Times New Roman;sans-serif"/>
          <w:b w:val="false"/>
          <w:color w:val="212529"/>
          <w:sz w:val="20"/>
        </w:rPr>
        <w:t xml:space="preserve">Columbus Nebraska opened </w:t>
      </w:r>
      <w:r>
        <w:rPr>
          <w:rFonts w:ascii="Times New Roman;sans-serif" w:hAnsi="Times New Roman;sans-serif"/>
          <w:b w:val="false"/>
          <w:color w:val="000000"/>
          <w:sz w:val="20"/>
        </w:rPr>
        <w:t>while the permanent facilities are being constructed.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04165"/>
                <wp:effectExtent l="0" t="0" r="0" b="0"/>
                <wp:wrapNone/>
                <wp:docPr id="43" name="Frame42"/>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we funded $400 million in escrow to provide funds for a three year capital expenditure plan in the state of New Jersey. As of June 30, 2023 and December 31, 2022, the restricted cash balance remaining in the escrow account was $59 million and $118 million, respectively, for future capital expenditures in New Jersey. The capital plan includes significant room renovations at both Caesars Atlantic City and Harrah’s Atlantic City, as well as the addition of new entertainment venues and restaurants with celebrity partners. This amount is currently included in restricted cash in Other assets, net.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condition of the extension of the casino operating contract and ground lease for Harrah’s New Orleans, we are also required to make a capital investment of $325 million on or around Harrah’s New Orleans by July 15, 2024. The capital investment involved the rebranding of the property to Caesars New Orleans which includes a renovation and full interior and exterior redesign, updated casino floor, new culinary experiences and a new 340-room hotel tower. The project has a current capital plan of approximately $430 million and, as of June 30, 2023, total capital expenditures have been $187 million since the project began.</w:t>
      </w:r>
    </w:p>
    <w:p>
      <w:pPr>
        <w:pStyle w:val="TextBody"/>
        <w:bidi w:val="0"/>
        <w:spacing w:lineRule="auto" w:line="288" w:before="180" w:after="283"/>
        <w:jc w:val="both"/>
        <w:rPr/>
      </w:pPr>
      <w:r>
        <w:rPr>
          <w:rFonts w:ascii="Times New Roman;sans-serif" w:hAnsi="Times New Roman;sans-serif"/>
          <w:b w:val="false"/>
          <w:color w:val="212529"/>
          <w:sz w:val="20"/>
        </w:rPr>
        <w:t>Cash spent for capital expenditures totaled $573 million</w:t>
      </w:r>
      <w:r>
        <w:rPr>
          <w:color w:val="000000"/>
        </w:rPr>
        <w:t xml:space="preserve"> </w:t>
      </w:r>
      <w:r>
        <w:rPr>
          <w:rFonts w:ascii="Times New Roman;sans-serif" w:hAnsi="Times New Roman;sans-serif"/>
          <w:b w:val="false"/>
          <w:color w:val="000000"/>
          <w:sz w:val="20"/>
        </w:rPr>
        <w:t xml:space="preserve">and $471 million </w:t>
      </w:r>
      <w:r>
        <w:rPr>
          <w:rFonts w:ascii="Times New Roman;sans-serif" w:hAnsi="Times New Roman;sans-serif"/>
          <w:b w:val="false"/>
          <w:color w:val="212529"/>
          <w:sz w:val="20"/>
        </w:rPr>
        <w:t xml:space="preserve">for the six months ended </w:t>
      </w:r>
      <w:r>
        <w:rPr>
          <w:rFonts w:ascii="Times New Roman;sans-serif" w:hAnsi="Times New Roman;sans-serif"/>
          <w:b w:val="false"/>
          <w:color w:val="000000"/>
          <w:sz w:val="20"/>
        </w:rPr>
        <w:t>June 30, 2023 and 2022</w:t>
      </w:r>
      <w:r>
        <w:rPr>
          <w:rFonts w:ascii="Times New Roman;sans-serif" w:hAnsi="Times New Roman;sans-serif"/>
          <w:b w:val="false"/>
          <w:color w:val="212529"/>
          <w:sz w:val="20"/>
        </w:rPr>
        <w:t xml:space="preserve">, respectively, related to our growth, renovation, maintenance, and other capital projects. The following table summarizes our capital expenditures for the six months ended June 30, 2023, and an estimated range of capital expenditures for the remainder of </w:t>
      </w:r>
      <w:r>
        <w:rPr>
          <w:rFonts w:ascii="Times New Roman;sans-serif" w:hAnsi="Times New Roman;sans-serif"/>
          <w:b w:val="false"/>
          <w:color w:val="000000"/>
          <w:sz w:val="20"/>
        </w:rPr>
        <w:t>2023</w:t>
      </w:r>
      <w:r>
        <w:rPr>
          <w:rFonts w:ascii="Times New Roman;sans-serif" w:hAnsi="Times New Roman;sans-serif"/>
          <w:b w:val="false"/>
          <w:color w:val="212529"/>
          <w:sz w:val="20"/>
        </w:rPr>
        <w:t>:</w:t>
      </w:r>
    </w:p>
    <w:tbl>
      <w:tblPr>
        <w:tblW w:w="10205" w:type="dxa"/>
        <w:jc w:val="left"/>
        <w:tblInd w:w="0" w:type="dxa"/>
        <w:tblLayout w:type="fixed"/>
        <w:tblCellMar>
          <w:top w:w="28" w:type="dxa"/>
          <w:left w:w="28" w:type="dxa"/>
          <w:bottom w:w="28" w:type="dxa"/>
          <w:right w:w="28" w:type="dxa"/>
        </w:tblCellMar>
      </w:tblPr>
      <w:tblGrid>
        <w:gridCol w:w="1372"/>
        <w:gridCol w:w="1168"/>
        <w:gridCol w:w="1160"/>
        <w:gridCol w:w="625"/>
        <w:gridCol w:w="1344"/>
        <w:gridCol w:w="347"/>
        <w:gridCol w:w="109"/>
        <w:gridCol w:w="109"/>
        <w:gridCol w:w="109"/>
        <w:gridCol w:w="414"/>
        <w:gridCol w:w="890"/>
        <w:gridCol w:w="230"/>
        <w:gridCol w:w="230"/>
        <w:gridCol w:w="230"/>
        <w:gridCol w:w="230"/>
        <w:gridCol w:w="414"/>
        <w:gridCol w:w="890"/>
        <w:gridCol w:w="334"/>
      </w:tblGrid>
      <w:tr>
        <w:trPr/>
        <w:tc>
          <w:tcPr>
            <w:tcW w:w="137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 of Remaining Capital Expenditures for 2023</w:t>
            </w:r>
          </w:p>
        </w:tc>
      </w:tr>
      <w:tr>
        <w:trPr/>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Atlantic City</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 racing operations</w:t>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estimated capital expenditures from restricted cash </w:t>
            </w:r>
          </w:p>
        </w:tc>
        <w:tc>
          <w:tcPr>
            <w:tcW w:w="1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Growth and renovation projects</w:t>
            </w:r>
          </w:p>
        </w:tc>
        <w:tc>
          <w:tcPr>
            <w:tcW w:w="1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1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Maintenance projects</w:t>
            </w:r>
          </w:p>
        </w:tc>
        <w:tc>
          <w:tcPr>
            <w:tcW w:w="1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estimated capital expenditures from unrestricted cash</w:t>
            </w:r>
          </w:p>
        </w:tc>
        <w:tc>
          <w:tcPr>
            <w:tcW w:w="1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Caesars Virginia</w:t>
            </w:r>
            <w:r>
              <w:rPr>
                <w:color w:val="000000"/>
              </w:rPr>
              <w:t xml:space="preserve"> </w:t>
            </w:r>
            <w:r>
              <w:rPr>
                <w:rFonts w:ascii="Times New Roman;sans-serif" w:hAnsi="Times New Roman;sans-serif"/>
                <w:b w:val="false"/>
                <w:i/>
                <w:color w:val="000000"/>
                <w:sz w:val="12"/>
              </w:rPr>
              <w:t>(a)</w:t>
            </w:r>
          </w:p>
        </w:tc>
        <w:tc>
          <w:tcPr>
            <w:tcW w:w="1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We expect to receive approximately $200 million from the combination of our temporary casino operations and contributions from our joint venture partners to support the development of Caesars Virginia.</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liquidity needs are for debt service and payments associated with our leases. Our estimated debt service (including principal and interest) is approximately $483 million for the remainder of 2023. We also lease certain real property assets from third parties, including VICI and GLPI. The VICI Leases are subject to annual escalations, that take effect in November of each year, based on the CPI. The increase in the CPI over the prior year resulted in an increase in our annual lease payments to VICI. We estimate our lease payments to VICI and GLPI to be approximately $640 million for the remainder of 2023. </w:t>
      </w:r>
    </w:p>
    <w:p>
      <w:pPr>
        <w:pStyle w:val="TextBody"/>
        <w:bidi w:val="0"/>
        <w:spacing w:lineRule="auto" w:line="288" w:before="180" w:after="283"/>
        <w:jc w:val="both"/>
        <w:rPr/>
      </w:pPr>
      <w:r>
        <w:rPr>
          <w:rFonts w:ascii="Times New Roman;sans-serif" w:hAnsi="Times New Roman;sans-serif"/>
          <w:b w:val="false"/>
          <w:color w:val="000000"/>
          <w:sz w:val="20"/>
        </w:rPr>
        <w:t xml:space="preserve">We have periodically divested assets to raise capital or, in previous cases, to comply with conditions, terms, obligations or restrictions imposed by antitrust, gaming and other regulatory entities. </w:t>
      </w:r>
      <w:r>
        <w:rPr>
          <w:rFonts w:ascii="Times New Roman;sans-serif" w:hAnsi="Times New Roman;sans-serif"/>
          <w:b w:val="false"/>
          <w:color w:val="212529"/>
          <w:sz w:val="20"/>
        </w:rPr>
        <w:t>If an agreed upon selling price for future divestitures does not exceed the carrying value of the assets, we may be required to record additional impairment charges in future periods which may be material.</w:t>
      </w:r>
    </w:p>
    <w:p>
      <w:pPr>
        <w:pStyle w:val="TextBody"/>
        <w:bidi w:val="0"/>
        <w:spacing w:lineRule="auto" w:line="288" w:before="180" w:after="283"/>
        <w:jc w:val="both"/>
        <w:rPr/>
      </w:pPr>
      <w:r>
        <w:rPr>
          <w:rFonts w:ascii="Times New Roman;sans-serif" w:hAnsi="Times New Roman;sans-serif"/>
          <w:b w:val="false"/>
          <w:color w:val="000000"/>
          <w:sz w:val="20"/>
        </w:rPr>
        <w:t>We</w:t>
      </w:r>
      <w:r>
        <w:rPr>
          <w:color w:val="212529"/>
        </w:rPr>
        <w:t xml:space="preserve"> </w:t>
      </w:r>
      <w:r>
        <w:rPr>
          <w:rFonts w:ascii="Times New Roman;sans-serif" w:hAnsi="Times New Roman;sans-serif"/>
          <w:b w:val="false"/>
          <w:color w:val="212529"/>
          <w:sz w:val="20"/>
        </w:rPr>
        <w:t>expect that our current liquidity, including availability of borrowings under our committed credit facility and cash flows from operations will be sufficient to fund our operations, capital requirements and service our outstanding indebtedness for the next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04165"/>
                <wp:effectExtent l="0" t="0" r="0" b="0"/>
                <wp:wrapNone/>
                <wp:docPr id="44" name="Frame43"/>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Debt and Master Lease Covenant Compliance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Facilities, the CEI Term Loan B, the Baltimore Term Loan, the Baltimore Revolving Credit Facility and the indentures governing the CRC Senior Secured Notes, the CEI Senior Secured Notes due 2025, the CEI Senior Secured Notes due 2030, the CEI Senior Notes due 2027 and the CEI Senior Notes due 2029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 The Baltimore Revolving Credit Facility included a net senior secured leverage ratio financial covenant of 5.0:1. The Baltimore Revolving Credit Facility matured on July 7, 2023 and the Baltimore Term Loan was repaid in full on July 17,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Third Amendment, the Amended CEI Revolving Credit Facility and the CEI Term Loan A include a maximum net total leverage ratio financial covenant of 7.25:1 until December 31, 2024 and 6.50:1 from and after December 31, 2024. In addition, the Amended CEI Revolving Credit Facility and the CEI Term Loan A include a minimum fixed charge coverage ratio financial covenant of 1.75:1 until December 31, 2024 and 2.0:1 from and after December 31, 2024. From and after the repayment of the CEI Term Loan A, the financial covenants applicable to the Amended CEI Revolving Credit Facility will be tested solely to the extent that certain testing conditions are satisfied. Failure to comply with such covenants could result in an acceleration of the maturity of indebtedness outstanding under the relevant debt document.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GLPI Leases and VICI Leases contain certain covenants requiring minimum capital expenditures based on a percentage of net revenues along with maintaining certain financial ratios.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were in compliance with all of the applicable financial covenants described above.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Share Repurchase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2018, our Board of Directors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pStyle w:val="TextBody"/>
        <w:bidi w:val="0"/>
        <w:spacing w:lineRule="auto" w:line="288" w:before="180" w:after="283"/>
        <w:jc w:val="both"/>
        <w:rPr/>
      </w:pPr>
      <w:r>
        <w:rPr>
          <w:rFonts w:ascii="Times New Roman;sans-serif" w:hAnsi="Times New Roman;sans-serif"/>
          <w:b w:val="false"/>
          <w:color w:val="000000"/>
          <w:sz w:val="20"/>
        </w:rPr>
        <w:t xml:space="preserve">As of June 30, 2023, we have acquired 223,823 shares of common stock under the Share Repurchase Program at an aggregate value of $9 million and an average of $40.80 per share. No shares were repurchased during the </w:t>
      </w:r>
      <w:r>
        <w:rPr>
          <w:rFonts w:ascii="Times New Roman;sans-serif" w:hAnsi="Times New Roman;sans-serif"/>
          <w:b w:val="false"/>
          <w:color w:val="212529"/>
          <w:sz w:val="20"/>
        </w:rPr>
        <w:t>six months ended June 30, 2023</w:t>
      </w:r>
      <w:r>
        <w:rPr>
          <w:color w:val="000000"/>
        </w:rPr>
        <w:t xml:space="preserve"> </w:t>
      </w:r>
      <w:r>
        <w:rPr>
          <w:rFonts w:ascii="Times New Roman;sans-serif" w:hAnsi="Times New Roman;sans-serif"/>
          <w:b w:val="false"/>
          <w:color w:val="000000"/>
          <w:sz w:val="20"/>
        </w:rPr>
        <w:t>and 2022.</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other material changes during the six months ended June 30, 2023 to our contractual obligations as disclosed in Part II, Item 7 of our Annual Report on Form 10-K for the year ended December 31, 2022. See Note 7 to our unaudited Financial Statements, which is included elsewhere in this report, for additional information regarding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Other Liquidity Matters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faced with certain contingencies, from time to time, involving litigation, claims, assessments, environmental remediation or compliance. These commitments and contingencies are discussed in greater detail in “Part II, Item 1. Legal Proceedings” and Note 7 to our unaudited Financial Statements, both of which are included elsewhere in this report. See “Part I, Item 1A. Risk Factors—Risks Related to Our Business” which is included elsewhere in our Annual Report on Form 10-K for the year ended December 31, 2022.</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disclosures are included in our Annual Report on Form 10-K for the year ended December 31, 2022. There have been no material changes since December 31, 2022. We have not substantively changed the application of our policies, and there have been no material changes in assumptions or estimation techniques used as compared to those described in our Annual Report on Form 10-K for the year ended December 31, 2022.</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04165"/>
                <wp:effectExtent l="0" t="0" r="0" b="0"/>
                <wp:wrapNone/>
                <wp:docPr id="45" name="Frame44"/>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3. Quantitative and Qualitative Disclosures About Market Risk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arising from adverse changes in market rates and prices, such as interest rates, foreign currency exchange rates and commodity prices. We are exposed to changes in interest rates primarily from variable rate long-term debt arrangements and foreign exchange risks associated with certain transactions.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long-term variable-rate borrowings totaled $3.5 billion under the CEI Term Loans and the Baltimore Term Loan, and no amounts were outstanding under the CEI Revolving Credit Facility or the Baltimore Revolving Credit Facility. Long-term variable-rate borrowings under the CEI Term Loans and the Baltimore Term Loan represented approximately 27% of consolidated long-term debt as of June 30, 2023. As of June 30, 2023, the weighted average interest rates on our variable and fixed rate debt were 8.24% and 6.47%, respectively.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described, subsequent to June 30, 2023, the Baltimore Revolving Credit Facility matured and our Baltimore Term Loan was repaid and are no longer subject to market risk. All of our variable rate debt instruments are subject to Term SOFR interest rates plus a reasonable margin.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our exposure to market risk by monitoring interest rates in the marketplace and have, on occasion, utilized derivative financial instruments to help manage this risk. We do not utilize derivative financial instruments for trading purposes. There were no other material quantitative changes in our market risk exposure, or how such risks are managed, for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4. Controls and Procedures</w:t>
      </w:r>
    </w:p>
    <w:p>
      <w:pPr>
        <w:pStyle w:val="TextBody"/>
        <w:bidi w:val="0"/>
        <w:spacing w:lineRule="auto" w:line="288" w:before="180" w:after="283"/>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pStyle w:val="TextBody"/>
        <w:bidi w:val="0"/>
        <w:spacing w:lineRule="auto" w:line="288" w:before="180" w:after="283"/>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Changes in Internal Controls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changes in our internal control over financial reporting during the period covered by this Quarterly Report on Form 10</w:t>
        <w:noBreakHyphen/>
        <w:t>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04165"/>
                <wp:effectExtent l="0" t="0" r="0" b="0"/>
                <wp:wrapNone/>
                <wp:docPr id="46" name="Frame45"/>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center"/>
        <w:rPr>
          <w:rFonts w:ascii="Times New Roman;sans-serif" w:hAnsi="Times New Roman;sans-serif"/>
          <w:b/>
          <w:color w:val="BF2115"/>
          <w:sz w:val="24"/>
        </w:rPr>
      </w:pPr>
      <w:r>
        <w:rPr>
          <w:rFonts w:ascii="Times New Roman;sans-serif" w:hAnsi="Times New Roman;sans-serif"/>
          <w:b/>
          <w:color w:val="BF2115"/>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 xml:space="preserve">Item 1. Legal Proceedings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“Legal Proceedings,” refer to Note 7 to our Consolidated Condensed Financial Statements located elsewhere in this Quarterly Report on Form 10-Q and Note 11 to our Consolidated Financial Statements included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Cautionary Statements Regarding Forward-Looking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Specifically, forward-looking statements may include, among others, statements concerning:</w:t>
      </w:r>
    </w:p>
    <w:p>
      <w:pPr>
        <w:pStyle w:val="TextBody"/>
        <w:bidi w:val="0"/>
        <w:spacing w:lineRule="auto" w:line="288" w:before="180" w:after="283"/>
        <w:ind w:left="0" w:right="0" w:hanging="720"/>
        <w:jc w:val="both"/>
        <w:rPr/>
      </w:pPr>
      <w:r>
        <w:rPr>
          <w:color w:val="000000"/>
        </w:rPr>
        <w:t>•</w:t>
      </w:r>
      <w:r>
        <w:rPr>
          <w:rFonts w:ascii="Times New Roman;sans-serif" w:hAnsi="Times New Roman;sans-serif"/>
          <w:b w:val="false"/>
          <w:color w:val="000000"/>
          <w:sz w:val="20"/>
        </w:rPr>
        <w:t>projections of future results of operations or financial condition;</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expectations regarding our business and results of operations of our existing casino properties and prospects for future development;</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impact of economic trends, inflation and the COVID-19 public health emergency on our business and financial condition;</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expectations regarding trends that will affect our market and the gaming industry generally, including expansion of internet betting and gaming, and the impact of those trends on our business and results of operations;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ability to comply with the covenants in the agreements governing our outstanding indebtedness and leases;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ability to meet our projected debt service obligations, operating expenses, and maintenance capital expenditures;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expectations regarding availability of capital resources;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our intention to pursue development opportunities and additional acquisitions and divestitures;</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the impact of regulation on our business and our ability to receive and maintain necessary approvals for our existing properties and future projects and operation of online sportsbook, poker and gaming; and</w:t>
      </w:r>
    </w:p>
    <w:p>
      <w:pPr>
        <w:pStyle w:val="TextBody"/>
        <w:bidi w:val="0"/>
        <w:spacing w:lineRule="auto" w:line="288" w:before="60" w:after="283"/>
        <w:ind w:left="0" w:right="0" w:hanging="720"/>
        <w:jc w:val="both"/>
        <w:rPr/>
      </w:pPr>
      <w:r>
        <w:rPr>
          <w:color w:val="000000"/>
        </w:rPr>
        <w:t>•</w:t>
      </w:r>
      <w:r>
        <w:rPr>
          <w:rFonts w:ascii="Times New Roman;sans-serif" w:hAnsi="Times New Roman;sans-serif"/>
          <w:b w:val="false"/>
          <w:color w:val="000000"/>
          <w:sz w:val="20"/>
        </w:rPr>
        <w:t>factors impacting our ability to successfully operate our digital betting and iGaming platform and expand its user base.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forward-looking statements are based upon underlying assumptions, including any assumptions mentioned with the specific statements that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These risks and uncertainties include: (a) the impacts of economic and market conditions; (b) our ability to successfully operate our digital betting and iGaming platform and expand its user base; (c) risks associated with our leverage and our ability to reduce our leverage; (d) the effects of competition on our business and results of operations; (e) the effects of inflation, supply chain constraints and continuing impacts of COVID-19; and (f) additional factors discussed in the sections entitled “Risk Factors” and “Management’s Discussion and Analysis of Financial Condition and Results of Operations” contained in this Quarterly Report on Form 10-Q and our most recent Annual Reports on Form 10-K as filed with the Securities and Exchange Commission. Actual results may differ materially from any future results, performance or achievements expressed or implied by such statements and forward-looking statements should not be regarded as a representation by us or any other person that the forward-looking statements will be achieved.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these forward-looking statements speak only as of the date on which the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04165"/>
                <wp:effectExtent l="0" t="0" r="0" b="0"/>
                <wp:wrapNone/>
                <wp:docPr id="47" name="Frame46"/>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reports issued by securities analysts contain projections, forecasts or opinions, those reports are not our responsibility and are not endorsed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1A. Risk Factors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our risk factors can be found in “Part I, Item 1A. Risk Factors” included in our Annual Report on Form 10-K for the year ended December 31, 2022. There have been no material changes to those risk factors during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2. Unregistered Sales of Equity Securities and Use of Proceeds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3. Defaults Upon Senior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4. Mine Safety Disclosures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Item 5. Other Information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Stephanie Lepori, Chief Administrative and Accounting Officer, entered into a pre-arranged stock trading plan on May 22, 2023. Ms. Lepori’s plan provides for the potential sale by Ms. Lepori of up to 72,200 shares of common stock between August 21, 2023 and August 9,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14, 2023, Thomas Reeg, Chief Executive Officer and a member of the Board of Directors of the Company, terminated a stock trading plan which he entered into on February 24, 2023. Mr. Reeg’s plan provided for the potential sale by Mr. Reeg of up to 200,000 shares of common stock and would have expired on May 25, 2025.</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above trading plan activity occurred during open insider trading windows and is intended to satisfy the affirmative defense conditions of Rule 10b5-1(c) under the Securities Exchange Act of 1934, as amended, and Caesars’ policies regarding transactions in securities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04165"/>
                <wp:effectExtent l="0" t="0" r="0" b="0"/>
                <wp:wrapNone/>
                <wp:docPr id="48" name="Frame47"/>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0" w:after="0"/>
        <w:jc w:val="left"/>
        <w:rPr>
          <w:rFonts w:ascii="Times New Roman;sans-serif" w:hAnsi="Times New Roman;sans-serif"/>
          <w:b/>
          <w:color w:val="BF2115"/>
          <w:sz w:val="24"/>
        </w:rPr>
      </w:pPr>
      <w:r>
        <w:rPr>
          <w:rFonts w:ascii="Times New Roman;sans-serif" w:hAnsi="Times New Roman;sans-serif"/>
          <w:b/>
          <w:color w:val="BF2115"/>
          <w:sz w:val="24"/>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711"/>
        <w:gridCol w:w="1689"/>
        <w:gridCol w:w="1694"/>
        <w:gridCol w:w="109"/>
        <w:gridCol w:w="109"/>
        <w:gridCol w:w="109"/>
        <w:gridCol w:w="1178"/>
        <w:gridCol w:w="1151"/>
        <w:gridCol w:w="1156"/>
        <w:gridCol w:w="109"/>
        <w:gridCol w:w="15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Method of Filing</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8"/>
                  <w:u w:val="single"/>
                </w:rPr>
                <w:t>Amended and Restated Certificate of Incorporation of Caesars Entertainment,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June 16, 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18"/>
                  <w:u w:val="single"/>
                </w:rPr>
                <w:t>Amended and Restated Bylaws of Caesars Entertainment,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August 1, 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3q2cei-ex311.htm">
              <w:r>
                <w:rPr>
                  <w:rStyle w:val="InternetLink"/>
                  <w:rFonts w:ascii="Times New Roman;sans-serif" w:hAnsi="Times New Roman;sans-serif"/>
                  <w:b w:val="false"/>
                  <w:color w:val="0000FF"/>
                  <w:sz w:val="18"/>
                  <w:u w:val="single"/>
                </w:rPr>
                <w:t>Certification of Thomas R. Reeg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3q2cei-ex312.htm">
              <w:r>
                <w:rPr>
                  <w:rStyle w:val="InternetLink"/>
                  <w:rFonts w:ascii="Times New Roman;sans-serif" w:hAnsi="Times New Roman;sans-serif"/>
                  <w:b w:val="false"/>
                  <w:color w:val="0000FF"/>
                  <w:sz w:val="18"/>
                  <w:u w:val="single"/>
                </w:rPr>
                <w:t>Certification of Bret Yunker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3q2cei-ex321.htm">
              <w:r>
                <w:rPr>
                  <w:rStyle w:val="InternetLink"/>
                  <w:rFonts w:ascii="Times New Roman;sans-serif" w:hAnsi="Times New Roman;sans-serif"/>
                  <w:b w:val="false"/>
                  <w:color w:val="0000FF"/>
                  <w:sz w:val="18"/>
                  <w:u w:val="single"/>
                </w:rPr>
                <w:t>Certification of Thomas R. Reeg in accordance with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3q2cei-ex322.htm">
              <w:r>
                <w:rPr>
                  <w:rStyle w:val="InternetLink"/>
                  <w:rFonts w:ascii="Times New Roman;sans-serif" w:hAnsi="Times New Roman;sans-serif"/>
                  <w:b w:val="false"/>
                  <w:color w:val="0000FF"/>
                  <w:sz w:val="18"/>
                  <w:u w:val="single"/>
                </w:rPr>
                <w:t>Certification of Bret Yunker in accordance with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3q2cei-ex991financiali.htm">
              <w:r>
                <w:rPr>
                  <w:rStyle w:val="InternetLink"/>
                  <w:rFonts w:ascii="Times New Roman;sans-serif" w:hAnsi="Times New Roman;sans-serif"/>
                  <w:b w:val="false"/>
                  <w:color w:val="0000FF"/>
                  <w:sz w:val="18"/>
                  <w:u w:val="single"/>
                </w:rPr>
                <w:t>Financial Information of Caesars Resort Collection,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04165"/>
                <wp:effectExtent l="0" t="0" r="0" b="0"/>
                <wp:wrapNone/>
                <wp:docPr id="49" name="Frame48"/>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60" w:after="283"/>
        <w:ind w:left="0" w:right="0" w:hanging="360"/>
        <w:jc w:val="both"/>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report to be signed on its behalf by the undersigned thereunto duly authorized.</w:t>
      </w:r>
    </w:p>
    <w:tbl>
      <w:tblPr>
        <w:tblW w:w="6329" w:type="dxa"/>
        <w:jc w:val="left"/>
        <w:tblInd w:w="0" w:type="dxa"/>
        <w:tblLayout w:type="fixed"/>
        <w:tblCellMar>
          <w:top w:w="28" w:type="dxa"/>
          <w:left w:w="28" w:type="dxa"/>
          <w:bottom w:w="28" w:type="dxa"/>
          <w:right w:w="28" w:type="dxa"/>
        </w:tblCellMar>
      </w:tblPr>
      <w:tblGrid>
        <w:gridCol w:w="667"/>
        <w:gridCol w:w="587"/>
        <w:gridCol w:w="590"/>
        <w:gridCol w:w="1313"/>
        <w:gridCol w:w="1313"/>
        <w:gridCol w:w="185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CAESARS ENTERTAINMENT,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2023</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Thomas R. Reeg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Thomas R. Reeg</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2023</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Bret Yunker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Bret Yunker</w:t>
            </w:r>
          </w:p>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04165"/>
                <wp:effectExtent l="0" t="0" r="0" b="0"/>
                <wp:wrapNone/>
                <wp:docPr id="50" name="Frame49"/>
                <a:graphic xmlns:a="http://schemas.openxmlformats.org/drawingml/2006/main">
                  <a:graphicData uri="http://schemas.microsoft.com/office/word/2010/wordprocessingShape">
                    <wps:wsp>
                      <wps:cNvSpPr txBox="1"/>
                      <wps:spPr>
                        <a:xfrm>
                          <a:off x="0" y="0"/>
                          <a:ext cx="6480175" cy="304165"/>
                        </a:xfrm>
                        <a:prstGeom prst="rect"/>
                        <a:solidFill>
                          <a:srgbClr val="FFFFFF"/>
                        </a:solidFill>
                      </wps:spPr>
                      <wps:txb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31ddf5cb545e4c868e2e5c0b1dc21a8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Thomas R. Reeg,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Caesars Entertainment, Inc.;</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1, 2023</w:t>
      </w:r>
    </w:p>
    <w:tbl>
      <w:tblPr>
        <w:tblW w:w="2846" w:type="dxa"/>
        <w:jc w:val="left"/>
        <w:tblInd w:w="0" w:type="dxa"/>
        <w:tblLayout w:type="fixed"/>
        <w:tblCellMar>
          <w:top w:w="28" w:type="dxa"/>
          <w:left w:w="28" w:type="dxa"/>
          <w:bottom w:w="28" w:type="dxa"/>
          <w:right w:w="28" w:type="dxa"/>
        </w:tblCellMar>
      </w:tblPr>
      <w:tblGrid>
        <w:gridCol w:w="124"/>
        <w:gridCol w:w="109"/>
        <w:gridCol w:w="109"/>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R. Reeg</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Bret Yunker, certify that: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Caesars Entertainment, Inc.;</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 2023 </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Bret Yunker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Thomas R. Reeg</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Thomas R. Reeg, Chief Executive Officer of Caesars Entertainment, Inc. (the “Company”), do hereby certify in accordance with 18 U.S.C. 1350, as adopted pursuant to Section 906 of the Sarbanes-Oxley Act of 2002, that, to my knowledge: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June 30, 2023 (the “Periodic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represents, in all material respects, the financial condition and results of operations of the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1, 2023</w:t>
      </w:r>
    </w:p>
    <w:tbl>
      <w:tblPr>
        <w:tblW w:w="2397" w:type="dxa"/>
        <w:jc w:val="left"/>
        <w:tblInd w:w="0" w:type="dxa"/>
        <w:tblLayout w:type="fixed"/>
        <w:tblCellMar>
          <w:top w:w="28" w:type="dxa"/>
          <w:left w:w="28" w:type="dxa"/>
          <w:bottom w:w="28" w:type="dxa"/>
          <w:right w:w="28" w:type="dxa"/>
        </w:tblCellMar>
      </w:tblPr>
      <w:tblGrid>
        <w:gridCol w:w="124"/>
        <w:gridCol w:w="109"/>
        <w:gridCol w:w="109"/>
        <w:gridCol w:w="600"/>
        <w:gridCol w:w="600"/>
        <w:gridCol w:w="8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R. Reeg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Bret Yunker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Bret Yunker, Chief Financial Officer of Caesars Entertainment, Inc. (the “Company”), do hereby certify in accordance with 18 U.S.C. 1350, as adopted pursuant to Section 906 of the Sarbanes-Oxley Act of 2002, that, to my knowledge: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June 30, 2023 (the “Periodic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represents, in all material respects, the financial condition and results of operations of the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1, 2023</w:t>
      </w:r>
    </w:p>
    <w:tbl>
      <w:tblPr>
        <w:tblW w:w="2412" w:type="dxa"/>
        <w:jc w:val="left"/>
        <w:tblInd w:w="0" w:type="dxa"/>
        <w:tblLayout w:type="fixed"/>
        <w:tblCellMar>
          <w:top w:w="28" w:type="dxa"/>
          <w:left w:w="28" w:type="dxa"/>
          <w:bottom w:w="28" w:type="dxa"/>
          <w:right w:w="28" w:type="dxa"/>
        </w:tblCellMar>
      </w:tblPr>
      <w:tblGrid>
        <w:gridCol w:w="124"/>
        <w:gridCol w:w="109"/>
        <w:gridCol w:w="109"/>
        <w:gridCol w:w="606"/>
        <w:gridCol w:w="606"/>
        <w:gridCol w:w="8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Bret Yunker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Supplemental Consolidating Financial Information</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5.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Caesars Resort Collection, LLC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Exhibit. Supplemental Consolidating Financial Information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consolidating condensed balance sheets as of June 30, 2023 and December 31, 2022, consolidating condensed statements of operations for the three and six months ended June 30, 2023 and 2022, cash flows for the six months ended June 30, 2023 and 2022, and Adjusted EBITDA for the three and six months ended June 30, 2023 of Caesars Resort Collection, LLC (“CRC”), as it consolidates into CEI as a wholly-owned subsidiary. “Other Operations, Eliminations” presents the operations of CEI’s other subsidiaries, including eliminations of intercompany transactions.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consolidating condensed balance sheets as of June 30, 2023 and December 31, 2022 are as follows:</w:t>
      </w:r>
    </w:p>
    <w:tbl>
      <w:tblPr>
        <w:tblW w:w="10205" w:type="dxa"/>
        <w:jc w:val="left"/>
        <w:tblInd w:w="0" w:type="dxa"/>
        <w:tblLayout w:type="fixed"/>
        <w:tblCellMar>
          <w:top w:w="28" w:type="dxa"/>
          <w:left w:w="28" w:type="dxa"/>
          <w:bottom w:w="28" w:type="dxa"/>
          <w:right w:w="28" w:type="dxa"/>
        </w:tblCellMar>
      </w:tblPr>
      <w:tblGrid>
        <w:gridCol w:w="1061"/>
        <w:gridCol w:w="460"/>
        <w:gridCol w:w="437"/>
        <w:gridCol w:w="196"/>
        <w:gridCol w:w="646"/>
        <w:gridCol w:w="109"/>
        <w:gridCol w:w="109"/>
        <w:gridCol w:w="109"/>
        <w:gridCol w:w="109"/>
        <w:gridCol w:w="261"/>
        <w:gridCol w:w="742"/>
        <w:gridCol w:w="145"/>
        <w:gridCol w:w="109"/>
        <w:gridCol w:w="109"/>
        <w:gridCol w:w="109"/>
        <w:gridCol w:w="243"/>
        <w:gridCol w:w="801"/>
        <w:gridCol w:w="136"/>
        <w:gridCol w:w="109"/>
        <w:gridCol w:w="109"/>
        <w:gridCol w:w="109"/>
        <w:gridCol w:w="196"/>
        <w:gridCol w:w="646"/>
        <w:gridCol w:w="109"/>
        <w:gridCol w:w="109"/>
        <w:gridCol w:w="109"/>
        <w:gridCol w:w="109"/>
        <w:gridCol w:w="261"/>
        <w:gridCol w:w="742"/>
        <w:gridCol w:w="145"/>
        <w:gridCol w:w="109"/>
        <w:gridCol w:w="109"/>
        <w:gridCol w:w="109"/>
        <w:gridCol w:w="240"/>
        <w:gridCol w:w="795"/>
        <w:gridCol w:w="199"/>
      </w:tblGrid>
      <w:tr>
        <w:trPr/>
        <w:tc>
          <w:tcPr>
            <w:tcW w:w="106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CRC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Other Operations, </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CEI 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CRC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Other Operations, </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CEI Consolidated</w:t>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and advances to unconsolidated affiliates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other than 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33,478 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to affiliates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financing obligation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Long-term debt to related party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28,811 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195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95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95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95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95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stockholders’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7,052 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33,478 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33,527 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Supplemental Consolidating Financial Information</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5.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Caesars Resort Collection, LLC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consolidating condensed statements of operations for the three months ended June 30, 2023 and 2022 are as follows:</w:t>
      </w:r>
    </w:p>
    <w:tbl>
      <w:tblPr>
        <w:tblW w:w="10205" w:type="dxa"/>
        <w:jc w:val="left"/>
        <w:tblInd w:w="0" w:type="dxa"/>
        <w:tblLayout w:type="fixed"/>
        <w:tblCellMar>
          <w:top w:w="28" w:type="dxa"/>
          <w:left w:w="28" w:type="dxa"/>
          <w:bottom w:w="28" w:type="dxa"/>
          <w:right w:w="28" w:type="dxa"/>
        </w:tblCellMar>
      </w:tblPr>
      <w:tblGrid>
        <w:gridCol w:w="762"/>
        <w:gridCol w:w="575"/>
        <w:gridCol w:w="579"/>
        <w:gridCol w:w="196"/>
        <w:gridCol w:w="556"/>
        <w:gridCol w:w="109"/>
        <w:gridCol w:w="109"/>
        <w:gridCol w:w="109"/>
        <w:gridCol w:w="109"/>
        <w:gridCol w:w="311"/>
        <w:gridCol w:w="695"/>
        <w:gridCol w:w="174"/>
        <w:gridCol w:w="109"/>
        <w:gridCol w:w="109"/>
        <w:gridCol w:w="109"/>
        <w:gridCol w:w="274"/>
        <w:gridCol w:w="779"/>
        <w:gridCol w:w="153"/>
        <w:gridCol w:w="109"/>
        <w:gridCol w:w="109"/>
        <w:gridCol w:w="109"/>
        <w:gridCol w:w="196"/>
        <w:gridCol w:w="556"/>
        <w:gridCol w:w="109"/>
        <w:gridCol w:w="109"/>
        <w:gridCol w:w="109"/>
        <w:gridCol w:w="109"/>
        <w:gridCol w:w="311"/>
        <w:gridCol w:w="695"/>
        <w:gridCol w:w="174"/>
        <w:gridCol w:w="109"/>
        <w:gridCol w:w="109"/>
        <w:gridCol w:w="109"/>
        <w:gridCol w:w="274"/>
        <w:gridCol w:w="779"/>
        <w:gridCol w:w="153"/>
        <w:gridCol w:w="160"/>
      </w:tblGrid>
      <w:tr>
        <w:trPr/>
        <w:tc>
          <w:tcPr>
            <w:tcW w:w="76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CRC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Other Operations, </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CEI 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CRC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Other Operations, </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CEI Consolidated</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other costs.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continuing operations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continuing operations, net of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 net of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Supplemental Consolidating Financial Information</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5.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Caesars Resort Collection, LLC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consolidating condensed statements of operations for the six months ended June 30, 2023 and 2022 are as follows:</w:t>
      </w:r>
    </w:p>
    <w:tbl>
      <w:tblPr>
        <w:tblW w:w="10205" w:type="dxa"/>
        <w:jc w:val="left"/>
        <w:tblInd w:w="0" w:type="dxa"/>
        <w:tblLayout w:type="fixed"/>
        <w:tblCellMar>
          <w:top w:w="28" w:type="dxa"/>
          <w:left w:w="28" w:type="dxa"/>
          <w:bottom w:w="28" w:type="dxa"/>
          <w:right w:w="28" w:type="dxa"/>
        </w:tblCellMar>
      </w:tblPr>
      <w:tblGrid>
        <w:gridCol w:w="762"/>
        <w:gridCol w:w="575"/>
        <w:gridCol w:w="579"/>
        <w:gridCol w:w="196"/>
        <w:gridCol w:w="556"/>
        <w:gridCol w:w="109"/>
        <w:gridCol w:w="109"/>
        <w:gridCol w:w="109"/>
        <w:gridCol w:w="109"/>
        <w:gridCol w:w="268"/>
        <w:gridCol w:w="762"/>
        <w:gridCol w:w="149"/>
        <w:gridCol w:w="109"/>
        <w:gridCol w:w="109"/>
        <w:gridCol w:w="109"/>
        <w:gridCol w:w="274"/>
        <w:gridCol w:w="779"/>
        <w:gridCol w:w="153"/>
        <w:gridCol w:w="109"/>
        <w:gridCol w:w="109"/>
        <w:gridCol w:w="109"/>
        <w:gridCol w:w="196"/>
        <w:gridCol w:w="556"/>
        <w:gridCol w:w="109"/>
        <w:gridCol w:w="109"/>
        <w:gridCol w:w="109"/>
        <w:gridCol w:w="109"/>
        <w:gridCol w:w="311"/>
        <w:gridCol w:w="695"/>
        <w:gridCol w:w="174"/>
        <w:gridCol w:w="109"/>
        <w:gridCol w:w="109"/>
        <w:gridCol w:w="109"/>
        <w:gridCol w:w="274"/>
        <w:gridCol w:w="779"/>
        <w:gridCol w:w="153"/>
        <w:gridCol w:w="161"/>
      </w:tblGrid>
      <w:tr>
        <w:trPr/>
        <w:tc>
          <w:tcPr>
            <w:tcW w:w="76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CRC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Other Operations, </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CEI 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CRC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Other Operations, </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CEI Consolidated</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other costs,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continuing operations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continuing operations, net of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 net of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Supplemental Consolidating Financial Information</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5.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Caesars Resort Collection, LLC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consolidating condensed statements of cash flows for the six months ended June 30, 2023 and 2022 are as follows:</w:t>
      </w:r>
    </w:p>
    <w:tbl>
      <w:tblPr>
        <w:tblW w:w="10205" w:type="dxa"/>
        <w:jc w:val="left"/>
        <w:tblInd w:w="0" w:type="dxa"/>
        <w:tblLayout w:type="fixed"/>
        <w:tblCellMar>
          <w:top w:w="28" w:type="dxa"/>
          <w:left w:w="28" w:type="dxa"/>
          <w:bottom w:w="28" w:type="dxa"/>
          <w:right w:w="28" w:type="dxa"/>
        </w:tblCellMar>
      </w:tblPr>
      <w:tblGrid>
        <w:gridCol w:w="1045"/>
        <w:gridCol w:w="585"/>
        <w:gridCol w:w="587"/>
        <w:gridCol w:w="253"/>
        <w:gridCol w:w="545"/>
        <w:gridCol w:w="141"/>
        <w:gridCol w:w="109"/>
        <w:gridCol w:w="109"/>
        <w:gridCol w:w="109"/>
        <w:gridCol w:w="304"/>
        <w:gridCol w:w="654"/>
        <w:gridCol w:w="170"/>
        <w:gridCol w:w="109"/>
        <w:gridCol w:w="109"/>
        <w:gridCol w:w="109"/>
        <w:gridCol w:w="258"/>
        <w:gridCol w:w="732"/>
        <w:gridCol w:w="144"/>
        <w:gridCol w:w="109"/>
        <w:gridCol w:w="109"/>
        <w:gridCol w:w="109"/>
        <w:gridCol w:w="196"/>
        <w:gridCol w:w="421"/>
        <w:gridCol w:w="109"/>
        <w:gridCol w:w="109"/>
        <w:gridCol w:w="109"/>
        <w:gridCol w:w="109"/>
        <w:gridCol w:w="257"/>
        <w:gridCol w:w="728"/>
        <w:gridCol w:w="143"/>
        <w:gridCol w:w="109"/>
        <w:gridCol w:w="109"/>
        <w:gridCol w:w="109"/>
        <w:gridCol w:w="258"/>
        <w:gridCol w:w="732"/>
        <w:gridCol w:w="144"/>
        <w:gridCol w:w="164"/>
      </w:tblGrid>
      <w:tr>
        <w:trPr/>
        <w:tc>
          <w:tcPr>
            <w:tcW w:w="104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Operations, </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CEI 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CRC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Operations, </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CEI Consolidated</w:t>
            </w:r>
          </w:p>
        </w:tc>
        <w:tc>
          <w:tcPr>
            <w:tcW w:w="164" w:type="dxa"/>
            <w:tcBorders/>
            <w:vAlign w:val="center"/>
          </w:tcPr>
          <w:p>
            <w:pPr>
              <w:pStyle w:val="TableContents"/>
              <w:bidi w:val="0"/>
              <w:spacing w:before="0" w:after="283"/>
              <w:jc w:val="left"/>
              <w:rPr>
                <w:sz w:val="4"/>
                <w:szCs w:val="4"/>
              </w:rPr>
            </w:pPr>
            <w:r>
              <w:rPr>
                <w:sz w:val="4"/>
                <w:szCs w:val="4"/>
              </w:rPr>
            </w:r>
          </w:p>
        </w:tc>
      </w:tr>
      <w:tr>
        <w:trPr/>
        <w:tc>
          <w:tcPr>
            <w:tcW w:w="315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5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 net</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gaming rights and trademarks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business, property and equipment, net of cash sold</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investments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insurance related to property damage</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5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debt and revolving credit facilities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long-term debt and revolving credit facilities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obligation payments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and extinguishment costs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 settlement of equity awards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1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from financing activities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from discontinued operations</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currency exchange rates on cash</w:t>
            </w:r>
          </w:p>
        </w:tc>
        <w:tc>
          <w:tcPr>
            <w:tcW w:w="7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cash equivalents and restricted cash</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period</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Supplemental Consolidating Financial Information</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5.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Caesars Resort Collection, LLC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reconciliations of net income (loss) attributable to Caesars to Adjusted EBITDA for the three and six months ended June 30, 2023 are as follows:</w:t>
      </w:r>
    </w:p>
    <w:tbl>
      <w:tblPr>
        <w:tblW w:w="10205" w:type="dxa"/>
        <w:jc w:val="left"/>
        <w:tblInd w:w="0" w:type="dxa"/>
        <w:tblLayout w:type="fixed"/>
        <w:tblCellMar>
          <w:top w:w="28" w:type="dxa"/>
          <w:left w:w="28" w:type="dxa"/>
          <w:bottom w:w="28" w:type="dxa"/>
          <w:right w:w="28" w:type="dxa"/>
        </w:tblCellMar>
      </w:tblPr>
      <w:tblGrid>
        <w:gridCol w:w="928"/>
        <w:gridCol w:w="487"/>
        <w:gridCol w:w="489"/>
        <w:gridCol w:w="196"/>
        <w:gridCol w:w="556"/>
        <w:gridCol w:w="109"/>
        <w:gridCol w:w="109"/>
        <w:gridCol w:w="109"/>
        <w:gridCol w:w="109"/>
        <w:gridCol w:w="320"/>
        <w:gridCol w:w="714"/>
        <w:gridCol w:w="179"/>
        <w:gridCol w:w="109"/>
        <w:gridCol w:w="109"/>
        <w:gridCol w:w="109"/>
        <w:gridCol w:w="280"/>
        <w:gridCol w:w="796"/>
        <w:gridCol w:w="156"/>
        <w:gridCol w:w="109"/>
        <w:gridCol w:w="109"/>
        <w:gridCol w:w="109"/>
        <w:gridCol w:w="196"/>
        <w:gridCol w:w="556"/>
        <w:gridCol w:w="109"/>
        <w:gridCol w:w="109"/>
        <w:gridCol w:w="109"/>
        <w:gridCol w:w="109"/>
        <w:gridCol w:w="320"/>
        <w:gridCol w:w="714"/>
        <w:gridCol w:w="179"/>
        <w:gridCol w:w="109"/>
        <w:gridCol w:w="109"/>
        <w:gridCol w:w="109"/>
        <w:gridCol w:w="276"/>
        <w:gridCol w:w="784"/>
        <w:gridCol w:w="226"/>
      </w:tblGrid>
      <w:tr>
        <w:trPr/>
        <w:tc>
          <w:tcPr>
            <w:tcW w:w="92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CRC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Other Operations, </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CEI 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CRC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Other Operations, </w:t>
              <w:b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CEI Consolidated</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costs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expense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90895/000119312523169019/d522744dex31.htm" TargetMode="External"/><Relationship Id="rId4" Type="http://schemas.openxmlformats.org/officeDocument/2006/relationships/hyperlink" Target="https://www.sec.gov/Archives/edgar/data/1590895/000119312522208845/d332982d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27056</Words>
  <Characters>143463</Characters>
  <CharactersWithSpaces>167919</CharactersWithSpaces>
  <Paragraphs>5087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