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9,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CAESARS ENTERTAINMENT,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86" w:right="339" w:bottom="1440" w:gutter="0" w:footer="0" w:header="0"/>
        </w:sectPr>
      </w:pPr>
    </w:p>
    <w:p>
      <w:pPr>
        <w:spacing w:after="0" w:line="350"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001-36629</w:t>
      </w:r>
    </w:p>
    <w:p>
      <w:pPr>
        <w:spacing w:after="0" w:line="3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46-3657681</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119" w:lineRule="exact"/>
        <w:rPr>
          <w:sz w:val="24"/>
          <w:szCs w:val="24"/>
          <w:color w:val="auto"/>
        </w:rPr>
      </w:pPr>
    </w:p>
    <w:p>
      <w:pPr>
        <w:sectPr>
          <w:pgSz w:w="11900" w:h="16838" w:orient="portrait"/>
          <w:cols w:equalWidth="0" w:num="3">
            <w:col w:w="3880" w:space="720"/>
            <w:col w:w="2700" w:space="720"/>
            <w:col w:w="3220"/>
          </w:cols>
          <w:pgMar w:left="320" w:top="1186" w:right="339" w:bottom="1440" w:gutter="0" w:footer="0" w:header="0"/>
          <w:type w:val="continuous"/>
        </w:sectPr>
      </w:pPr>
    </w:p>
    <w:p>
      <w:pPr>
        <w:ind w:left="3440"/>
        <w:spacing w:after="0"/>
        <w:rPr>
          <w:sz w:val="20"/>
          <w:szCs w:val="20"/>
          <w:color w:val="auto"/>
        </w:rPr>
      </w:pPr>
      <w:r>
        <w:rPr>
          <w:rFonts w:ascii="Times New Roman" w:cs="Times New Roman" w:eastAsia="Times New Roman" w:hAnsi="Times New Roman"/>
          <w:sz w:val="17"/>
          <w:szCs w:val="17"/>
          <w:b w:val="1"/>
          <w:bCs w:val="1"/>
          <w:color w:val="auto"/>
        </w:rPr>
        <w:t>100 West Liberty Street, 12th Floor, Reno, Nevada 89501</w:t>
      </w:r>
    </w:p>
    <w:p>
      <w:pPr>
        <w:spacing w:after="0" w:line="4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ectPr>
          <w:pgSz w:w="11900" w:h="16838" w:orient="portrait"/>
          <w:cols w:equalWidth="0" w:num="1">
            <w:col w:w="11240"/>
          </w:cols>
          <w:pgMar w:left="320" w:top="1186" w:right="339" w:bottom="1440" w:gutter="0" w:footer="0" w:header="0"/>
          <w:type w:val="continuous"/>
        </w:sectPr>
      </w:pP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328-0100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80" w:type="dxa"/>
            <w:vAlign w:val="bottom"/>
            <w:gridSpan w:val="5"/>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351"/>
        </w:trPr>
        <w:tc>
          <w:tcPr>
            <w:tcW w:w="32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26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Common stock, $0.00001 par value</w:t>
            </w: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CZR</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w:t>
            </w:r>
          </w:p>
        </w:tc>
      </w:tr>
    </w:tbl>
    <w:p>
      <w:pPr>
        <w:spacing w:after="0" w:line="314"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held its 2026 Annual Meeting on June 9, 2026. Present at the 2026 Annual Meeting, either in person or by proxy, were holders of 179,300,597 shares of the Company’s common stock, constituting a quorum of the Company’s outstanding shares. At the 2026 Annual Meeting, the Company’s shareholders considered three proposals. Each of the proposals is discussed briefly below and is described in more detail in the Company’s Proxy Statement filed with the Securities and Exchange Commission on April 23, 2026 (the “Proxy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shareholders elected the Company’s nominees to the Board. The nominees for election to the Board, the number and type of votes cast with respect to each nominee, as well as the number of broker non-votes with respect to each nominee, were as follows:</w:t>
      </w:r>
    </w:p>
    <w:p>
      <w:pPr>
        <w:spacing w:after="0" w:line="131"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1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13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1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 Voted</w:t>
            </w: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1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 Voted</w:t>
            </w: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12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Broker</w:t>
            </w:r>
          </w:p>
        </w:tc>
        <w:tc>
          <w:tcPr>
            <w:tcW w:w="0" w:type="dxa"/>
            <w:vAlign w:val="bottom"/>
          </w:tcPr>
          <w:p>
            <w:pPr>
              <w:spacing w:after="0"/>
              <w:rPr>
                <w:sz w:val="1"/>
                <w:szCs w:val="1"/>
                <w:color w:val="auto"/>
              </w:rPr>
            </w:pPr>
          </w:p>
        </w:tc>
      </w:tr>
      <w:tr>
        <w:trPr>
          <w:trHeight w:val="214"/>
        </w:trPr>
        <w:tc>
          <w:tcPr>
            <w:tcW w:w="198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Non-Votes</w:t>
            </w:r>
          </w:p>
        </w:tc>
        <w:tc>
          <w:tcPr>
            <w:tcW w:w="0" w:type="dxa"/>
            <w:vAlign w:val="bottom"/>
          </w:tcPr>
          <w:p>
            <w:pPr>
              <w:spacing w:after="0"/>
              <w:rPr>
                <w:sz w:val="1"/>
                <w:szCs w:val="1"/>
                <w:color w:val="auto"/>
              </w:rPr>
            </w:pPr>
          </w:p>
        </w:tc>
      </w:tr>
      <w:tr>
        <w:trPr>
          <w:trHeight w:val="211"/>
        </w:trPr>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Gary L. Carano</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153,654,389</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97.7 %</w:t>
            </w:r>
          </w:p>
        </w:tc>
        <w:tc>
          <w:tcPr>
            <w:tcW w:w="4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3,541,728</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4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56,619</w:t>
            </w:r>
          </w:p>
        </w:tc>
        <w:tc>
          <w:tcPr>
            <w:tcW w:w="4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22,047,861</w:t>
            </w:r>
          </w:p>
        </w:tc>
        <w:tc>
          <w:tcPr>
            <w:tcW w:w="0" w:type="dxa"/>
            <w:vAlign w:val="bottom"/>
          </w:tcPr>
          <w:p>
            <w:pPr>
              <w:spacing w:after="0"/>
              <w:rPr>
                <w:sz w:val="1"/>
                <w:szCs w:val="1"/>
                <w:color w:val="auto"/>
              </w:rPr>
            </w:pPr>
          </w:p>
        </w:tc>
      </w:tr>
      <w:tr>
        <w:trPr>
          <w:trHeight w:val="213"/>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Bonnie S. Biumi</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155,167,075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98.7 %</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2,007,368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78,293</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22,047,861</w:t>
            </w:r>
          </w:p>
        </w:tc>
        <w:tc>
          <w:tcPr>
            <w:tcW w:w="0" w:type="dxa"/>
            <w:vAlign w:val="bottom"/>
          </w:tcPr>
          <w:p>
            <w:pPr>
              <w:spacing w:after="0"/>
              <w:rPr>
                <w:sz w:val="1"/>
                <w:szCs w:val="1"/>
                <w:color w:val="auto"/>
              </w:rPr>
            </w:pPr>
          </w:p>
        </w:tc>
      </w:tr>
      <w:tr>
        <w:trPr>
          <w:trHeight w:val="219"/>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 Jones Blackhurst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155,078,470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98.7 %</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2,097,106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77,160</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22,047,861</w:t>
            </w:r>
          </w:p>
        </w:tc>
        <w:tc>
          <w:tcPr>
            <w:tcW w:w="0" w:type="dxa"/>
            <w:vAlign w:val="bottom"/>
          </w:tcPr>
          <w:p>
            <w:pPr>
              <w:spacing w:after="0"/>
              <w:rPr>
                <w:sz w:val="1"/>
                <w:szCs w:val="1"/>
                <w:color w:val="auto"/>
              </w:rPr>
            </w:pPr>
          </w:p>
        </w:tc>
      </w:tr>
      <w:tr>
        <w:trPr>
          <w:trHeight w:val="213"/>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Frank J. Fahrenkopf, Jr.</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138,676,487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88.2 %</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18,505,815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70,434</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22,047,861</w:t>
            </w:r>
          </w:p>
        </w:tc>
        <w:tc>
          <w:tcPr>
            <w:tcW w:w="0" w:type="dxa"/>
            <w:vAlign w:val="bottom"/>
          </w:tcPr>
          <w:p>
            <w:pPr>
              <w:spacing w:after="0"/>
              <w:rPr>
                <w:sz w:val="1"/>
                <w:szCs w:val="1"/>
                <w:color w:val="auto"/>
              </w:rPr>
            </w:pPr>
          </w:p>
        </w:tc>
      </w:tr>
      <w:tr>
        <w:trPr>
          <w:trHeight w:val="219"/>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Kim Harris Jones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155,542,635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98.9 %</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1,652,800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57,301</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22,047,861</w:t>
            </w:r>
          </w:p>
        </w:tc>
        <w:tc>
          <w:tcPr>
            <w:tcW w:w="0" w:type="dxa"/>
            <w:vAlign w:val="bottom"/>
          </w:tcPr>
          <w:p>
            <w:pPr>
              <w:spacing w:after="0"/>
              <w:rPr>
                <w:sz w:val="1"/>
                <w:szCs w:val="1"/>
                <w:color w:val="auto"/>
              </w:rPr>
            </w:pPr>
          </w:p>
        </w:tc>
      </w:tr>
      <w:tr>
        <w:trPr>
          <w:trHeight w:val="213"/>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Jesse Lynn</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156,714,584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99.7 %</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479,603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58,549</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22,047,861</w:t>
            </w:r>
          </w:p>
        </w:tc>
        <w:tc>
          <w:tcPr>
            <w:tcW w:w="0" w:type="dxa"/>
            <w:vAlign w:val="bottom"/>
          </w:tcPr>
          <w:p>
            <w:pPr>
              <w:spacing w:after="0"/>
              <w:rPr>
                <w:sz w:val="1"/>
                <w:szCs w:val="1"/>
                <w:color w:val="auto"/>
              </w:rPr>
            </w:pPr>
          </w:p>
        </w:tc>
      </w:tr>
      <w:tr>
        <w:trPr>
          <w:trHeight w:val="219"/>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Courtney R. Mather</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156,207,893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99.4 %</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987,563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57,280</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22,047,861</w:t>
            </w:r>
          </w:p>
        </w:tc>
        <w:tc>
          <w:tcPr>
            <w:tcW w:w="0" w:type="dxa"/>
            <w:vAlign w:val="bottom"/>
          </w:tcPr>
          <w:p>
            <w:pPr>
              <w:spacing w:after="0"/>
              <w:rPr>
                <w:sz w:val="1"/>
                <w:szCs w:val="1"/>
                <w:color w:val="auto"/>
              </w:rPr>
            </w:pPr>
          </w:p>
        </w:tc>
      </w:tr>
      <w:tr>
        <w:trPr>
          <w:trHeight w:val="213"/>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Ted Papapostolou</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151,977,304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96.7 %</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5,214,008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61,424</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22,047,861</w:t>
            </w:r>
          </w:p>
        </w:tc>
        <w:tc>
          <w:tcPr>
            <w:tcW w:w="0" w:type="dxa"/>
            <w:vAlign w:val="bottom"/>
          </w:tcPr>
          <w:p>
            <w:pPr>
              <w:spacing w:after="0"/>
              <w:rPr>
                <w:sz w:val="1"/>
                <w:szCs w:val="1"/>
                <w:color w:val="auto"/>
              </w:rPr>
            </w:pPr>
          </w:p>
        </w:tc>
      </w:tr>
      <w:tr>
        <w:trPr>
          <w:trHeight w:val="219"/>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E. Pegram</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155,779,341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99.1 %</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1,415,744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57,651</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22,047,861</w:t>
            </w:r>
          </w:p>
        </w:tc>
        <w:tc>
          <w:tcPr>
            <w:tcW w:w="0" w:type="dxa"/>
            <w:vAlign w:val="bottom"/>
          </w:tcPr>
          <w:p>
            <w:pPr>
              <w:spacing w:after="0"/>
              <w:rPr>
                <w:sz w:val="1"/>
                <w:szCs w:val="1"/>
                <w:color w:val="auto"/>
              </w:rPr>
            </w:pPr>
          </w:p>
        </w:tc>
      </w:tr>
      <w:tr>
        <w:trPr>
          <w:trHeight w:val="213"/>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Thomas R. Reeg</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156,565,166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99.6 %</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631,783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55,787</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22,047,861</w:t>
            </w:r>
          </w:p>
        </w:tc>
        <w:tc>
          <w:tcPr>
            <w:tcW w:w="0" w:type="dxa"/>
            <w:vAlign w:val="bottom"/>
          </w:tcPr>
          <w:p>
            <w:pPr>
              <w:spacing w:after="0"/>
              <w:rPr>
                <w:sz w:val="1"/>
                <w:szCs w:val="1"/>
                <w:color w:val="auto"/>
              </w:rPr>
            </w:pPr>
          </w:p>
        </w:tc>
      </w:tr>
      <w:tr>
        <w:trPr>
          <w:trHeight w:val="219"/>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 P. Tomick</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153,220,598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97.5 %</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3,974,898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57,240</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22,047,861</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520"/>
        <w:spacing w:after="0" w:line="438" w:lineRule="auto"/>
        <w:rPr>
          <w:sz w:val="20"/>
          <w:szCs w:val="20"/>
          <w:color w:val="auto"/>
        </w:rPr>
      </w:pPr>
      <w:r>
        <w:rPr>
          <w:rFonts w:ascii="Times New Roman" w:cs="Times New Roman" w:eastAsia="Times New Roman" w:hAnsi="Times New Roman"/>
          <w:sz w:val="18"/>
          <w:szCs w:val="18"/>
          <w:color w:val="auto"/>
        </w:rPr>
        <w:t xml:space="preserve">Each of the foregoing directors was elected by a majority of the votes cast at the 2026 Annual Meeting at which a quorum was present. </w:t>
      </w:r>
      <w:r>
        <w:rPr>
          <w:rFonts w:ascii="Times New Roman" w:cs="Times New Roman" w:eastAsia="Times New Roman" w:hAnsi="Times New Roman"/>
          <w:sz w:val="18"/>
          <w:szCs w:val="18"/>
          <w:b w:val="1"/>
          <w:bCs w:val="1"/>
          <w:i w:val="1"/>
          <w:iCs w:val="1"/>
          <w:color w:val="auto"/>
        </w:rPr>
        <w:t>Proposal 2: Advisory Vote to Approve Named Executive Officer Compensation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shareholders approved, on an advisory basis, the compensation paid to the Company’s named executive officers as disclosed in the Company’s Proxy Statement. The number and type of votes cast with respect to the proposal, as well as the number of broker non-votes with respect to the proposal, were as follows:</w:t>
      </w:r>
    </w:p>
    <w:p>
      <w:pPr>
        <w:spacing w:after="0" w:line="145"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13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 Voted</w:t>
            </w: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1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 Voted</w:t>
            </w: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Broker</w:t>
            </w:r>
          </w:p>
        </w:tc>
        <w:tc>
          <w:tcPr>
            <w:tcW w:w="0" w:type="dxa"/>
            <w:vAlign w:val="bottom"/>
          </w:tcPr>
          <w:p>
            <w:pPr>
              <w:spacing w:after="0"/>
              <w:rPr>
                <w:sz w:val="1"/>
                <w:szCs w:val="1"/>
                <w:color w:val="auto"/>
              </w:rPr>
            </w:pPr>
          </w:p>
        </w:tc>
      </w:tr>
      <w:tr>
        <w:trPr>
          <w:trHeight w:val="214"/>
        </w:trPr>
        <w:tc>
          <w:tcPr>
            <w:tcW w:w="132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Non-Votes</w:t>
            </w:r>
          </w:p>
        </w:tc>
        <w:tc>
          <w:tcPr>
            <w:tcW w:w="0" w:type="dxa"/>
            <w:vAlign w:val="bottom"/>
          </w:tcPr>
          <w:p>
            <w:pPr>
              <w:spacing w:after="0"/>
              <w:rPr>
                <w:sz w:val="1"/>
                <w:szCs w:val="1"/>
                <w:color w:val="auto"/>
              </w:rPr>
            </w:pPr>
          </w:p>
        </w:tc>
      </w:tr>
      <w:tr>
        <w:trPr>
          <w:trHeight w:val="211"/>
        </w:trPr>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134,624,250</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85.7 %</w:t>
            </w:r>
          </w:p>
        </w:tc>
        <w:tc>
          <w:tcPr>
            <w:tcW w:w="4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22,548,056</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4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80,430</w:t>
            </w:r>
          </w:p>
        </w:tc>
        <w:tc>
          <w:tcPr>
            <w:tcW w:w="4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22,047,861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Proposal 2 was approved.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Ratification of Appointment of Independent Registered Public Accounting Firm</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shareholders approved the ratification of Deloitte &amp; Touche LLP as the Company’s independent registered public accounting firm for the fiscal year ending December 31, 2026. The number and type of votes cast with respect to the proposal were as follows:</w:t>
      </w:r>
    </w:p>
    <w:p>
      <w:pPr>
        <w:spacing w:after="0" w:line="131"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13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 Voted</w:t>
            </w: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1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 Voted</w:t>
            </w: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Broker</w:t>
            </w:r>
          </w:p>
        </w:tc>
        <w:tc>
          <w:tcPr>
            <w:tcW w:w="0" w:type="dxa"/>
            <w:vAlign w:val="bottom"/>
          </w:tcPr>
          <w:p>
            <w:pPr>
              <w:spacing w:after="0"/>
              <w:rPr>
                <w:sz w:val="1"/>
                <w:szCs w:val="1"/>
                <w:color w:val="auto"/>
              </w:rPr>
            </w:pPr>
          </w:p>
        </w:tc>
      </w:tr>
      <w:tr>
        <w:trPr>
          <w:trHeight w:val="214"/>
        </w:trPr>
        <w:tc>
          <w:tcPr>
            <w:tcW w:w="132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Non-Votes</w:t>
            </w:r>
          </w:p>
        </w:tc>
        <w:tc>
          <w:tcPr>
            <w:tcW w:w="0" w:type="dxa"/>
            <w:vAlign w:val="bottom"/>
          </w:tcPr>
          <w:p>
            <w:pPr>
              <w:spacing w:after="0"/>
              <w:rPr>
                <w:sz w:val="1"/>
                <w:szCs w:val="1"/>
                <w:color w:val="auto"/>
              </w:rPr>
            </w:pPr>
          </w:p>
        </w:tc>
      </w:tr>
      <w:tr>
        <w:trPr>
          <w:trHeight w:val="211"/>
        </w:trPr>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178,889,019</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99.8 %</w:t>
            </w:r>
          </w:p>
        </w:tc>
        <w:tc>
          <w:tcPr>
            <w:tcW w:w="4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317,670</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4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93,908</w:t>
            </w:r>
          </w:p>
        </w:tc>
        <w:tc>
          <w:tcPr>
            <w:tcW w:w="4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Proposal 3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5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CAESARS ENTERTAINMENT, INC.</w:t>
      </w:r>
    </w:p>
    <w:p>
      <w:pPr>
        <w:spacing w:after="0" w:line="293" w:lineRule="exact"/>
        <w:rPr>
          <w:sz w:val="20"/>
          <w:szCs w:val="20"/>
          <w:color w:val="auto"/>
        </w:rPr>
      </w:pPr>
    </w:p>
    <w:p>
      <w:pPr>
        <w:ind w:left="20"/>
        <w:spacing w:after="0"/>
        <w:tabs>
          <w:tab w:leader="none" w:pos="640" w:val="left"/>
          <w:tab w:leader="none" w:pos="4980" w:val="left"/>
          <w:tab w:leader="none" w:pos="7880" w:val="left"/>
        </w:tabs>
        <w:rPr>
          <w:sz w:val="20"/>
          <w:szCs w:val="20"/>
          <w:color w:val="auto"/>
        </w:rPr>
      </w:pPr>
      <w:r>
        <w:rPr>
          <w:rFonts w:ascii="Times New Roman" w:cs="Times New Roman" w:eastAsia="Times New Roman" w:hAnsi="Times New Roman"/>
          <w:sz w:val="18"/>
          <w:szCs w:val="18"/>
          <w:color w:val="auto"/>
        </w:rPr>
        <w:t>Date:</w:t>
        <w:tab/>
        <w:t>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34290</wp:posOffset>
            </wp:positionV>
            <wp:extent cx="2931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3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Edmund L. Quatmann, Jr.</w:t>
      </w:r>
    </w:p>
    <w:p>
      <w:pPr>
        <w:spacing w:after="0" w:line="5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Chief Legal Officer, Executive Vice President and Secretary</w:t>
      </w:r>
    </w:p>
    <w:sectPr>
      <w:pgSz w:w="11900" w:h="16838" w:orient="portrait"/>
      <w:cols w:equalWidth="0" w:num="1">
        <w:col w:w="11220"/>
      </w:cols>
      <w:pgMar w:left="320" w:top="108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2026-06-12T05:07:06Z</dcterms:created>
  <dcterms:modified xsi:type="dcterms:W3CDTF">2026-06-12T05:07:06Z</dcterms:modified>
</cp:coreProperties>
</file>