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156845</wp:posOffset>
            </wp:positionH>
            <wp:positionV relativeFrom="page">
              <wp:posOffset>318135</wp:posOffset>
            </wp:positionV>
            <wp:extent cx="7247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335280</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9" w:lineRule="exact"/>
        <w:rPr>
          <w:sz w:val="24"/>
          <w:szCs w:val="24"/>
          <w:color w:val="auto"/>
        </w:rPr>
      </w:pPr>
    </w:p>
    <w:p>
      <w:pPr>
        <w:ind w:left="480" w:hanging="473"/>
        <w:spacing w:after="0"/>
        <w:tabs>
          <w:tab w:leader="none" w:pos="4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5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fiscal year ended December 31, 2019</w:t>
      </w:r>
    </w:p>
    <w:p>
      <w:pPr>
        <w:spacing w:after="0" w:line="56" w:lineRule="exact"/>
        <w:rPr>
          <w:rFonts w:ascii="MS PGothic" w:cs="MS PGothic" w:eastAsia="MS PGothic" w:hAnsi="MS PGothic"/>
          <w:sz w:val="18"/>
          <w:szCs w:val="18"/>
          <w:color w:val="auto"/>
          <w:highlight w:val="black"/>
        </w:rPr>
      </w:pPr>
    </w:p>
    <w:p>
      <w:pPr>
        <w:ind w:left="560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OR</w:t>
      </w:r>
    </w:p>
    <w:p>
      <w:pPr>
        <w:ind w:left="480" w:hanging="473"/>
        <w:spacing w:after="0" w:line="188" w:lineRule="auto"/>
        <w:tabs>
          <w:tab w:leader="none" w:pos="480" w:val="left"/>
        </w:tabs>
        <w:numPr>
          <w:ilvl w:val="0"/>
          <w:numId w:val="2"/>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TRANSITION REPORT PURSUANT TO SECTION 13 OR 15(d) OF THE SECURITIES EXCHANGE ACT OF 1934</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ind w:left="460"/>
              <w:spacing w:after="0"/>
              <w:rPr>
                <w:sz w:val="20"/>
                <w:szCs w:val="20"/>
                <w:color w:val="auto"/>
              </w:rPr>
            </w:pPr>
            <w:r>
              <w:rPr>
                <w:rFonts w:ascii="Arial" w:cs="Arial" w:eastAsia="Arial" w:hAnsi="Arial"/>
                <w:sz w:val="16"/>
                <w:szCs w:val="16"/>
                <w:b w:val="1"/>
                <w:bCs w:val="1"/>
                <w:color w:val="auto"/>
              </w:rPr>
              <w:t>For the transition period</w:t>
            </w:r>
          </w:p>
        </w:tc>
        <w:tc>
          <w:tcPr>
            <w:tcW w:w="1800" w:type="dxa"/>
            <w:vAlign w:val="bottom"/>
            <w:gridSpan w:val="3"/>
          </w:tcPr>
          <w:p>
            <w:pPr>
              <w:ind w:left="40"/>
              <w:spacing w:after="0"/>
              <w:rPr>
                <w:sz w:val="20"/>
                <w:szCs w:val="20"/>
                <w:color w:val="auto"/>
              </w:rPr>
            </w:pPr>
            <w:r>
              <w:rPr>
                <w:rFonts w:ascii="Arial" w:cs="Arial" w:eastAsia="Arial" w:hAnsi="Arial"/>
                <w:sz w:val="16"/>
                <w:szCs w:val="16"/>
                <w:b w:val="1"/>
                <w:bCs w:val="1"/>
                <w:color w:val="auto"/>
              </w:rPr>
              <w:t>to</w:t>
            </w:r>
          </w:p>
        </w:tc>
        <w:tc>
          <w:tcPr>
            <w:tcW w:w="6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09"/>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4"/>
          </w:tcPr>
          <w:p>
            <w:pPr>
              <w:jc w:val="center"/>
              <w:ind w:right="653"/>
              <w:spacing w:after="0"/>
              <w:rPr>
                <w:sz w:val="20"/>
                <w:szCs w:val="20"/>
                <w:color w:val="auto"/>
              </w:rPr>
            </w:pPr>
            <w:r>
              <w:rPr>
                <w:rFonts w:ascii="Arial" w:cs="Arial" w:eastAsia="Arial" w:hAnsi="Arial"/>
                <w:sz w:val="16"/>
                <w:szCs w:val="16"/>
                <w:b w:val="1"/>
                <w:bCs w:val="1"/>
                <w:color w:val="auto"/>
                <w:w w:val="90"/>
              </w:rPr>
              <w:t>Commission File No. 001-36629</w:t>
            </w:r>
          </w:p>
        </w:tc>
        <w:tc>
          <w:tcPr>
            <w:tcW w:w="6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473"/>
        </w:trPr>
        <w:tc>
          <w:tcPr>
            <w:tcW w:w="8860" w:type="dxa"/>
            <w:vAlign w:val="bottom"/>
            <w:gridSpan w:val="8"/>
          </w:tcPr>
          <w:p>
            <w:pPr>
              <w:jc w:val="center"/>
              <w:ind w:left="2491"/>
              <w:spacing w:after="0"/>
              <w:rPr>
                <w:sz w:val="20"/>
                <w:szCs w:val="20"/>
                <w:color w:val="auto"/>
              </w:rPr>
            </w:pPr>
            <w:r>
              <w:rPr>
                <w:rFonts w:ascii="Arial" w:cs="Arial" w:eastAsia="Arial" w:hAnsi="Arial"/>
                <w:sz w:val="39"/>
                <w:szCs w:val="39"/>
                <w:b w:val="1"/>
                <w:bCs w:val="1"/>
                <w:color w:val="auto"/>
                <w:w w:val="99"/>
              </w:rPr>
              <w:t>ELDORADO RESORTS, INC.</w:t>
            </w:r>
          </w:p>
        </w:tc>
        <w:tc>
          <w:tcPr>
            <w:tcW w:w="2560" w:type="dxa"/>
            <w:vAlign w:val="bottom"/>
          </w:tcPr>
          <w:p>
            <w:pPr>
              <w:spacing w:after="0"/>
              <w:rPr>
                <w:sz w:val="24"/>
                <w:szCs w:val="24"/>
                <w:color w:val="auto"/>
              </w:rPr>
            </w:pPr>
          </w:p>
        </w:tc>
      </w:tr>
      <w:tr>
        <w:trPr>
          <w:trHeight w:val="209"/>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4"/>
          </w:tcPr>
          <w:p>
            <w:pPr>
              <w:jc w:val="center"/>
              <w:ind w:right="673"/>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c>
          <w:tcPr>
            <w:tcW w:w="6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34"/>
        </w:trPr>
        <w:tc>
          <w:tcPr>
            <w:tcW w:w="3740" w:type="dxa"/>
            <w:vAlign w:val="bottom"/>
          </w:tcPr>
          <w:p>
            <w:pPr>
              <w:jc w:val="center"/>
              <w:ind w:left="1891"/>
              <w:spacing w:after="0"/>
              <w:rPr>
                <w:sz w:val="20"/>
                <w:szCs w:val="20"/>
                <w:color w:val="auto"/>
              </w:rPr>
            </w:pPr>
            <w:r>
              <w:rPr>
                <w:rFonts w:ascii="Arial" w:cs="Arial" w:eastAsia="Arial" w:hAnsi="Arial"/>
                <w:sz w:val="16"/>
                <w:szCs w:val="16"/>
                <w:b w:val="1"/>
                <w:bCs w:val="1"/>
                <w:color w:val="auto"/>
                <w:w w:val="91"/>
              </w:rPr>
              <w:t>Nevada</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960" w:type="dxa"/>
            <w:vAlign w:val="bottom"/>
            <w:gridSpan w:val="5"/>
          </w:tcPr>
          <w:p>
            <w:pPr>
              <w:jc w:val="center"/>
              <w:ind w:right="660"/>
              <w:spacing w:after="0"/>
              <w:rPr>
                <w:sz w:val="20"/>
                <w:szCs w:val="20"/>
                <w:color w:val="auto"/>
              </w:rPr>
            </w:pPr>
            <w:r>
              <w:rPr>
                <w:rFonts w:ascii="Arial" w:cs="Arial" w:eastAsia="Arial" w:hAnsi="Arial"/>
                <w:sz w:val="16"/>
                <w:szCs w:val="16"/>
                <w:b w:val="1"/>
                <w:bCs w:val="1"/>
                <w:color w:val="auto"/>
                <w:w w:val="91"/>
              </w:rPr>
              <w:t>46-3657681</w:t>
            </w:r>
          </w:p>
        </w:tc>
      </w:tr>
      <w:tr>
        <w:trPr>
          <w:trHeight w:val="147"/>
        </w:trPr>
        <w:tc>
          <w:tcPr>
            <w:tcW w:w="3740" w:type="dxa"/>
            <w:vAlign w:val="bottom"/>
          </w:tcPr>
          <w:p>
            <w:pPr>
              <w:jc w:val="center"/>
              <w:ind w:left="1891"/>
              <w:spacing w:after="0" w:line="148" w:lineRule="exact"/>
              <w:rPr>
                <w:sz w:val="20"/>
                <w:szCs w:val="20"/>
                <w:color w:val="auto"/>
              </w:rPr>
            </w:pPr>
            <w:r>
              <w:rPr>
                <w:rFonts w:ascii="Arial" w:cs="Arial" w:eastAsia="Arial" w:hAnsi="Arial"/>
                <w:sz w:val="13"/>
                <w:szCs w:val="13"/>
                <w:b w:val="1"/>
                <w:bCs w:val="1"/>
                <w:color w:val="auto"/>
                <w:w w:val="94"/>
              </w:rPr>
              <w:t>(State or other jurisdiction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80" w:type="dxa"/>
            <w:vAlign w:val="bottom"/>
            <w:gridSpan w:val="3"/>
          </w:tcPr>
          <w:p>
            <w:pPr>
              <w:jc w:val="center"/>
              <w:ind w:right="1640"/>
              <w:spacing w:after="0" w:line="148" w:lineRule="exact"/>
              <w:rPr>
                <w:sz w:val="20"/>
                <w:szCs w:val="20"/>
                <w:color w:val="auto"/>
              </w:rPr>
            </w:pPr>
            <w:r>
              <w:rPr>
                <w:rFonts w:ascii="Arial" w:cs="Arial" w:eastAsia="Arial" w:hAnsi="Arial"/>
                <w:sz w:val="13"/>
                <w:szCs w:val="13"/>
                <w:b w:val="1"/>
                <w:bCs w:val="1"/>
                <w:color w:val="auto"/>
                <w:w w:val="98"/>
              </w:rPr>
              <w:t>(I.R.S. Employer</w:t>
            </w:r>
          </w:p>
        </w:tc>
      </w:tr>
      <w:tr>
        <w:trPr>
          <w:trHeight w:val="173"/>
        </w:trPr>
        <w:tc>
          <w:tcPr>
            <w:tcW w:w="3740" w:type="dxa"/>
            <w:vAlign w:val="bottom"/>
          </w:tcPr>
          <w:p>
            <w:pPr>
              <w:jc w:val="center"/>
              <w:ind w:left="1911"/>
              <w:spacing w:after="0"/>
              <w:rPr>
                <w:sz w:val="20"/>
                <w:szCs w:val="20"/>
                <w:color w:val="auto"/>
              </w:rPr>
            </w:pPr>
            <w:r>
              <w:rPr>
                <w:rFonts w:ascii="Arial" w:cs="Arial" w:eastAsia="Arial" w:hAnsi="Arial"/>
                <w:sz w:val="13"/>
                <w:szCs w:val="13"/>
                <w:b w:val="1"/>
                <w:bCs w:val="1"/>
                <w:color w:val="auto"/>
                <w:w w:val="93"/>
              </w:rPr>
              <w:t>incorporation or organization)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80" w:type="dxa"/>
            <w:vAlign w:val="bottom"/>
            <w:gridSpan w:val="3"/>
          </w:tcPr>
          <w:p>
            <w:pPr>
              <w:jc w:val="center"/>
              <w:ind w:right="1640"/>
              <w:spacing w:after="0"/>
              <w:rPr>
                <w:sz w:val="20"/>
                <w:szCs w:val="20"/>
                <w:color w:val="auto"/>
              </w:rPr>
            </w:pPr>
            <w:r>
              <w:rPr>
                <w:rFonts w:ascii="Arial" w:cs="Arial" w:eastAsia="Arial" w:hAnsi="Arial"/>
                <w:sz w:val="13"/>
                <w:szCs w:val="13"/>
                <w:b w:val="1"/>
                <w:bCs w:val="1"/>
                <w:color w:val="auto"/>
                <w:w w:val="96"/>
              </w:rPr>
              <w:t>Identification No.)</w:t>
            </w:r>
          </w:p>
        </w:tc>
      </w:tr>
      <w:tr>
        <w:trPr>
          <w:trHeight w:val="214"/>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4"/>
          </w:tcPr>
          <w:p>
            <w:pPr>
              <w:jc w:val="center"/>
              <w:ind w:right="653"/>
              <w:spacing w:after="0"/>
              <w:rPr>
                <w:sz w:val="20"/>
                <w:szCs w:val="20"/>
                <w:color w:val="auto"/>
              </w:rPr>
            </w:pPr>
            <w:r>
              <w:rPr>
                <w:rFonts w:ascii="Arial" w:cs="Arial" w:eastAsia="Arial" w:hAnsi="Arial"/>
                <w:sz w:val="16"/>
                <w:szCs w:val="16"/>
                <w:b w:val="1"/>
                <w:bCs w:val="1"/>
                <w:color w:val="auto"/>
                <w:w w:val="90"/>
              </w:rPr>
              <w:t>100 West Liberty Street, Suite 1150</w:t>
            </w:r>
          </w:p>
        </w:tc>
        <w:tc>
          <w:tcPr>
            <w:tcW w:w="6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02"/>
        </w:trPr>
        <w:tc>
          <w:tcPr>
            <w:tcW w:w="3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jc w:val="center"/>
              <w:ind w:left="1005"/>
              <w:spacing w:after="0"/>
              <w:rPr>
                <w:sz w:val="20"/>
                <w:szCs w:val="20"/>
                <w:color w:val="auto"/>
              </w:rPr>
            </w:pPr>
            <w:r>
              <w:rPr>
                <w:rFonts w:ascii="Arial" w:cs="Arial" w:eastAsia="Arial" w:hAnsi="Arial"/>
                <w:sz w:val="16"/>
                <w:szCs w:val="16"/>
                <w:b w:val="1"/>
                <w:bCs w:val="1"/>
                <w:color w:val="auto"/>
                <w:w w:val="90"/>
              </w:rPr>
              <w:t>Reno, Nevada 89501</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173"/>
        </w:trPr>
        <w:tc>
          <w:tcPr>
            <w:tcW w:w="3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gridSpan w:val="4"/>
          </w:tcPr>
          <w:p>
            <w:pPr>
              <w:jc w:val="center"/>
              <w:ind w:right="673"/>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60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202"/>
        </w:trPr>
        <w:tc>
          <w:tcPr>
            <w:tcW w:w="3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gridSpan w:val="4"/>
          </w:tcPr>
          <w:p>
            <w:pPr>
              <w:jc w:val="center"/>
              <w:ind w:right="653"/>
              <w:spacing w:after="0" w:line="184" w:lineRule="exact"/>
              <w:rPr>
                <w:sz w:val="20"/>
                <w:szCs w:val="20"/>
                <w:color w:val="auto"/>
              </w:rPr>
            </w:pPr>
            <w:r>
              <w:rPr>
                <w:rFonts w:ascii="Arial" w:cs="Arial" w:eastAsia="Arial" w:hAnsi="Arial"/>
                <w:sz w:val="16"/>
                <w:szCs w:val="16"/>
                <w:b w:val="1"/>
                <w:bCs w:val="1"/>
                <w:color w:val="auto"/>
                <w:w w:val="90"/>
              </w:rPr>
              <w:t>Telephone: (775) 328</w:t>
            </w:r>
            <w:r>
              <w:rPr>
                <w:rFonts w:ascii="MS PGothic" w:cs="MS PGothic" w:eastAsia="MS PGothic" w:hAnsi="MS PGothic"/>
                <w:sz w:val="16"/>
                <w:szCs w:val="16"/>
                <w:b w:val="1"/>
                <w:bCs w:val="1"/>
                <w:color w:val="auto"/>
                <w:w w:val="90"/>
              </w:rPr>
              <w:t>‑</w:t>
            </w:r>
            <w:r>
              <w:rPr>
                <w:rFonts w:ascii="Arial" w:cs="Arial" w:eastAsia="Arial" w:hAnsi="Arial"/>
                <w:sz w:val="16"/>
                <w:szCs w:val="16"/>
                <w:b w:val="1"/>
                <w:bCs w:val="1"/>
                <w:color w:val="auto"/>
                <w:w w:val="90"/>
              </w:rPr>
              <w:t>0100</w:t>
            </w:r>
          </w:p>
        </w:tc>
        <w:tc>
          <w:tcPr>
            <w:tcW w:w="60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173"/>
        </w:trPr>
        <w:tc>
          <w:tcPr>
            <w:tcW w:w="3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gridSpan w:val="4"/>
          </w:tcPr>
          <w:p>
            <w:pPr>
              <w:jc w:val="center"/>
              <w:ind w:right="673"/>
              <w:spacing w:after="0"/>
              <w:rPr>
                <w:sz w:val="20"/>
                <w:szCs w:val="20"/>
                <w:color w:val="auto"/>
              </w:rPr>
            </w:pPr>
            <w:r>
              <w:rPr>
                <w:rFonts w:ascii="Arial" w:cs="Arial" w:eastAsia="Arial" w:hAnsi="Arial"/>
                <w:sz w:val="13"/>
                <w:szCs w:val="13"/>
                <w:b w:val="1"/>
                <w:bCs w:val="1"/>
                <w:color w:val="auto"/>
                <w:w w:val="91"/>
              </w:rPr>
              <w:t>(Registrant’s telephone number, including area code)</w:t>
            </w:r>
          </w:p>
        </w:tc>
        <w:tc>
          <w:tcPr>
            <w:tcW w:w="60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222"/>
        </w:trPr>
        <w:tc>
          <w:tcPr>
            <w:tcW w:w="3740" w:type="dxa"/>
            <w:vAlign w:val="bottom"/>
          </w:tcPr>
          <w:p>
            <w:pPr>
              <w:spacing w:after="0"/>
              <w:rPr>
                <w:sz w:val="19"/>
                <w:szCs w:val="19"/>
                <w:color w:val="auto"/>
              </w:rPr>
            </w:pPr>
          </w:p>
        </w:tc>
        <w:tc>
          <w:tcPr>
            <w:tcW w:w="4520" w:type="dxa"/>
            <w:vAlign w:val="bottom"/>
            <w:gridSpan w:val="6"/>
          </w:tcPr>
          <w:p>
            <w:pPr>
              <w:jc w:val="center"/>
              <w:ind w:right="493"/>
              <w:spacing w:after="0"/>
              <w:rPr>
                <w:sz w:val="20"/>
                <w:szCs w:val="20"/>
                <w:color w:val="auto"/>
              </w:rPr>
            </w:pPr>
            <w:r>
              <w:rPr>
                <w:rFonts w:ascii="Arial" w:cs="Arial" w:eastAsia="Arial" w:hAnsi="Arial"/>
                <w:sz w:val="16"/>
                <w:szCs w:val="16"/>
                <w:b w:val="1"/>
                <w:bCs w:val="1"/>
                <w:color w:val="auto"/>
                <w:w w:val="89"/>
              </w:rPr>
              <w:t>Securities registered pursuant to Section 12(b) of the Act:</w:t>
            </w:r>
          </w:p>
        </w:tc>
        <w:tc>
          <w:tcPr>
            <w:tcW w:w="60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19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Title of each class</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Borders>
              <w:bottom w:val="single" w:sz="8" w:color="auto"/>
            </w:tcBorders>
          </w:tcPr>
          <w:p>
            <w:pPr>
              <w:jc w:val="center"/>
              <w:ind w:left="785"/>
              <w:spacing w:after="0"/>
              <w:rPr>
                <w:sz w:val="20"/>
                <w:szCs w:val="20"/>
                <w:color w:val="auto"/>
              </w:rPr>
            </w:pPr>
            <w:r>
              <w:rPr>
                <w:rFonts w:ascii="Arial" w:cs="Arial" w:eastAsia="Arial" w:hAnsi="Arial"/>
                <w:sz w:val="13"/>
                <w:szCs w:val="13"/>
                <w:b w:val="1"/>
                <w:bCs w:val="1"/>
                <w:color w:val="auto"/>
                <w:w w:val="92"/>
              </w:rPr>
              <w:t>Trading symbol</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0"/>
              </w:rPr>
              <w:t>Name of each exchange on which registered</w:t>
            </w:r>
          </w:p>
        </w:tc>
      </w:tr>
      <w:tr>
        <w:trPr>
          <w:trHeight w:val="202"/>
        </w:trPr>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0"/>
              </w:rPr>
              <w:t>Common Stock, $.00001, par value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jc w:val="center"/>
              <w:ind w:left="805"/>
              <w:spacing w:after="0"/>
              <w:rPr>
                <w:sz w:val="20"/>
                <w:szCs w:val="20"/>
                <w:color w:val="auto"/>
              </w:rPr>
            </w:pPr>
            <w:r>
              <w:rPr>
                <w:rFonts w:ascii="Arial" w:cs="Arial" w:eastAsia="Arial" w:hAnsi="Arial"/>
                <w:sz w:val="13"/>
                <w:szCs w:val="13"/>
                <w:b w:val="1"/>
                <w:bCs w:val="1"/>
                <w:color w:val="auto"/>
              </w:rPr>
              <w:t>ERI</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160" w:type="dxa"/>
            <w:vAlign w:val="bottom"/>
            <w:gridSpan w:val="2"/>
          </w:tcPr>
          <w:p>
            <w:pPr>
              <w:jc w:val="center"/>
              <w:ind w:right="740"/>
              <w:spacing w:after="0"/>
              <w:rPr>
                <w:sz w:val="20"/>
                <w:szCs w:val="20"/>
                <w:color w:val="auto"/>
              </w:rPr>
            </w:pPr>
            <w:r>
              <w:rPr>
                <w:rFonts w:ascii="Arial" w:cs="Arial" w:eastAsia="Arial" w:hAnsi="Arial"/>
                <w:sz w:val="16"/>
                <w:szCs w:val="16"/>
                <w:b w:val="1"/>
                <w:bCs w:val="1"/>
                <w:color w:val="auto"/>
                <w:w w:val="95"/>
              </w:rPr>
              <w:t>NASDAQ Stock Market</w:t>
            </w:r>
          </w:p>
        </w:tc>
      </w:tr>
      <w:tr>
        <w:trPr>
          <w:trHeight w:val="227"/>
        </w:trPr>
        <w:tc>
          <w:tcPr>
            <w:tcW w:w="8260" w:type="dxa"/>
            <w:vAlign w:val="bottom"/>
            <w:gridSpan w:val="7"/>
          </w:tcPr>
          <w:p>
            <w:pPr>
              <w:jc w:val="center"/>
              <w:ind w:left="3071"/>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60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3"/>
        </w:trPr>
        <w:tc>
          <w:tcPr>
            <w:tcW w:w="8260" w:type="dxa"/>
            <w:vAlign w:val="bottom"/>
            <w:gridSpan w:val="7"/>
          </w:tcPr>
          <w:p>
            <w:pPr>
              <w:ind w:left="560"/>
              <w:spacing w:after="0"/>
              <w:rPr>
                <w:sz w:val="20"/>
                <w:szCs w:val="20"/>
                <w:color w:val="auto"/>
              </w:rPr>
            </w:pPr>
            <w:r>
              <w:rPr>
                <w:rFonts w:ascii="Arial" w:cs="Arial" w:eastAsia="Arial" w:hAnsi="Arial"/>
                <w:sz w:val="16"/>
                <w:szCs w:val="16"/>
                <w:color w:val="auto"/>
                <w:w w:val="92"/>
              </w:rPr>
              <w:t>Indicate by check mark if the registrant is a well-known seasoned issuer, as defined in Rule 405 of the Securities Act.</w:t>
            </w:r>
          </w:p>
        </w:tc>
        <w:tc>
          <w:tcPr>
            <w:tcW w:w="600" w:type="dxa"/>
            <w:vAlign w:val="bottom"/>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256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53"/>
        </w:trPr>
        <w:tc>
          <w:tcPr>
            <w:tcW w:w="8260" w:type="dxa"/>
            <w:vAlign w:val="bottom"/>
            <w:gridSpan w:val="7"/>
          </w:tcPr>
          <w:p>
            <w:pPr>
              <w:ind w:left="560"/>
              <w:spacing w:after="0"/>
              <w:rPr>
                <w:sz w:val="20"/>
                <w:szCs w:val="20"/>
                <w:color w:val="auto"/>
              </w:rPr>
            </w:pPr>
            <w:r>
              <w:rPr>
                <w:rFonts w:ascii="Arial" w:cs="Arial" w:eastAsia="Arial" w:hAnsi="Arial"/>
                <w:sz w:val="16"/>
                <w:szCs w:val="16"/>
                <w:color w:val="auto"/>
                <w:w w:val="91"/>
              </w:rPr>
              <w:t>Indicate by check mark if the registrant is not required to file reports pursuant to Section 13 or Section 15(d) of the Act.</w:t>
            </w:r>
          </w:p>
        </w:tc>
        <w:tc>
          <w:tcPr>
            <w:tcW w:w="600" w:type="dxa"/>
            <w:vAlign w:val="bottom"/>
          </w:tcPr>
          <w:p>
            <w:pPr>
              <w:ind w:left="14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256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18" w:lineRule="exact"/>
        <w:rPr>
          <w:sz w:val="24"/>
          <w:szCs w:val="24"/>
          <w:color w:val="auto"/>
        </w:rPr>
      </w:pPr>
    </w:p>
    <w:p>
      <w:pPr>
        <w:ind w:right="600" w:firstLine="555"/>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 w:lineRule="exact"/>
        <w:rPr>
          <w:sz w:val="24"/>
          <w:szCs w:val="24"/>
          <w:color w:val="auto"/>
        </w:rPr>
      </w:pPr>
    </w:p>
    <w:p>
      <w:pPr>
        <w:ind w:right="120" w:firstLine="555"/>
        <w:spacing w:after="0" w:line="212" w:lineRule="exact"/>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5"/>
          <w:szCs w:val="15"/>
          <w:color w:val="auto"/>
        </w:rPr>
        <w:t>‑</w:t>
      </w:r>
      <w:r>
        <w:rPr>
          <w:rFonts w:ascii="Arial" w:cs="Arial" w:eastAsia="Arial" w:hAnsi="Arial"/>
          <w:sz w:val="15"/>
          <w:szCs w:val="15"/>
          <w:color w:val="auto"/>
        </w:rPr>
        <w:t xml:space="preserve">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 w:lineRule="exact"/>
        <w:rPr>
          <w:sz w:val="24"/>
          <w:szCs w:val="24"/>
          <w:color w:val="auto"/>
        </w:rPr>
      </w:pPr>
    </w:p>
    <w:p>
      <w:pPr>
        <w:jc w:val="both"/>
        <w:ind w:right="120" w:firstLine="555"/>
        <w:spacing w:after="0" w:line="203"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w:t>
      </w:r>
      <w:r>
        <w:rPr>
          <w:rFonts w:ascii="MS PGothic" w:cs="MS PGothic" w:eastAsia="MS PGothic" w:hAnsi="MS PGothic"/>
          <w:sz w:val="14"/>
          <w:szCs w:val="14"/>
          <w:color w:val="auto"/>
        </w:rPr>
        <w:t>‑</w:t>
      </w:r>
      <w:r>
        <w:rPr>
          <w:rFonts w:ascii="Arial" w:cs="Arial" w:eastAsia="Arial" w:hAnsi="Arial"/>
          <w:sz w:val="14"/>
          <w:szCs w:val="14"/>
          <w:color w:val="auto"/>
        </w:rPr>
        <w:t>accelerated filer, a smaller reporting company, or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060"/>
              <w:spacing w:after="0"/>
              <w:rPr>
                <w:sz w:val="20"/>
                <w:szCs w:val="20"/>
                <w:color w:val="auto"/>
              </w:rPr>
            </w:pPr>
            <w:r>
              <w:rPr>
                <w:rFonts w:ascii="Arial" w:cs="Arial" w:eastAsia="Arial" w:hAnsi="Arial"/>
                <w:sz w:val="16"/>
                <w:szCs w:val="16"/>
                <w:color w:val="auto"/>
              </w:rPr>
              <w:t>Accelerated filer</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1"/>
        </w:trPr>
        <w:tc>
          <w:tcPr>
            <w:tcW w:w="2020" w:type="dxa"/>
            <w:vAlign w:val="bottom"/>
          </w:tcPr>
          <w:p>
            <w:pPr>
              <w:spacing w:after="0" w:line="184"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accelerated filer</w:t>
            </w:r>
          </w:p>
        </w:tc>
        <w:tc>
          <w:tcPr>
            <w:tcW w:w="350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060"/>
              <w:spacing w:after="0"/>
              <w:rPr>
                <w:sz w:val="20"/>
                <w:szCs w:val="20"/>
                <w:color w:val="auto"/>
              </w:rPr>
            </w:pPr>
            <w:r>
              <w:rPr>
                <w:rFonts w:ascii="Arial" w:cs="Arial" w:eastAsia="Arial" w:hAnsi="Arial"/>
                <w:sz w:val="16"/>
                <w:szCs w:val="16"/>
                <w:color w:val="auto"/>
              </w:rPr>
              <w:t>Smaller reporting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3"/>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2"/>
                <w:szCs w:val="22"/>
                <w:color w:val="auto"/>
              </w:rPr>
            </w:pPr>
          </w:p>
        </w:tc>
        <w:tc>
          <w:tcPr>
            <w:tcW w:w="400" w:type="dxa"/>
            <w:vAlign w:val="bottom"/>
          </w:tcPr>
          <w:p>
            <w:pPr>
              <w:spacing w:after="0"/>
              <w:rPr>
                <w:sz w:val="22"/>
                <w:szCs w:val="22"/>
                <w:color w:val="auto"/>
              </w:rPr>
            </w:pPr>
          </w:p>
        </w:tc>
      </w:tr>
    </w:tbl>
    <w:p>
      <w:pPr>
        <w:spacing w:after="0" w:line="85" w:lineRule="exact"/>
        <w:rPr>
          <w:sz w:val="24"/>
          <w:szCs w:val="24"/>
          <w:color w:val="auto"/>
        </w:rPr>
      </w:pPr>
    </w:p>
    <w:p>
      <w:pPr>
        <w:ind w:right="340" w:firstLine="555"/>
        <w:spacing w:after="0" w:line="212" w:lineRule="exact"/>
        <w:rPr>
          <w:sz w:val="20"/>
          <w:szCs w:val="20"/>
          <w:color w:val="auto"/>
        </w:rPr>
      </w:pPr>
      <w:r>
        <w:rPr>
          <w:rFonts w:ascii="Arial" w:cs="Arial" w:eastAsia="Arial" w:hAnsi="Arial"/>
          <w:sz w:val="16"/>
          <w:szCs w:val="16"/>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60"/>
        <w:spacing w:after="0" w:line="184" w:lineRule="exact"/>
        <w:tabs>
          <w:tab w:leader="none" w:pos="8000" w:val="left"/>
          <w:tab w:leader="none" w:pos="8620" w:val="left"/>
        </w:tabs>
        <w:rPr>
          <w:sz w:val="20"/>
          <w:szCs w:val="20"/>
          <w:color w:val="auto"/>
        </w:rPr>
      </w:pPr>
      <w:r>
        <w:rPr>
          <w:rFonts w:ascii="Arial" w:cs="Arial" w:eastAsia="Arial" w:hAnsi="Arial"/>
          <w:sz w:val="15"/>
          <w:szCs w:val="15"/>
          <w:color w:val="auto"/>
        </w:rPr>
        <w:t>Indicate by check mark whether the registrant is a shell company (as defined in Rule 12b</w:t>
      </w:r>
      <w:r>
        <w:rPr>
          <w:rFonts w:ascii="MS PGothic" w:cs="MS PGothic" w:eastAsia="MS PGothic" w:hAnsi="MS PGothic"/>
          <w:sz w:val="15"/>
          <w:szCs w:val="15"/>
          <w:color w:val="auto"/>
        </w:rPr>
        <w:t>‑</w:t>
      </w:r>
      <w:r>
        <w:rPr>
          <w:rFonts w:ascii="Arial" w:cs="Arial" w:eastAsia="Arial" w:hAnsi="Arial"/>
          <w:sz w:val="15"/>
          <w:szCs w:val="15"/>
          <w:color w:val="auto"/>
        </w:rPr>
        <w:t>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61" w:lineRule="exact"/>
        <w:rPr>
          <w:sz w:val="24"/>
          <w:szCs w:val="24"/>
          <w:color w:val="auto"/>
        </w:rPr>
      </w:pPr>
    </w:p>
    <w:p>
      <w:pPr>
        <w:ind w:right="40" w:firstLine="555"/>
        <w:spacing w:after="0" w:line="288" w:lineRule="auto"/>
        <w:rPr>
          <w:sz w:val="20"/>
          <w:szCs w:val="20"/>
          <w:color w:val="auto"/>
        </w:rPr>
      </w:pPr>
      <w:r>
        <w:rPr>
          <w:rFonts w:ascii="Arial" w:cs="Arial" w:eastAsia="Arial" w:hAnsi="Arial"/>
          <w:sz w:val="16"/>
          <w:szCs w:val="16"/>
          <w:color w:val="auto"/>
        </w:rPr>
        <w:t>The aggregate market value of the common stock held by non-affiliates of the Registrant was $3.0 billion at June 28, 2019 based upon the closing price for the shares of ERI’s common stock as reported by The Nasdaq Stock Market.</w:t>
      </w:r>
    </w:p>
    <w:p>
      <w:pPr>
        <w:ind w:left="560"/>
        <w:spacing w:after="0"/>
        <w:rPr>
          <w:sz w:val="20"/>
          <w:szCs w:val="20"/>
          <w:color w:val="auto"/>
        </w:rPr>
      </w:pPr>
      <w:r>
        <w:rPr>
          <w:rFonts w:ascii="Arial" w:cs="Arial" w:eastAsia="Arial" w:hAnsi="Arial"/>
          <w:sz w:val="16"/>
          <w:szCs w:val="16"/>
          <w:color w:val="auto"/>
        </w:rPr>
        <w:t>As of February 24, 2020, there were 77,796,891 outstanding shares of the Registrant’s Common Stock, net of treasury shares.</w:t>
      </w:r>
    </w:p>
    <w:p>
      <w:pPr>
        <w:spacing w:after="0" w:line="53" w:lineRule="exact"/>
        <w:rPr>
          <w:sz w:val="24"/>
          <w:szCs w:val="24"/>
          <w:color w:val="auto"/>
        </w:rPr>
      </w:pPr>
    </w:p>
    <w:p>
      <w:pPr>
        <w:ind w:left="43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47" w:lineRule="exact"/>
        <w:rPr>
          <w:sz w:val="24"/>
          <w:szCs w:val="24"/>
          <w:color w:val="auto"/>
        </w:rPr>
      </w:pPr>
    </w:p>
    <w:p>
      <w:pPr>
        <w:ind w:right="80" w:firstLine="555"/>
        <w:spacing w:after="0" w:line="275" w:lineRule="auto"/>
        <w:rPr>
          <w:sz w:val="20"/>
          <w:szCs w:val="20"/>
          <w:color w:val="auto"/>
        </w:rPr>
      </w:pPr>
      <w:r>
        <w:rPr>
          <w:rFonts w:ascii="Arial" w:cs="Arial" w:eastAsia="Arial" w:hAnsi="Arial"/>
          <w:sz w:val="16"/>
          <w:szCs w:val="16"/>
          <w:color w:val="auto"/>
        </w:rPr>
        <w:t>Portions of the Registrant’s definitive proxy statement to be filed with the Commission pursuant to Regulation 14A in connection with the Registrant’s Annual Meeting of Stockholders (the “Proxy Statement”) are incorporated by reference into Part III of this report. Such Proxy Statement will be filed with the Commission not later than 120 days after the conclusion of the Registrant’s fiscal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247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63500</wp:posOffset>
            </wp:positionV>
            <wp:extent cx="7247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518160</wp:posOffset>
            </wp:positionV>
            <wp:extent cx="7273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4"/>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0" w:type="dxa"/>
            <w:vAlign w:val="bottom"/>
            <w:gridSpan w:val="9"/>
          </w:tcPr>
          <w:p>
            <w:pPr>
              <w:jc w:val="center"/>
              <w:ind w:right="3000"/>
              <w:spacing w:after="0"/>
              <w:rPr>
                <w:sz w:val="20"/>
                <w:szCs w:val="20"/>
                <w:color w:val="auto"/>
              </w:rPr>
            </w:pPr>
            <w:r>
              <w:rPr>
                <w:rFonts w:ascii="Arial" w:cs="Arial" w:eastAsia="Arial" w:hAnsi="Arial"/>
                <w:sz w:val="18"/>
                <w:szCs w:val="18"/>
                <w:b w:val="1"/>
                <w:bCs w:val="1"/>
                <w:color w:val="auto"/>
                <w:w w:val="97"/>
              </w:rPr>
              <w:t>ELDORADO RESORTS, INC.</w:t>
            </w:r>
          </w:p>
        </w:tc>
        <w:tc>
          <w:tcPr>
            <w:tcW w:w="1200" w:type="dxa"/>
            <w:vAlign w:val="bottom"/>
          </w:tcPr>
          <w:p>
            <w:pPr>
              <w:spacing w:after="0"/>
              <w:rPr>
                <w:sz w:val="18"/>
                <w:szCs w:val="18"/>
                <w:color w:val="auto"/>
              </w:rPr>
            </w:pPr>
          </w:p>
        </w:tc>
      </w:tr>
      <w:tr>
        <w:trPr>
          <w:trHeight w:val="214"/>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60" w:type="dxa"/>
            <w:vAlign w:val="bottom"/>
            <w:gridSpan w:val="12"/>
          </w:tcPr>
          <w:p>
            <w:pPr>
              <w:jc w:val="center"/>
              <w:ind w:right="1760"/>
              <w:spacing w:after="0"/>
              <w:rPr>
                <w:sz w:val="20"/>
                <w:szCs w:val="20"/>
                <w:color w:val="auto"/>
              </w:rPr>
            </w:pPr>
            <w:r>
              <w:rPr>
                <w:rFonts w:ascii="Arial" w:cs="Arial" w:eastAsia="Arial" w:hAnsi="Arial"/>
                <w:sz w:val="18"/>
                <w:szCs w:val="18"/>
                <w:b w:val="1"/>
                <w:bCs w:val="1"/>
                <w:color w:val="auto"/>
                <w:w w:val="97"/>
              </w:rPr>
              <w:t>ANNUAL REPORT FOR THE YEAR ENDED DECEMBER 31, 2019</w:t>
            </w:r>
          </w:p>
        </w:tc>
        <w:tc>
          <w:tcPr>
            <w:tcW w:w="1200" w:type="dxa"/>
            <w:vAlign w:val="bottom"/>
          </w:tcPr>
          <w:p>
            <w:pPr>
              <w:spacing w:after="0"/>
              <w:rPr>
                <w:sz w:val="18"/>
                <w:szCs w:val="18"/>
                <w:color w:val="auto"/>
              </w:rPr>
            </w:pPr>
          </w:p>
        </w:tc>
      </w:tr>
      <w:tr>
        <w:trPr>
          <w:trHeight w:val="231"/>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0" w:type="dxa"/>
            <w:vAlign w:val="bottom"/>
            <w:gridSpan w:val="9"/>
          </w:tcPr>
          <w:p>
            <w:pPr>
              <w:jc w:val="center"/>
              <w:ind w:right="3020"/>
              <w:spacing w:after="0"/>
              <w:rPr>
                <w:sz w:val="20"/>
                <w:szCs w:val="20"/>
                <w:color w:val="auto"/>
              </w:rPr>
            </w:pPr>
            <w:r>
              <w:rPr>
                <w:rFonts w:ascii="Arial" w:cs="Arial" w:eastAsia="Arial" w:hAnsi="Arial"/>
                <w:sz w:val="18"/>
                <w:szCs w:val="18"/>
                <w:b w:val="1"/>
                <w:bCs w:val="1"/>
                <w:color w:val="auto"/>
                <w:w w:val="97"/>
              </w:rPr>
              <w:t>TABLE OF CONTENTS</w:t>
            </w:r>
          </w:p>
        </w:tc>
        <w:tc>
          <w:tcPr>
            <w:tcW w:w="1200" w:type="dxa"/>
            <w:vAlign w:val="bottom"/>
          </w:tcPr>
          <w:p>
            <w:pPr>
              <w:spacing w:after="0"/>
              <w:rPr>
                <w:sz w:val="20"/>
                <w:szCs w:val="20"/>
                <w:color w:val="auto"/>
              </w:rPr>
            </w:pPr>
          </w:p>
        </w:tc>
      </w:tr>
      <w:tr>
        <w:trPr>
          <w:trHeight w:val="428"/>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96"/>
        </w:trPr>
        <w:tc>
          <w:tcPr>
            <w:tcW w:w="9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8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15"/>
        </w:trPr>
        <w:tc>
          <w:tcPr>
            <w:tcW w:w="9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80" w:type="dxa"/>
            <w:vAlign w:val="bottom"/>
            <w:gridSpan w:val="22"/>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15"/>
        </w:trPr>
        <w:tc>
          <w:tcPr>
            <w:tcW w:w="94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Unresolved Staff Comments</w:t>
              </w:r>
            </w:hyperlink>
          </w:p>
        </w:tc>
        <w:tc>
          <w:tcPr>
            <w:tcW w:w="7260" w:type="dxa"/>
            <w:vAlign w:val="bottom"/>
            <w:gridSpan w:val="12"/>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5"/>
        </w:trPr>
        <w:tc>
          <w:tcPr>
            <w:tcW w:w="9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7">
              <w:r>
                <w:rPr>
                  <w:rFonts w:ascii="Arial" w:cs="Arial" w:eastAsia="Arial" w:hAnsi="Arial"/>
                  <w:sz w:val="18"/>
                  <w:szCs w:val="18"/>
                  <w:color w:val="0000EE"/>
                  <w:w w:val="85"/>
                </w:rPr>
                <w:t>Properties</w:t>
              </w:r>
            </w:hyperlink>
          </w:p>
        </w:tc>
        <w:tc>
          <w:tcPr>
            <w:tcW w:w="8560" w:type="dxa"/>
            <w:vAlign w:val="bottom"/>
            <w:gridSpan w:val="19"/>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5"/>
        </w:trPr>
        <w:tc>
          <w:tcPr>
            <w:tcW w:w="9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2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Legal Proceedings</w:t>
              </w:r>
            </w:hyperlink>
          </w:p>
        </w:tc>
        <w:tc>
          <w:tcPr>
            <w:tcW w:w="7960" w:type="dxa"/>
            <w:vAlign w:val="bottom"/>
            <w:gridSpan w:val="16"/>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5"/>
        </w:trPr>
        <w:tc>
          <w:tcPr>
            <w:tcW w:w="9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80" w:type="dxa"/>
            <w:vAlign w:val="bottom"/>
            <w:gridSpan w:val="2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Mine Safety Disclosures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53"/>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96"/>
        </w:trPr>
        <w:tc>
          <w:tcPr>
            <w:tcW w:w="9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28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Market for Registrants’ Common Equity and Related Stockholder Matters and Issuer Purchases of Equity Securities</w:t>
              </w:r>
            </w:hyperlink>
          </w:p>
        </w:tc>
        <w:tc>
          <w:tcPr>
            <w:tcW w:w="10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5"/>
        </w:trPr>
        <w:tc>
          <w:tcPr>
            <w:tcW w:w="9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28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Selected Financial Data</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15"/>
        </w:trPr>
        <w:tc>
          <w:tcPr>
            <w:tcW w:w="940" w:type="dxa"/>
            <w:vAlign w:val="bottom"/>
            <w:gridSpan w:val="2"/>
          </w:tcPr>
          <w:p>
            <w:pPr>
              <w:spacing w:after="0"/>
              <w:rPr>
                <w:sz w:val="20"/>
                <w:szCs w:val="20"/>
                <w:color w:val="auto"/>
              </w:rPr>
            </w:pPr>
            <w:r>
              <w:rPr>
                <w:rFonts w:ascii="Arial" w:cs="Arial" w:eastAsia="Arial" w:hAnsi="Arial"/>
                <w:sz w:val="18"/>
                <w:szCs w:val="18"/>
                <w:color w:val="auto"/>
              </w:rPr>
              <w:t>Item 7.</w:t>
            </w:r>
          </w:p>
        </w:tc>
        <w:tc>
          <w:tcPr>
            <w:tcW w:w="9280" w:type="dxa"/>
            <w:vAlign w:val="bottom"/>
            <w:gridSpan w:val="2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Management’s Discussion and Analysis of Financial Condition and Results of Operations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5"/>
        </w:trPr>
        <w:tc>
          <w:tcPr>
            <w:tcW w:w="94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6380" w:type="dxa"/>
            <w:vAlign w:val="bottom"/>
            <w:tcBorders>
              <w:top w:val="single" w:sz="8" w:color="0000EE"/>
            </w:tcBorders>
            <w:gridSpan w:val="18"/>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Quantitative and Qualitative Disclosures About Market Risk</w:t>
              </w:r>
            </w:hyperlink>
          </w:p>
        </w:tc>
        <w:tc>
          <w:tcPr>
            <w:tcW w:w="2900" w:type="dxa"/>
            <w:vAlign w:val="bottom"/>
            <w:gridSpan w:val="4"/>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5"/>
        </w:trPr>
        <w:tc>
          <w:tcPr>
            <w:tcW w:w="940" w:type="dxa"/>
            <w:vAlign w:val="bottom"/>
            <w:gridSpan w:val="2"/>
          </w:tcPr>
          <w:p>
            <w:pPr>
              <w:spacing w:after="0"/>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5"/>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Financial Statements and Supplementary Data</w:t>
              </w:r>
            </w:hyperlink>
          </w:p>
        </w:tc>
        <w:tc>
          <w:tcPr>
            <w:tcW w:w="4980" w:type="dxa"/>
            <w:vAlign w:val="bottom"/>
            <w:gridSpan w:val="7"/>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15"/>
        </w:trPr>
        <w:tc>
          <w:tcPr>
            <w:tcW w:w="94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280" w:type="dxa"/>
            <w:vAlign w:val="bottom"/>
            <w:gridSpan w:val="2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Changes in and Disagreements with Accountants on Accounting and Financial Disclosure</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15"/>
        </w:trPr>
        <w:tc>
          <w:tcPr>
            <w:tcW w:w="94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6400" w:type="dxa"/>
            <w:vAlign w:val="bottom"/>
            <w:tcBorders>
              <w:top w:val="single" w:sz="8" w:color="0000EE"/>
            </w:tcBorders>
            <w:gridSpan w:val="19"/>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Controls and Procedures</w:t>
              </w:r>
            </w:hyperlink>
          </w:p>
        </w:tc>
        <w:tc>
          <w:tcPr>
            <w:tcW w:w="2880" w:type="dxa"/>
            <w:vAlign w:val="bottom"/>
            <w:gridSpan w:val="3"/>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15"/>
        </w:trPr>
        <w:tc>
          <w:tcPr>
            <w:tcW w:w="94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40" w:type="dxa"/>
            <w:vAlign w:val="bottom"/>
            <w:tcBorders>
              <w:top w:val="single" w:sz="8" w:color="0000EE"/>
            </w:tcBorders>
            <w:gridSpan w:val="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Other Information</w:t>
              </w:r>
            </w:hyperlink>
          </w:p>
        </w:tc>
        <w:tc>
          <w:tcPr>
            <w:tcW w:w="7540" w:type="dxa"/>
            <w:vAlign w:val="bottom"/>
            <w:gridSpan w:val="14"/>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53"/>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96"/>
        </w:trPr>
        <w:tc>
          <w:tcPr>
            <w:tcW w:w="9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9280" w:type="dxa"/>
            <w:vAlign w:val="bottom"/>
            <w:gridSpan w:val="22"/>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Directors, Executive Officers and Corporate Governance</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15"/>
        </w:trPr>
        <w:tc>
          <w:tcPr>
            <w:tcW w:w="94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7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77">
              <w:r>
                <w:rPr>
                  <w:rFonts w:ascii="Arial" w:cs="Arial" w:eastAsia="Arial" w:hAnsi="Arial"/>
                  <w:sz w:val="18"/>
                  <w:szCs w:val="18"/>
                  <w:color w:val="0000EE"/>
                  <w:w w:val="88"/>
                </w:rPr>
                <w:t>Executive Compensation</w:t>
              </w:r>
            </w:hyperlink>
          </w:p>
        </w:tc>
        <w:tc>
          <w:tcPr>
            <w:tcW w:w="2260" w:type="dxa"/>
            <w:vAlign w:val="bottom"/>
            <w:tcBorders>
              <w:top w:val="single" w:sz="8" w:color="0000EE"/>
            </w:tcBorders>
            <w:gridSpan w:val="5"/>
          </w:tcPr>
          <w:p>
            <w:pPr>
              <w:spacing w:after="0"/>
              <w:rPr>
                <w:sz w:val="24"/>
                <w:szCs w:val="24"/>
                <w:color w:val="auto"/>
              </w:rPr>
            </w:pPr>
          </w:p>
        </w:tc>
        <w:tc>
          <w:tcPr>
            <w:tcW w:w="5240" w:type="dxa"/>
            <w:vAlign w:val="bottom"/>
            <w:gridSpan w:val="8"/>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15"/>
        </w:trPr>
        <w:tc>
          <w:tcPr>
            <w:tcW w:w="94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22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Security Ownership of Certain Beneficial Owners and Management and Related Stockholder Matters</w:t>
              </w:r>
            </w:hyperlink>
          </w:p>
        </w:tc>
        <w:tc>
          <w:tcPr>
            <w:tcW w:w="2060" w:type="dxa"/>
            <w:vAlign w:val="bottom"/>
            <w:gridSpan w:val="2"/>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15"/>
        </w:trPr>
        <w:tc>
          <w:tcPr>
            <w:tcW w:w="94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54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77">
              <w:r>
                <w:rPr>
                  <w:rFonts w:ascii="Arial" w:cs="Arial" w:eastAsia="Arial" w:hAnsi="Arial"/>
                  <w:sz w:val="18"/>
                  <w:szCs w:val="18"/>
                  <w:color w:val="0000EE"/>
                  <w:w w:val="88"/>
                </w:rPr>
                <w:t>Certain Relationships and Related Transactions, and Director Independence</w:t>
              </w:r>
            </w:hyperlink>
          </w:p>
        </w:tc>
        <w:tc>
          <w:tcPr>
            <w:tcW w:w="3880" w:type="dxa"/>
            <w:vAlign w:val="bottom"/>
            <w:gridSpan w:val="6"/>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15"/>
        </w:trPr>
        <w:tc>
          <w:tcPr>
            <w:tcW w:w="94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9280" w:type="dxa"/>
            <w:vAlign w:val="bottom"/>
            <w:gridSpan w:val="22"/>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Principal Accounting Fees and Services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53"/>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96"/>
        </w:trPr>
        <w:tc>
          <w:tcPr>
            <w:tcW w:w="9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280" w:type="dxa"/>
            <w:vAlign w:val="bottom"/>
            <w:gridSpan w:val="22"/>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Financial Statement Schedules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15"/>
        </w:trPr>
        <w:tc>
          <w:tcPr>
            <w:tcW w:w="820" w:type="dxa"/>
            <w:vAlign w:val="bottom"/>
            <w:tcBorders>
              <w:bottom w:val="single" w:sz="8" w:color="0000EE"/>
            </w:tcBorders>
          </w:tcPr>
          <w:p>
            <w:pPr>
              <w:spacing w:after="0"/>
              <w:rPr>
                <w:rFonts w:ascii="Arial" w:cs="Arial" w:eastAsia="Arial" w:hAnsi="Arial"/>
                <w:sz w:val="18"/>
                <w:szCs w:val="18"/>
                <w:color w:val="0000EE"/>
                <w:w w:val="97"/>
              </w:rPr>
            </w:pPr>
            <w:hyperlink w:anchor="page79">
              <w:r>
                <w:rPr>
                  <w:rFonts w:ascii="Arial" w:cs="Arial" w:eastAsia="Arial" w:hAnsi="Arial"/>
                  <w:sz w:val="18"/>
                  <w:szCs w:val="18"/>
                  <w:color w:val="0000EE"/>
                  <w:w w:val="97"/>
                </w:rPr>
                <w:t>EXHIBITS</w:t>
              </w:r>
            </w:hyperlink>
          </w:p>
        </w:tc>
        <w:tc>
          <w:tcPr>
            <w:tcW w:w="1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15"/>
        </w:trPr>
        <w:tc>
          <w:tcPr>
            <w:tcW w:w="11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86">
              <w:r>
                <w:rPr>
                  <w:rFonts w:ascii="Arial" w:cs="Arial" w:eastAsia="Arial" w:hAnsi="Arial"/>
                  <w:sz w:val="18"/>
                  <w:szCs w:val="18"/>
                  <w:color w:val="0000EE"/>
                  <w:w w:val="92"/>
                </w:rPr>
                <w:t>SIGNATURES</w:t>
              </w:r>
            </w:hyperlink>
          </w:p>
        </w:tc>
        <w:tc>
          <w:tcPr>
            <w:tcW w:w="9120" w:type="dxa"/>
            <w:vAlign w:val="bottom"/>
            <w:gridSpan w:val="21"/>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15"/>
        </w:trPr>
        <w:tc>
          <w:tcPr>
            <w:tcW w:w="6980" w:type="dxa"/>
            <w:vAlign w:val="bottom"/>
            <w:tcBorders>
              <w:bottom w:val="single" w:sz="8" w:color="0000EE"/>
            </w:tcBorders>
            <w:gridSpan w:val="19"/>
          </w:tcPr>
          <w:p>
            <w:pPr>
              <w:spacing w:after="0"/>
              <w:rPr>
                <w:rFonts w:ascii="Arial" w:cs="Arial" w:eastAsia="Arial" w:hAnsi="Arial"/>
                <w:sz w:val="18"/>
                <w:szCs w:val="18"/>
                <w:color w:val="0000EE"/>
                <w:w w:val="95"/>
              </w:rPr>
            </w:pPr>
            <w:hyperlink w:anchor="page87">
              <w:r>
                <w:rPr>
                  <w:rFonts w:ascii="Arial" w:cs="Arial" w:eastAsia="Arial" w:hAnsi="Arial"/>
                  <w:sz w:val="18"/>
                  <w:szCs w:val="18"/>
                  <w:color w:val="0000EE"/>
                  <w:w w:val="95"/>
                </w:rPr>
                <w:t>INDEX TO CONSOLIDATED FINANCIAL STATEMENTS OF ELDORADO RESORTS, INC.</w:t>
              </w:r>
            </w:hyperlink>
          </w:p>
        </w:tc>
        <w:tc>
          <w:tcPr>
            <w:tcW w:w="3240" w:type="dxa"/>
            <w:vAlign w:val="bottom"/>
            <w:gridSpan w:val="5"/>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8" w:lineRule="exact"/>
        <w:rPr>
          <w:sz w:val="20"/>
          <w:szCs w:val="20"/>
          <w:color w:val="auto"/>
        </w:rPr>
      </w:pPr>
    </w:p>
    <w:p>
      <w:pPr>
        <w:ind w:right="300" w:firstLine="555"/>
        <w:spacing w:after="0" w:line="271" w:lineRule="auto"/>
        <w:rPr>
          <w:sz w:val="20"/>
          <w:szCs w:val="20"/>
          <w:color w:val="auto"/>
        </w:rPr>
      </w:pPr>
      <w:r>
        <w:rPr>
          <w:rFonts w:ascii="Arial" w:cs="Arial" w:eastAsia="Arial" w:hAnsi="Arial"/>
          <w:sz w:val="18"/>
          <w:szCs w:val="18"/>
          <w:i w:val="1"/>
          <w:iCs w:val="1"/>
          <w:color w:val="auto"/>
        </w:rPr>
        <w:t>Eldorado Resorts, Inc., a Nevada corporation, is referred to as the “Company,” “ERI,” or the “Registrant,” and together with its subsidiaries may also be referred to as “we,” “us” or “our.”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right="40" w:firstLine="555"/>
        <w:spacing w:after="0" w:line="254" w:lineRule="auto"/>
        <w:rPr>
          <w:sz w:val="20"/>
          <w:szCs w:val="20"/>
          <w:color w:val="auto"/>
        </w:rPr>
      </w:pPr>
      <w:r>
        <w:rPr>
          <w:rFonts w:ascii="Arial" w:cs="Arial" w:eastAsia="Arial" w:hAnsi="Arial"/>
          <w:sz w:val="18"/>
          <w:szCs w:val="18"/>
          <w:color w:val="auto"/>
        </w:rPr>
        <w:t>We are a geographically diversified gaming and hospitality company with 23 gaming facilities in 11 states as of December 31, 2019. Our properties, which are located in Ohio, Louisiana, Nevada, New Jersey, Colorado, Florida, Iowa, Mississippi, Illinois, Indiana and Missouri, feature approximately 23,900 slot machines and video lottery terminals (“VLTs”) and e-tables, approximately 660 table games and approximately 11,300 hotel rooms. Our primary source of revenue is generated by gaming operations, and we utilize our hotels, restaurants, bars, entertainment, racing, sportsbooks, retail shops and other services to attract customers to our properties.</w:t>
      </w:r>
    </w:p>
    <w:p>
      <w:pPr>
        <w:spacing w:after="0" w:line="189"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We were founded in 1973 by the Carano family with the opening of the Eldorado Hotel Casino in Reno, Nevada. In 1993, we partnered with MGM Resorts International to build Silver Legacy Resort Casino (“Silver Legacy”), the first mega-themed resort in Reno. In 2005, we acquired our first property outside of Reno when we purchased a casino in Shreveport, Louisiana, now known as Eldorado Shreveport. In September 2014, we merged with MTR Gaming Group, Inc. and acquired its three gaming and racing facilities in Ohio, Pennsylvania and West Virginia. The following year, in November 2015, we acquired Circus Circus Reno (“Circus Reno”) and the 50% membership interest in the Silver Legacy that was owned by MGM Resorts International. On May 1, 2017, we completed our acquisition of Isle of Capri Casinos, Inc. (“Isle” or “Isle of Capri”), adding 13 gaming properties to our portfolio (the “Isle Acquisition”). On August 7, 2018, we acquired the Elgin Riverboat Resort – Riverboat Casino d/b/a Grand Victoria Casino (“Elgin”) (“Elgin Acquisition”). On October 1, 2018, we completed our acquisition of Tropicana Entertainment, Inc. (“Tropicana”), adding seven properties to our portfolio (the “Tropicana Acquisition”).</w:t>
      </w:r>
    </w:p>
    <w:p>
      <w:pPr>
        <w:spacing w:after="0" w:line="167" w:lineRule="exact"/>
        <w:rPr>
          <w:sz w:val="20"/>
          <w:szCs w:val="20"/>
          <w:color w:val="auto"/>
        </w:rPr>
      </w:pPr>
    </w:p>
    <w:p>
      <w:pPr>
        <w:ind w:right="240" w:firstLine="555"/>
        <w:spacing w:after="0" w:line="255" w:lineRule="auto"/>
        <w:rPr>
          <w:sz w:val="20"/>
          <w:szCs w:val="20"/>
          <w:color w:val="auto"/>
        </w:rPr>
      </w:pPr>
      <w:r>
        <w:rPr>
          <w:rFonts w:ascii="Arial" w:cs="Arial" w:eastAsia="Arial" w:hAnsi="Arial"/>
          <w:sz w:val="18"/>
          <w:szCs w:val="18"/>
          <w:color w:val="auto"/>
        </w:rPr>
        <w:t>On January 11, 2019 and March 8, 2019, respectively, we completed our sales of Presque Isle Downs &amp; Casino (“Presque”) and Lady Luck Casino Nemacolin (“Nemacolin”), which are both located in Pennsylvania. On December 6, 2019 we completed our sales of Mountaineer Casino, Racetrack and Resort (“Mountaineer”), Isle Casino Cape Girardeau (“Cape Girardeau”) and Lady Luck Casino Caruthersville (“Caruthersville”). Mountaineer is located in West Virginia and Cape Girardeau and Caruthersville are located in Missouri.</w:t>
      </w:r>
    </w:p>
    <w:p>
      <w:pPr>
        <w:spacing w:after="0" w:line="231" w:lineRule="exact"/>
        <w:rPr>
          <w:sz w:val="20"/>
          <w:szCs w:val="20"/>
          <w:color w:val="auto"/>
        </w:rPr>
      </w:pPr>
    </w:p>
    <w:p>
      <w:pPr>
        <w:ind w:right="60" w:firstLine="555"/>
        <w:spacing w:after="0" w:line="268" w:lineRule="auto"/>
        <w:rPr>
          <w:sz w:val="20"/>
          <w:szCs w:val="20"/>
          <w:color w:val="auto"/>
        </w:rPr>
      </w:pPr>
      <w:r>
        <w:rPr>
          <w:rFonts w:ascii="Arial" w:cs="Arial" w:eastAsia="Arial" w:hAnsi="Arial"/>
          <w:sz w:val="17"/>
          <w:szCs w:val="17"/>
          <w:color w:val="auto"/>
        </w:rPr>
        <w:t>On June 24, 2019, we entered into an Agreement and Plan of Merger (as amended by Amendment No. 1 to Agreement and Plan of Merger, dated as of August 15, 2019, and as it may be further amended from time to time, the “Merger Agreement”) with Caesars Entertainment Corporation (“Caesars”) pursuant to which a wholly-owned subsidiary of the Company will merge with and into Caesars, with Caesars surviving as a wholly-owned subsidiary of the Company (“the Merger”). In connection with the execution of the Merger Agreement, the Company also entered into a Master Transaction Agreement (the “MTA”) with VICI Properties L.P., a Delaware limited partnership (“VICI”), pursuant to which, among other things, the Company has agreed to consummate one or more sale and leaseback transactions with VICI and/or its affiliates with respect to certain property described in the MTA. Consummation of the Merger is subject to the satisfaction or waiver of certain conditions, including anti-trust and regulatory approvals. The Company expects that the Merger will be consummated in the first half of 2020.</w:t>
      </w:r>
    </w:p>
    <w:p>
      <w:pPr>
        <w:spacing w:after="0" w:line="207"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On July 10, 2019, we entered into a definitive agreement to sell the equity interests of Rainbow Casino Vicksburg Partnership, L.P. and IOC-Kansas City, L.L.C., the entities that hold Lady Luck Casino Vicksburg and Isle of Capri Casino Kansas City, to Twin River Worldwide Holdings, Inc. The definitive agreement provides that the consummation of the sale is subject to satisfaction of customary conditions, including receipt of required regulatory approvals. The transaction is expected to be consummated in the first half of 2020.</w:t>
      </w:r>
    </w:p>
    <w:p>
      <w:pPr>
        <w:spacing w:after="0" w:line="231"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On January 13, 2020, we entered into a definitive agreement to sell Eldorado Resort Casino Shreveport. The definitive agreement provides that the consummation of the sale is subject to receipt of required regulatory approvals, the prior or concurrent closing of the Merger and other customary conditions. The transaction is expected to be consummated in 2020.</w:t>
      </w:r>
    </w:p>
    <w:p>
      <w:pPr>
        <w:spacing w:after="0" w:line="186"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We own 18 of our casinos and five of our casinos are subject to a master lease with GLP Capital, L.P., the operating partnership of Gaming and Leisure Properties, Inc. (“GLPI”), that we entered into in connection with the Tropicana Acquisition on October 1, 2018 (the “Master Lease”). (See full description under “Master Lease”).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Properties</w:t>
      </w:r>
    </w:p>
    <w:p>
      <w:pPr>
        <w:spacing w:after="0" w:line="118" w:lineRule="exact"/>
        <w:rPr>
          <w:sz w:val="20"/>
          <w:szCs w:val="20"/>
          <w:color w:val="auto"/>
        </w:rPr>
      </w:pPr>
    </w:p>
    <w:p>
      <w:pPr>
        <w:ind w:right="240" w:firstLine="555"/>
        <w:spacing w:after="0" w:line="271" w:lineRule="auto"/>
        <w:rPr>
          <w:sz w:val="20"/>
          <w:szCs w:val="20"/>
          <w:color w:val="auto"/>
        </w:rPr>
      </w:pPr>
      <w:r>
        <w:rPr>
          <w:rFonts w:ascii="Arial" w:cs="Arial" w:eastAsia="Arial" w:hAnsi="Arial"/>
          <w:sz w:val="18"/>
          <w:szCs w:val="18"/>
          <w:color w:val="auto"/>
        </w:rPr>
        <w:t>The following table sets forth certain information regarding our properties (listed by the segment in which each property is reported) as of December 31,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Slot</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7"/>
        </w:trPr>
        <w:tc>
          <w:tcPr>
            <w:tcW w:w="3020" w:type="dxa"/>
            <w:vAlign w:val="bottom"/>
          </w:tcPr>
          <w:p>
            <w:pPr>
              <w:spacing w:after="0"/>
              <w:rPr>
                <w:sz w:val="12"/>
                <w:szCs w:val="12"/>
                <w:color w:val="auto"/>
              </w:rPr>
            </w:pP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Year</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Sportsbook/Live</w:t>
            </w:r>
          </w:p>
        </w:tc>
        <w:tc>
          <w:tcPr>
            <w:tcW w:w="12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4"/>
              </w:rPr>
              <w:t>Machines,</w:t>
            </w: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Table and</w:t>
            </w:r>
          </w:p>
        </w:tc>
        <w:tc>
          <w:tcPr>
            <w:tcW w:w="12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Hotel</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State</w:t>
            </w:r>
          </w:p>
        </w:tc>
        <w:tc>
          <w:tcPr>
            <w:tcW w:w="1220" w:type="dxa"/>
            <w:vAlign w:val="bottom"/>
            <w:gridSpan w:val="2"/>
            <w:vMerge w:val="continue"/>
          </w:tcPr>
          <w:p>
            <w:pPr>
              <w:spacing w:after="0"/>
              <w:rPr>
                <w:sz w:val="12"/>
                <w:szCs w:val="12"/>
                <w:color w:val="auto"/>
              </w:rPr>
            </w:pPr>
          </w:p>
        </w:tc>
        <w:tc>
          <w:tcPr>
            <w:tcW w:w="12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0"/>
              </w:rPr>
              <w:t>VLTs and e-</w:t>
            </w:r>
          </w:p>
        </w:tc>
        <w:tc>
          <w:tcPr>
            <w:tcW w:w="120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9"/>
              </w:rPr>
              <w:t>Casino Square</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Acquired</w:t>
            </w:r>
          </w:p>
        </w:tc>
        <w:tc>
          <w:tcPr>
            <w:tcW w:w="1220" w:type="dxa"/>
            <w:vAlign w:val="bottom"/>
            <w:gridSpan w:val="2"/>
            <w:vMerge w:val="continue"/>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Racing</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Tables</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Poker Games</w:t>
            </w: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Rooms</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Footage</w:t>
            </w:r>
          </w:p>
        </w:tc>
        <w:tc>
          <w:tcPr>
            <w:tcW w:w="0" w:type="dxa"/>
            <w:vAlign w:val="bottom"/>
          </w:tcPr>
          <w:p>
            <w:pPr>
              <w:spacing w:after="0"/>
              <w:rPr>
                <w:sz w:val="1"/>
                <w:szCs w:val="1"/>
                <w:color w:val="auto"/>
              </w:rPr>
            </w:pPr>
          </w:p>
        </w:tc>
      </w:tr>
      <w:tr>
        <w:trPr>
          <w:trHeight w:val="207"/>
        </w:trPr>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West Region:</w:t>
            </w: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20" w:type="dxa"/>
            <w:vAlign w:val="bottom"/>
          </w:tcPr>
          <w:p>
            <w:pPr>
              <w:ind w:left="260"/>
              <w:spacing w:after="0"/>
              <w:rPr>
                <w:sz w:val="20"/>
                <w:szCs w:val="20"/>
                <w:color w:val="auto"/>
              </w:rPr>
            </w:pPr>
            <w:r>
              <w:rPr>
                <w:rFonts w:ascii="Arial" w:cs="Arial" w:eastAsia="Arial" w:hAnsi="Arial"/>
                <w:sz w:val="16"/>
                <w:szCs w:val="16"/>
                <w:color w:val="auto"/>
              </w:rPr>
              <w:t>Eldorado Reno</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color w:val="auto"/>
              </w:rPr>
              <w:t>N/A</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Nevada</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Sportsbook</w:t>
            </w:r>
          </w:p>
        </w:tc>
        <w:tc>
          <w:tcPr>
            <w:tcW w:w="98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Silver Legacy</w:t>
            </w: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2015</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86"/>
              </w:rPr>
              <w:t>Nevada</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88"/>
              </w:rPr>
              <w:t>Sportsbook</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983</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90,100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20" w:type="dxa"/>
            <w:vAlign w:val="bottom"/>
          </w:tcPr>
          <w:p>
            <w:pPr>
              <w:ind w:left="260"/>
              <w:spacing w:after="0"/>
              <w:rPr>
                <w:sz w:val="20"/>
                <w:szCs w:val="20"/>
                <w:color w:val="auto"/>
              </w:rPr>
            </w:pPr>
            <w:r>
              <w:rPr>
                <w:rFonts w:ascii="Arial" w:cs="Arial" w:eastAsia="Arial" w:hAnsi="Arial"/>
                <w:sz w:val="16"/>
                <w:szCs w:val="16"/>
                <w:color w:val="auto"/>
              </w:rPr>
              <w:t>Circus Reno</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2015</w:t>
            </w:r>
          </w:p>
        </w:tc>
        <w:tc>
          <w:tcPr>
            <w:tcW w:w="1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Nevada</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Sportsbook</w:t>
            </w:r>
          </w:p>
        </w:tc>
        <w:tc>
          <w:tcPr>
            <w:tcW w:w="980" w:type="dxa"/>
            <w:vAlign w:val="bottom"/>
          </w:tcPr>
          <w:p>
            <w:pPr>
              <w:jc w:val="right"/>
              <w:spacing w:after="0"/>
              <w:rPr>
                <w:sz w:val="20"/>
                <w:szCs w:val="20"/>
                <w:color w:val="auto"/>
              </w:rPr>
            </w:pPr>
            <w:r>
              <w:rPr>
                <w:rFonts w:ascii="Arial" w:cs="Arial" w:eastAsia="Arial" w:hAnsi="Arial"/>
                <w:sz w:val="16"/>
                <w:szCs w:val="16"/>
                <w:color w:val="auto"/>
              </w:rPr>
              <w:t>579</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MontBleu</w:t>
            </w: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2018</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86"/>
              </w:rPr>
              <w:t>Nevada</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88"/>
              </w:rPr>
              <w:t>Sportsbook</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20" w:type="dxa"/>
            <w:vAlign w:val="bottom"/>
          </w:tcPr>
          <w:p>
            <w:pPr>
              <w:ind w:left="260"/>
              <w:spacing w:after="0"/>
              <w:rPr>
                <w:sz w:val="20"/>
                <w:szCs w:val="20"/>
                <w:color w:val="auto"/>
              </w:rPr>
            </w:pPr>
            <w:r>
              <w:rPr>
                <w:rFonts w:ascii="Arial" w:cs="Arial" w:eastAsia="Arial" w:hAnsi="Arial"/>
                <w:sz w:val="16"/>
                <w:szCs w:val="16"/>
                <w:color w:val="auto"/>
              </w:rPr>
              <w:t>Tropicana Laughlin</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2018</w:t>
            </w:r>
          </w:p>
        </w:tc>
        <w:tc>
          <w:tcPr>
            <w:tcW w:w="1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Nevada</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Sportsbook</w:t>
            </w:r>
          </w:p>
        </w:tc>
        <w:tc>
          <w:tcPr>
            <w:tcW w:w="980" w:type="dxa"/>
            <w:vAlign w:val="bottom"/>
          </w:tcPr>
          <w:p>
            <w:pPr>
              <w:jc w:val="right"/>
              <w:spacing w:after="0"/>
              <w:rPr>
                <w:sz w:val="20"/>
                <w:szCs w:val="20"/>
                <w:color w:val="auto"/>
              </w:rPr>
            </w:pPr>
            <w:r>
              <w:rPr>
                <w:rFonts w:ascii="Arial" w:cs="Arial" w:eastAsia="Arial" w:hAnsi="Arial"/>
                <w:sz w:val="16"/>
                <w:szCs w:val="16"/>
                <w:color w:val="auto"/>
              </w:rPr>
              <w:t>921</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1,487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Isle Black Hawk</w:t>
            </w: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2017</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2"/>
              </w:rPr>
              <w:t>Colorado</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rPr>
              <w:t>N/A</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904</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tcPr>
          <w:p>
            <w:pPr>
              <w:ind w:left="260"/>
              <w:spacing w:after="0"/>
              <w:rPr>
                <w:sz w:val="20"/>
                <w:szCs w:val="20"/>
                <w:color w:val="auto"/>
              </w:rPr>
            </w:pPr>
            <w:r>
              <w:rPr>
                <w:rFonts w:ascii="Arial" w:cs="Arial" w:eastAsia="Arial" w:hAnsi="Arial"/>
                <w:sz w:val="16"/>
                <w:szCs w:val="16"/>
                <w:color w:val="auto"/>
              </w:rPr>
              <w:t>Lady Luck Black Hawk</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2017</w:t>
            </w:r>
          </w:p>
        </w:tc>
        <w:tc>
          <w:tcPr>
            <w:tcW w:w="1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Colorado</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color w:val="auto"/>
              </w:rPr>
              <w:t>N/A</w:t>
            </w:r>
          </w:p>
        </w:tc>
        <w:tc>
          <w:tcPr>
            <w:tcW w:w="980" w:type="dxa"/>
            <w:vAlign w:val="bottom"/>
          </w:tcPr>
          <w:p>
            <w:pPr>
              <w:jc w:val="right"/>
              <w:spacing w:after="0"/>
              <w:rPr>
                <w:sz w:val="20"/>
                <w:szCs w:val="20"/>
                <w:color w:val="auto"/>
              </w:rPr>
            </w:pPr>
            <w:r>
              <w:rPr>
                <w:rFonts w:ascii="Arial" w:cs="Arial" w:eastAsia="Arial" w:hAnsi="Arial"/>
                <w:sz w:val="16"/>
                <w:szCs w:val="16"/>
                <w:color w:val="auto"/>
              </w:rPr>
              <w:t>410</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Midwest Region:</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20" w:type="dxa"/>
            <w:vAlign w:val="bottom"/>
          </w:tcPr>
          <w:p>
            <w:pPr>
              <w:ind w:left="260"/>
              <w:spacing w:after="0"/>
              <w:rPr>
                <w:sz w:val="20"/>
                <w:szCs w:val="20"/>
                <w:color w:val="auto"/>
              </w:rPr>
            </w:pPr>
            <w:r>
              <w:rPr>
                <w:rFonts w:ascii="Arial" w:cs="Arial" w:eastAsia="Arial" w:hAnsi="Arial"/>
                <w:sz w:val="16"/>
                <w:szCs w:val="16"/>
                <w:color w:val="auto"/>
              </w:rPr>
              <w:t>Waterloo</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2017</w:t>
            </w:r>
          </w:p>
        </w:tc>
        <w:tc>
          <w:tcPr>
            <w:tcW w:w="1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Iowa</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Sportsbook</w:t>
            </w:r>
          </w:p>
        </w:tc>
        <w:tc>
          <w:tcPr>
            <w:tcW w:w="980" w:type="dxa"/>
            <w:vAlign w:val="bottom"/>
          </w:tcPr>
          <w:p>
            <w:pPr>
              <w:jc w:val="right"/>
              <w:spacing w:after="0"/>
              <w:rPr>
                <w:sz w:val="20"/>
                <w:szCs w:val="20"/>
                <w:color w:val="auto"/>
              </w:rPr>
            </w:pPr>
            <w:r>
              <w:rPr>
                <w:rFonts w:ascii="Arial" w:cs="Arial" w:eastAsia="Arial" w:hAnsi="Arial"/>
                <w:sz w:val="16"/>
                <w:szCs w:val="16"/>
                <w:color w:val="auto"/>
              </w:rPr>
              <w:t>905</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Bettendorf</w:t>
            </w: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2017</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4"/>
              </w:rPr>
              <w:t>Iowa</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88"/>
              </w:rPr>
              <w:t>Sportsbook</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917</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20" w:type="dxa"/>
            <w:vAlign w:val="bottom"/>
          </w:tcPr>
          <w:p>
            <w:pPr>
              <w:ind w:left="260"/>
              <w:spacing w:after="0"/>
              <w:rPr>
                <w:sz w:val="20"/>
                <w:szCs w:val="20"/>
                <w:color w:val="auto"/>
              </w:rPr>
            </w:pPr>
            <w:r>
              <w:rPr>
                <w:rFonts w:ascii="Arial" w:cs="Arial" w:eastAsia="Arial" w:hAnsi="Arial"/>
                <w:sz w:val="16"/>
                <w:szCs w:val="16"/>
                <w:color w:val="auto"/>
              </w:rPr>
              <w:t>Boonville</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2017</w:t>
            </w:r>
          </w:p>
        </w:tc>
        <w:tc>
          <w:tcPr>
            <w:tcW w:w="1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Missouri</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color w:val="auto"/>
              </w:rPr>
              <w:t>N/A</w:t>
            </w:r>
          </w:p>
        </w:tc>
        <w:tc>
          <w:tcPr>
            <w:tcW w:w="980" w:type="dxa"/>
            <w:vAlign w:val="bottom"/>
          </w:tcPr>
          <w:p>
            <w:pPr>
              <w:jc w:val="right"/>
              <w:spacing w:after="0"/>
              <w:rPr>
                <w:sz w:val="20"/>
                <w:szCs w:val="20"/>
                <w:color w:val="auto"/>
              </w:rPr>
            </w:pPr>
            <w:r>
              <w:rPr>
                <w:rFonts w:ascii="Arial" w:cs="Arial" w:eastAsia="Arial" w:hAnsi="Arial"/>
                <w:sz w:val="16"/>
                <w:szCs w:val="16"/>
                <w:color w:val="auto"/>
              </w:rPr>
              <w:t>857</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Kansas City (1)</w:t>
            </w: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2017</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3"/>
              </w:rPr>
              <w:t>Missouri</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rPr>
              <w:t>N/A</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887</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ind w:left="720"/>
              <w:spacing w:after="0"/>
              <w:rPr>
                <w:sz w:val="20"/>
                <w:szCs w:val="20"/>
                <w:color w:val="auto"/>
              </w:rPr>
            </w:pPr>
            <w:r>
              <w:rPr>
                <w:rFonts w:ascii="Arial" w:cs="Arial" w:eastAsia="Arial" w:hAnsi="Arial"/>
                <w:sz w:val="16"/>
                <w:szCs w:val="16"/>
                <w:color w:val="auto"/>
              </w:rPr>
              <w:t>N/A</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tcPr>
          <w:p>
            <w:pPr>
              <w:spacing w:after="0"/>
              <w:rPr>
                <w:sz w:val="20"/>
                <w:szCs w:val="20"/>
                <w:color w:val="auto"/>
              </w:rPr>
            </w:pPr>
            <w:r>
              <w:rPr>
                <w:rFonts w:ascii="Arial" w:cs="Arial" w:eastAsia="Arial" w:hAnsi="Arial"/>
                <w:sz w:val="16"/>
                <w:szCs w:val="16"/>
                <w:b w:val="1"/>
                <w:bCs w:val="1"/>
                <w:color w:val="auto"/>
              </w:rPr>
              <w:t>South Region: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Pompano</w:t>
            </w: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2017</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3"/>
              </w:rPr>
              <w:t>Florida</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5"/>
              </w:rPr>
              <w:t>Live Racing</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1,453</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ind w:left="720"/>
              <w:spacing w:after="0"/>
              <w:rPr>
                <w:sz w:val="20"/>
                <w:szCs w:val="20"/>
                <w:color w:val="auto"/>
              </w:rPr>
            </w:pPr>
            <w:r>
              <w:rPr>
                <w:rFonts w:ascii="Arial" w:cs="Arial" w:eastAsia="Arial" w:hAnsi="Arial"/>
                <w:sz w:val="16"/>
                <w:szCs w:val="16"/>
                <w:color w:val="auto"/>
              </w:rPr>
              <w:t>N/A</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20" w:type="dxa"/>
            <w:vAlign w:val="bottom"/>
          </w:tcPr>
          <w:p>
            <w:pPr>
              <w:ind w:left="260"/>
              <w:spacing w:after="0"/>
              <w:rPr>
                <w:sz w:val="20"/>
                <w:szCs w:val="20"/>
                <w:color w:val="auto"/>
              </w:rPr>
            </w:pPr>
            <w:r>
              <w:rPr>
                <w:rFonts w:ascii="Arial" w:cs="Arial" w:eastAsia="Arial" w:hAnsi="Arial"/>
                <w:sz w:val="16"/>
                <w:szCs w:val="16"/>
                <w:color w:val="auto"/>
              </w:rPr>
              <w:t>Eldorado Shreveport (1)</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2005</w:t>
            </w:r>
          </w:p>
        </w:tc>
        <w:tc>
          <w:tcPr>
            <w:tcW w:w="1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Louisiana</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color w:val="auto"/>
              </w:rPr>
              <w:t>N/A</w:t>
            </w:r>
          </w:p>
        </w:tc>
        <w:tc>
          <w:tcPr>
            <w:tcW w:w="980" w:type="dxa"/>
            <w:vAlign w:val="bottom"/>
          </w:tcPr>
          <w:p>
            <w:pPr>
              <w:jc w:val="right"/>
              <w:spacing w:after="0"/>
              <w:rPr>
                <w:sz w:val="20"/>
                <w:szCs w:val="20"/>
                <w:color w:val="auto"/>
              </w:rPr>
            </w:pPr>
            <w:r>
              <w:rPr>
                <w:rFonts w:ascii="Arial" w:cs="Arial" w:eastAsia="Arial" w:hAnsi="Arial"/>
                <w:sz w:val="16"/>
                <w:szCs w:val="16"/>
                <w:color w:val="auto"/>
              </w:rPr>
              <w:t>1,406</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Lake Charles</w:t>
            </w: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2017</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3"/>
              </w:rPr>
              <w:t>Louisiana</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rPr>
              <w:t>N/A</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1,181</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20" w:type="dxa"/>
            <w:vAlign w:val="bottom"/>
          </w:tcPr>
          <w:p>
            <w:pPr>
              <w:ind w:left="260"/>
              <w:spacing w:after="0"/>
              <w:rPr>
                <w:sz w:val="20"/>
                <w:szCs w:val="20"/>
                <w:color w:val="auto"/>
              </w:rPr>
            </w:pPr>
            <w:r>
              <w:rPr>
                <w:rFonts w:ascii="Arial" w:cs="Arial" w:eastAsia="Arial" w:hAnsi="Arial"/>
                <w:sz w:val="16"/>
                <w:szCs w:val="16"/>
                <w:color w:val="auto"/>
              </w:rPr>
              <w:t>Baton Rouge</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2018</w:t>
            </w:r>
          </w:p>
        </w:tc>
        <w:tc>
          <w:tcPr>
            <w:tcW w:w="1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Louisiana</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color w:val="auto"/>
              </w:rPr>
              <w:t>N/A</w:t>
            </w:r>
          </w:p>
        </w:tc>
        <w:tc>
          <w:tcPr>
            <w:tcW w:w="980" w:type="dxa"/>
            <w:vAlign w:val="bottom"/>
          </w:tcPr>
          <w:p>
            <w:pPr>
              <w:jc w:val="right"/>
              <w:spacing w:after="0"/>
              <w:rPr>
                <w:sz w:val="20"/>
                <w:szCs w:val="20"/>
                <w:color w:val="auto"/>
              </w:rPr>
            </w:pPr>
            <w:r>
              <w:rPr>
                <w:rFonts w:ascii="Arial" w:cs="Arial" w:eastAsia="Arial" w:hAnsi="Arial"/>
                <w:sz w:val="16"/>
                <w:szCs w:val="16"/>
                <w:color w:val="auto"/>
              </w:rPr>
              <w:t>756</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Lula</w:t>
            </w: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2017</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3"/>
              </w:rPr>
              <w:t>Mississippi</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88"/>
              </w:rPr>
              <w:t>Sportsbook</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861</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20" w:type="dxa"/>
            <w:vAlign w:val="bottom"/>
          </w:tcPr>
          <w:p>
            <w:pPr>
              <w:ind w:left="260"/>
              <w:spacing w:after="0"/>
              <w:rPr>
                <w:sz w:val="20"/>
                <w:szCs w:val="20"/>
                <w:color w:val="auto"/>
              </w:rPr>
            </w:pPr>
            <w:r>
              <w:rPr>
                <w:rFonts w:ascii="Arial" w:cs="Arial" w:eastAsia="Arial" w:hAnsi="Arial"/>
                <w:sz w:val="16"/>
                <w:szCs w:val="16"/>
                <w:color w:val="auto"/>
              </w:rPr>
              <w:t>Vicksburg (1)</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2017</w:t>
            </w:r>
          </w:p>
        </w:tc>
        <w:tc>
          <w:tcPr>
            <w:tcW w:w="1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Mississippi</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Sportsbook</w:t>
            </w:r>
          </w:p>
        </w:tc>
        <w:tc>
          <w:tcPr>
            <w:tcW w:w="980" w:type="dxa"/>
            <w:vAlign w:val="bottom"/>
          </w:tcPr>
          <w:p>
            <w:pPr>
              <w:jc w:val="right"/>
              <w:spacing w:after="0"/>
              <w:rPr>
                <w:sz w:val="20"/>
                <w:szCs w:val="20"/>
                <w:color w:val="auto"/>
              </w:rPr>
            </w:pPr>
            <w:r>
              <w:rPr>
                <w:rFonts w:ascii="Arial" w:cs="Arial" w:eastAsia="Arial" w:hAnsi="Arial"/>
                <w:sz w:val="16"/>
                <w:szCs w:val="16"/>
                <w:color w:val="auto"/>
              </w:rPr>
              <w:t>577</w:t>
            </w:r>
          </w:p>
        </w:tc>
        <w:tc>
          <w:tcPr>
            <w:tcW w:w="220" w:type="dxa"/>
            <w:vAlign w:val="bottom"/>
          </w:tcPr>
          <w:p>
            <w:pPr>
              <w:spacing w:after="0"/>
              <w:rPr>
                <w:sz w:val="18"/>
                <w:szCs w:val="18"/>
                <w:color w:val="auto"/>
              </w:rPr>
            </w:pPr>
          </w:p>
        </w:tc>
        <w:tc>
          <w:tcPr>
            <w:tcW w:w="1200" w:type="dxa"/>
            <w:vAlign w:val="bottom"/>
            <w:gridSpan w:val="2"/>
          </w:tcPr>
          <w:p>
            <w:pPr>
              <w:ind w:left="700"/>
              <w:spacing w:after="0"/>
              <w:rPr>
                <w:sz w:val="20"/>
                <w:szCs w:val="20"/>
                <w:color w:val="auto"/>
              </w:rPr>
            </w:pPr>
            <w:r>
              <w:rPr>
                <w:rFonts w:ascii="Arial" w:cs="Arial" w:eastAsia="Arial" w:hAnsi="Arial"/>
                <w:sz w:val="16"/>
                <w:szCs w:val="16"/>
                <w:color w:val="auto"/>
              </w:rPr>
              <w:t>N/A</w:t>
            </w:r>
          </w:p>
        </w:tc>
        <w:tc>
          <w:tcPr>
            <w:tcW w:w="1000" w:type="dxa"/>
            <w:vAlign w:val="bottom"/>
          </w:tcPr>
          <w:p>
            <w:pPr>
              <w:jc w:val="right"/>
              <w:spacing w:after="0"/>
              <w:rPr>
                <w:sz w:val="20"/>
                <w:szCs w:val="20"/>
                <w:color w:val="auto"/>
              </w:rPr>
            </w:pPr>
            <w:r>
              <w:rPr>
                <w:rFonts w:ascii="Arial" w:cs="Arial" w:eastAsia="Arial" w:hAnsi="Arial"/>
                <w:sz w:val="16"/>
                <w:szCs w:val="16"/>
                <w:color w:val="auto"/>
              </w:rPr>
              <w:t>89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Greenville</w:t>
            </w: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2018</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3"/>
              </w:rPr>
              <w:t>Mississippi</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88"/>
              </w:rPr>
              <w:t>Sportsbook</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tcPr>
          <w:p>
            <w:pPr>
              <w:spacing w:after="0"/>
              <w:rPr>
                <w:sz w:val="20"/>
                <w:szCs w:val="20"/>
                <w:color w:val="auto"/>
              </w:rPr>
            </w:pPr>
            <w:r>
              <w:rPr>
                <w:rFonts w:ascii="Arial" w:cs="Arial" w:eastAsia="Arial" w:hAnsi="Arial"/>
                <w:sz w:val="16"/>
                <w:szCs w:val="16"/>
                <w:b w:val="1"/>
                <w:bCs w:val="1"/>
                <w:color w:val="auto"/>
              </w:rPr>
              <w:t>East Region: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Scioto Downs</w:t>
            </w: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2014</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4"/>
              </w:rPr>
              <w:t>Ohio</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5"/>
              </w:rPr>
              <w:t>Live Racing</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2,409</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N/A</w:t>
            </w:r>
          </w:p>
        </w:tc>
        <w:tc>
          <w:tcPr>
            <w:tcW w:w="1220" w:type="dxa"/>
            <w:vAlign w:val="bottom"/>
            <w:gridSpan w:val="2"/>
            <w:shd w:val="clear" w:color="auto" w:fill="CFF0FC"/>
          </w:tcPr>
          <w:p>
            <w:pPr>
              <w:ind w:left="720"/>
              <w:spacing w:after="0"/>
              <w:rPr>
                <w:sz w:val="20"/>
                <w:szCs w:val="20"/>
                <w:color w:val="auto"/>
              </w:rPr>
            </w:pPr>
            <w:r>
              <w:rPr>
                <w:rFonts w:ascii="Arial" w:cs="Arial" w:eastAsia="Arial" w:hAnsi="Arial"/>
                <w:sz w:val="16"/>
                <w:szCs w:val="16"/>
                <w:color w:val="auto"/>
              </w:rPr>
              <w:t>N/A</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tcPr>
          <w:p>
            <w:pPr>
              <w:ind w:left="260"/>
              <w:spacing w:after="0"/>
              <w:rPr>
                <w:sz w:val="20"/>
                <w:szCs w:val="20"/>
                <w:color w:val="auto"/>
              </w:rPr>
            </w:pPr>
            <w:r>
              <w:rPr>
                <w:rFonts w:ascii="Arial" w:cs="Arial" w:eastAsia="Arial" w:hAnsi="Arial"/>
                <w:sz w:val="16"/>
                <w:szCs w:val="16"/>
                <w:color w:val="auto"/>
              </w:rPr>
              <w:t>Trop AC</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2018</w:t>
            </w: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New Jersey</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Sportsbook</w:t>
            </w:r>
          </w:p>
        </w:tc>
        <w:tc>
          <w:tcPr>
            <w:tcW w:w="980" w:type="dxa"/>
            <w:vAlign w:val="bottom"/>
          </w:tcPr>
          <w:p>
            <w:pPr>
              <w:jc w:val="right"/>
              <w:spacing w:after="0"/>
              <w:rPr>
                <w:sz w:val="20"/>
                <w:szCs w:val="20"/>
                <w:color w:val="auto"/>
              </w:rPr>
            </w:pPr>
            <w:r>
              <w:rPr>
                <w:rFonts w:ascii="Arial" w:cs="Arial" w:eastAsia="Arial" w:hAnsi="Arial"/>
                <w:sz w:val="16"/>
                <w:szCs w:val="16"/>
                <w:color w:val="auto"/>
              </w:rPr>
              <w:t>2,330</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2,364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121,900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Central Region:</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20" w:type="dxa"/>
            <w:vAlign w:val="bottom"/>
          </w:tcPr>
          <w:p>
            <w:pPr>
              <w:ind w:left="260"/>
              <w:spacing w:after="0"/>
              <w:rPr>
                <w:sz w:val="20"/>
                <w:szCs w:val="20"/>
                <w:color w:val="auto"/>
              </w:rPr>
            </w:pPr>
            <w:r>
              <w:rPr>
                <w:rFonts w:ascii="Arial" w:cs="Arial" w:eastAsia="Arial" w:hAnsi="Arial"/>
                <w:sz w:val="16"/>
                <w:szCs w:val="16"/>
                <w:color w:val="auto"/>
              </w:rPr>
              <w:t>Elgin</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2018</w:t>
            </w: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color w:val="auto"/>
              </w:rPr>
              <w:t>Illinois</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color w:val="auto"/>
              </w:rPr>
              <w:t>N/A</w:t>
            </w:r>
          </w:p>
        </w:tc>
        <w:tc>
          <w:tcPr>
            <w:tcW w:w="980" w:type="dxa"/>
            <w:vAlign w:val="bottom"/>
          </w:tcPr>
          <w:p>
            <w:pPr>
              <w:jc w:val="right"/>
              <w:spacing w:after="0"/>
              <w:rPr>
                <w:sz w:val="20"/>
                <w:szCs w:val="20"/>
                <w:color w:val="auto"/>
              </w:rPr>
            </w:pPr>
            <w:r>
              <w:rPr>
                <w:rFonts w:ascii="Arial" w:cs="Arial" w:eastAsia="Arial" w:hAnsi="Arial"/>
                <w:sz w:val="16"/>
                <w:szCs w:val="16"/>
                <w:color w:val="auto"/>
              </w:rPr>
              <w:t>1,088</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18"/>
                <w:szCs w:val="18"/>
                <w:color w:val="auto"/>
              </w:rPr>
            </w:pPr>
          </w:p>
        </w:tc>
        <w:tc>
          <w:tcPr>
            <w:tcW w:w="1220" w:type="dxa"/>
            <w:vAlign w:val="bottom"/>
            <w:gridSpan w:val="2"/>
          </w:tcPr>
          <w:p>
            <w:pPr>
              <w:ind w:left="720"/>
              <w:spacing w:after="0"/>
              <w:rPr>
                <w:sz w:val="20"/>
                <w:szCs w:val="20"/>
                <w:color w:val="auto"/>
              </w:rPr>
            </w:pPr>
            <w:r>
              <w:rPr>
                <w:rFonts w:ascii="Arial" w:cs="Arial" w:eastAsia="Arial" w:hAnsi="Arial"/>
                <w:sz w:val="16"/>
                <w:szCs w:val="16"/>
                <w:color w:val="auto"/>
              </w:rPr>
              <w:t>N/A</w:t>
            </w:r>
          </w:p>
        </w:tc>
        <w:tc>
          <w:tcPr>
            <w:tcW w:w="1020" w:type="dxa"/>
            <w:vAlign w:val="bottom"/>
          </w:tcPr>
          <w:p>
            <w:pPr>
              <w:jc w:val="right"/>
              <w:spacing w:after="0"/>
              <w:rPr>
                <w:sz w:val="20"/>
                <w:szCs w:val="20"/>
                <w:color w:val="auto"/>
              </w:rPr>
            </w:pPr>
            <w:r>
              <w:rPr>
                <w:rFonts w:ascii="Arial" w:cs="Arial" w:eastAsia="Arial" w:hAnsi="Arial"/>
                <w:sz w:val="16"/>
                <w:szCs w:val="16"/>
                <w:color w:val="auto"/>
              </w:rPr>
              <w:t>36,700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Lumière</w:t>
            </w: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2018</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3"/>
              </w:rPr>
              <w:t>Missouri</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rPr>
              <w:t>N/A</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1,371</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Evansville</w:t>
            </w:r>
          </w:p>
        </w:tc>
        <w:tc>
          <w:tcPr>
            <w:tcW w:w="1100" w:type="dxa"/>
            <w:vAlign w:val="bottom"/>
            <w:tcBorders>
              <w:bottom w:val="single" w:sz="8" w:color="CFF0FC"/>
            </w:tcBorders>
          </w:tcPr>
          <w:p>
            <w:pPr>
              <w:jc w:val="center"/>
              <w:spacing w:after="0"/>
              <w:rPr>
                <w:sz w:val="20"/>
                <w:szCs w:val="20"/>
                <w:color w:val="auto"/>
              </w:rPr>
            </w:pPr>
            <w:r>
              <w:rPr>
                <w:rFonts w:ascii="Arial" w:cs="Arial" w:eastAsia="Arial" w:hAnsi="Arial"/>
                <w:sz w:val="16"/>
                <w:szCs w:val="16"/>
                <w:color w:val="auto"/>
                <w:w w:val="89"/>
              </w:rPr>
              <w:t>2018</w:t>
            </w:r>
          </w:p>
        </w:tc>
        <w:tc>
          <w:tcPr>
            <w:tcW w:w="120" w:type="dxa"/>
            <w:vAlign w:val="bottom"/>
            <w:tcBorders>
              <w:bottom w:val="single" w:sz="8" w:color="CFF0FC"/>
            </w:tcBorders>
          </w:tcPr>
          <w:p>
            <w:pPr>
              <w:spacing w:after="0"/>
              <w:rPr>
                <w:sz w:val="18"/>
                <w:szCs w:val="18"/>
                <w:color w:val="auto"/>
              </w:rPr>
            </w:pPr>
          </w:p>
        </w:tc>
        <w:tc>
          <w:tcPr>
            <w:tcW w:w="122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6"/>
                <w:szCs w:val="16"/>
                <w:color w:val="auto"/>
                <w:w w:val="91"/>
              </w:rPr>
              <w:t>Indiana</w:t>
            </w:r>
          </w:p>
        </w:tc>
        <w:tc>
          <w:tcPr>
            <w:tcW w:w="122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6"/>
                <w:szCs w:val="16"/>
                <w:color w:val="auto"/>
                <w:w w:val="88"/>
              </w:rPr>
              <w:t>Sportsbook</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w:t>
            </w:r>
          </w:p>
        </w:tc>
        <w:tc>
          <w:tcPr>
            <w:tcW w:w="2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2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46,300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1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23,937</w:t>
            </w:r>
          </w:p>
        </w:tc>
        <w:tc>
          <w:tcPr>
            <w:tcW w:w="2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659</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11,335</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1,202,900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560" w:right="220" w:hanging="553"/>
        <w:spacing w:after="0" w:line="259"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entered into agreements to sell Isle of Capri Casino Kansas City, Lady Luck Casino Vicksburg and Eldorado Resort Casino Shreveport. The Isle of Capri Casino Kansas City and Lady Luck Casino Vicksburg sales are expected to close in the first half of 2020. The Eldorado Resort Casino Shreveport sale is expected to close in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 Region</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West segment consists of seven properties in Nevada and Colorado.</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Eldorado Resort Casino Reno</w:t>
      </w:r>
    </w:p>
    <w:p>
      <w:pPr>
        <w:spacing w:after="0" w:line="114" w:lineRule="exact"/>
        <w:rPr>
          <w:sz w:val="20"/>
          <w:szCs w:val="20"/>
          <w:color w:val="auto"/>
        </w:rPr>
      </w:pPr>
    </w:p>
    <w:p>
      <w:pPr>
        <w:ind w:right="160" w:firstLine="555"/>
        <w:spacing w:after="0" w:line="290" w:lineRule="auto"/>
        <w:rPr>
          <w:sz w:val="20"/>
          <w:szCs w:val="20"/>
          <w:color w:val="auto"/>
        </w:rPr>
      </w:pPr>
      <w:r>
        <w:rPr>
          <w:rFonts w:ascii="Arial" w:cs="Arial" w:eastAsia="Arial" w:hAnsi="Arial"/>
          <w:sz w:val="16"/>
          <w:szCs w:val="16"/>
          <w:color w:val="auto"/>
        </w:rPr>
        <w:t>Eldorado Resort Casino Reno (“Eldorado Reno”) is a premier hotel, casino and entertainment facility. The interior of the hotel is designed to create a European ambiance where hotel guests enjoy panoramic views of Reno’s skyline and the majestic Sierra Nevada mountain range. Eldorado Reno is centrally located in downtown Reno, Nevada. Eldorado Reno includes a casino, a race and sportsbook, 11 restaurants, a showroom, VIP room, retail shops, convention center and an outdoor plaza located diagonal to Eldorado Reno which hosts a variety of special events. Eldorado Reno is connected with our other two Reno properties, Silver Legacy and Circus Reno, in a “seamless” manner by enclosed climate controlled skywalks (branded as “THE ROW”). THE ROW draws from residents of the Reno area as well as tourist visitation from northern California and the Pacific Northwest.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65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Silver Legacy Resort Casino</w:t>
      </w:r>
    </w:p>
    <w:p>
      <w:pPr>
        <w:spacing w:after="0" w:line="114" w:lineRule="exact"/>
        <w:rPr>
          <w:sz w:val="20"/>
          <w:szCs w:val="20"/>
          <w:color w:val="auto"/>
        </w:rPr>
      </w:pPr>
    </w:p>
    <w:p>
      <w:pPr>
        <w:ind w:right="60" w:firstLine="555"/>
        <w:spacing w:after="0" w:line="254" w:lineRule="auto"/>
        <w:rPr>
          <w:sz w:val="20"/>
          <w:szCs w:val="20"/>
          <w:color w:val="auto"/>
        </w:rPr>
      </w:pPr>
      <w:r>
        <w:rPr>
          <w:rFonts w:ascii="Arial" w:cs="Arial" w:eastAsia="Arial" w:hAnsi="Arial"/>
          <w:sz w:val="18"/>
          <w:szCs w:val="18"/>
          <w:color w:val="auto"/>
        </w:rPr>
        <w:t>Silver Legacy Reno (“Silver Legacy”) is the tallest building in northern Nevada consisting of 37, 34 and 31-floor tiers. Silver Legacy’s opulent interior showcases a casino built around Sam Fairchild’s 120-foot tall mining rig, which appears to mine for silver. The rig is situated beneath a 180-foot diameter dome, which is a distinctive landmark on the Reno skyline. The Silver Legacy is centrally located in downtown Reno, Nevada and offers a casino, a race and sportsbook, six restaurants, including Ruth’s Chris Steak House, a 21,000 square-foot spa which opened in the fourth quarter of 2018</w:t>
      </w:r>
      <w:r>
        <w:rPr>
          <w:rFonts w:ascii="Arial" w:cs="Arial" w:eastAsia="Arial" w:hAnsi="Arial"/>
          <w:sz w:val="18"/>
          <w:szCs w:val="18"/>
          <w:i w:val="1"/>
          <w:iCs w:val="1"/>
          <w:color w:val="auto"/>
        </w:rPr>
        <w:t>,</w:t>
      </w:r>
      <w:r>
        <w:rPr>
          <w:rFonts w:ascii="Arial" w:cs="Arial" w:eastAsia="Arial" w:hAnsi="Arial"/>
          <w:sz w:val="18"/>
          <w:szCs w:val="18"/>
          <w:color w:val="auto"/>
        </w:rPr>
        <w:t xml:space="preserve"> an outdoor swimming pool and sundeck and retail shops.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Circus Circus Reno</w:t>
      </w:r>
    </w:p>
    <w:p>
      <w:pPr>
        <w:spacing w:after="0" w:line="114" w:lineRule="exact"/>
        <w:rPr>
          <w:sz w:val="20"/>
          <w:szCs w:val="20"/>
          <w:color w:val="auto"/>
        </w:rPr>
      </w:pPr>
    </w:p>
    <w:p>
      <w:pPr>
        <w:ind w:right="260" w:firstLine="555"/>
        <w:spacing w:after="0" w:line="219" w:lineRule="exact"/>
        <w:rPr>
          <w:sz w:val="20"/>
          <w:szCs w:val="20"/>
          <w:color w:val="auto"/>
        </w:rPr>
      </w:pPr>
      <w:r>
        <w:rPr>
          <w:rFonts w:ascii="Arial" w:cs="Arial" w:eastAsia="Arial" w:hAnsi="Arial"/>
          <w:sz w:val="18"/>
          <w:szCs w:val="18"/>
          <w:color w:val="auto"/>
        </w:rPr>
        <w:t>Circus Circus Reno (“Circus Reno”) is an iconic, circus</w:t>
      </w:r>
      <w:r>
        <w:rPr>
          <w:rFonts w:ascii="MS PGothic" w:cs="MS PGothic" w:eastAsia="MS PGothic" w:hAnsi="MS PGothic"/>
          <w:sz w:val="18"/>
          <w:szCs w:val="18"/>
          <w:color w:val="auto"/>
        </w:rPr>
        <w:t>‑</w:t>
      </w:r>
      <w:r>
        <w:rPr>
          <w:rFonts w:ascii="Arial" w:cs="Arial" w:eastAsia="Arial" w:hAnsi="Arial"/>
          <w:sz w:val="18"/>
          <w:szCs w:val="18"/>
          <w:color w:val="auto"/>
        </w:rPr>
        <w:t>themed hotel</w:t>
      </w:r>
      <w:r>
        <w:rPr>
          <w:rFonts w:ascii="MS PGothic" w:cs="MS PGothic" w:eastAsia="MS PGothic" w:hAnsi="MS PGothic"/>
          <w:sz w:val="18"/>
          <w:szCs w:val="18"/>
          <w:color w:val="auto"/>
        </w:rPr>
        <w:t>‑</w:t>
      </w:r>
      <w:r>
        <w:rPr>
          <w:rFonts w:ascii="Arial" w:cs="Arial" w:eastAsia="Arial" w:hAnsi="Arial"/>
          <w:sz w:val="18"/>
          <w:szCs w:val="18"/>
          <w:color w:val="auto"/>
        </w:rPr>
        <w:t>casino and entertainment complex with two hotel towers. It is conveniently located as the first casino directly off Interstate 80 when entering downtown Reno, Nevada. Circus Reno offers a casino, a race and sportsbook, eight dining venues including a food court, a midway featuring over 150 games, live circus acts and an arcade.</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Isle Casino Hotel-Black Hawk</w:t>
      </w:r>
    </w:p>
    <w:p>
      <w:pPr>
        <w:spacing w:after="0" w:line="114" w:lineRule="exact"/>
        <w:rPr>
          <w:sz w:val="20"/>
          <w:szCs w:val="20"/>
          <w:color w:val="auto"/>
        </w:rPr>
      </w:pPr>
    </w:p>
    <w:p>
      <w:pPr>
        <w:ind w:right="120" w:firstLine="555"/>
        <w:spacing w:after="0" w:line="254" w:lineRule="auto"/>
        <w:rPr>
          <w:sz w:val="20"/>
          <w:szCs w:val="20"/>
          <w:color w:val="auto"/>
        </w:rPr>
      </w:pPr>
      <w:r>
        <w:rPr>
          <w:rFonts w:ascii="Arial" w:cs="Arial" w:eastAsia="Arial" w:hAnsi="Arial"/>
          <w:sz w:val="18"/>
          <w:szCs w:val="18"/>
          <w:color w:val="auto"/>
        </w:rPr>
        <w:t>Isle Casino Hotel-Black Hawk (“Isle Black Hawk”) is one of the first gaming facilities reached by customers arriving from Denver via Highway 119, the main thoroughfare connecting Denver to Black Hawk. Black Hawk is located approximately 40 miles west of the Denver, Colorado metropolitan area which serves as Isle Black Hawk’s primary feeder market. The property includes a casino, hotel, three restaurants, approximately 5,000 square feet of flexible space that can be used for meetings and special events and an attached parking garage. Isle Black Hawk is connected to our Lady Luck Casino-Black Hawk property via sky bridges.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Lady Luck Casino-Black Hawk</w:t>
      </w:r>
    </w:p>
    <w:p>
      <w:pPr>
        <w:spacing w:after="0" w:line="114"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Lady Luck Casino-Black Hawk (“Lady Luck Black Hawk”) is located across the intersection of Main Street and Mill Street from the Isle Black Hawk. The property consists of a casino, hotel, a restaurant, approximately 2,250 square feet of flexible space that can be used for meetings and special events, along with numerous surface parking spaces. Lady Luck Black Hawk is connected to our Isle Casino Hotel-Black Hawk property via sky bridges. The Denver, Colorado metropolitan area also serves as Lady Luck Black Hawk’s primary feeder market.</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Laughlin Hotel and Casino</w:t>
      </w:r>
    </w:p>
    <w:p>
      <w:pPr>
        <w:spacing w:after="0" w:line="114" w:lineRule="exact"/>
        <w:rPr>
          <w:sz w:val="20"/>
          <w:szCs w:val="20"/>
          <w:color w:val="auto"/>
        </w:rPr>
      </w:pPr>
    </w:p>
    <w:p>
      <w:pPr>
        <w:ind w:firstLine="555"/>
        <w:spacing w:after="0" w:line="275" w:lineRule="auto"/>
        <w:rPr>
          <w:sz w:val="20"/>
          <w:szCs w:val="20"/>
          <w:color w:val="auto"/>
        </w:rPr>
      </w:pPr>
      <w:r>
        <w:rPr>
          <w:rFonts w:ascii="Arial" w:cs="Arial" w:eastAsia="Arial" w:hAnsi="Arial"/>
          <w:sz w:val="17"/>
          <w:szCs w:val="17"/>
          <w:color w:val="auto"/>
        </w:rPr>
        <w:t>Tropicana Laughlin Hotel and Casino ("Tropicana Laughlin") is located on an approximately 31-acre site on Casino Drive, Laughlin, Nevada's principal thoroughfare. Amenities include a race and sportsbook, a hotel, a heated outdoor swimming pool, seven restaurants, an entertainment lounge with live music, a premium lounge for high-end players, an 800-seat multi-purpose showroom and concert hall, meeting and convention space, retail stores, an arcade and a covered parking structure. Tropicana Laughlin primarily draws customers from southern California and Arizona.</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MontBleu Casino Resort &amp; Spa</w:t>
      </w:r>
    </w:p>
    <w:p>
      <w:pPr>
        <w:spacing w:after="0" w:line="114" w:lineRule="exact"/>
        <w:rPr>
          <w:sz w:val="20"/>
          <w:szCs w:val="20"/>
          <w:color w:val="auto"/>
        </w:rPr>
      </w:pPr>
    </w:p>
    <w:p>
      <w:pPr>
        <w:ind w:right="160" w:firstLine="555"/>
        <w:spacing w:after="0" w:line="254" w:lineRule="auto"/>
        <w:rPr>
          <w:sz w:val="20"/>
          <w:szCs w:val="20"/>
          <w:color w:val="auto"/>
        </w:rPr>
      </w:pPr>
      <w:r>
        <w:rPr>
          <w:rFonts w:ascii="Arial" w:cs="Arial" w:eastAsia="Arial" w:hAnsi="Arial"/>
          <w:sz w:val="18"/>
          <w:szCs w:val="18"/>
          <w:color w:val="auto"/>
        </w:rPr>
        <w:t>MontBleu Casino Resort &amp; Spa (“MontBleu”) is situated on approximately 21 acres in South Lake Tahoe, Nevada surrounded by the Sierra Nevada Mountains. In addition to the casino, the property offers a race and sportsbook, a hotel, three restaurants and various non-gaming amenities, including retail shops, two nightclubs, a 1,300-seat showroom, approximately 14,000 square feet of meeting and convention space, a parking garage, a full-service health spa and workout area, an indoor heated lagoon-style pool with whirlpool and a 110-seat wedding chapel. MontBleu’s primary feeder markets include Northern California, the Reno area and the Pacific Northwest.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Midwest Region</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Midwest segment consists of four properties, including two dockside casinos in Iowa and two land-based casinos in Missouri.</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Isle Casino Waterloo</w:t>
      </w:r>
    </w:p>
    <w:p>
      <w:pPr>
        <w:spacing w:after="0" w:line="114" w:lineRule="exact"/>
        <w:rPr>
          <w:sz w:val="20"/>
          <w:szCs w:val="20"/>
          <w:color w:val="auto"/>
        </w:rPr>
      </w:pPr>
    </w:p>
    <w:p>
      <w:pPr>
        <w:ind w:right="40" w:firstLine="555"/>
        <w:spacing w:after="0" w:line="282" w:lineRule="auto"/>
        <w:rPr>
          <w:sz w:val="20"/>
          <w:szCs w:val="20"/>
          <w:color w:val="auto"/>
        </w:rPr>
      </w:pPr>
      <w:r>
        <w:rPr>
          <w:rFonts w:ascii="Arial" w:cs="Arial" w:eastAsia="Arial" w:hAnsi="Arial"/>
          <w:sz w:val="17"/>
          <w:szCs w:val="17"/>
          <w:color w:val="auto"/>
        </w:rPr>
        <w:t>Isle Casino Waterloo (“Waterloo”) is located in Iowa adjacent to Highway 218 and US 20. The property consists of a single-level land-based casino including a race and sportsbook and offers a wide variety of non-gaming amenities including a hotel and three restaurants. Waterloo primarily draws customers from within a twenty-five-mile radius of the property. The property also attracts customers from Cedar Rapids and Mason City, Iowa.</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66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Isle Casino Bettendorf</w:t>
      </w:r>
    </w:p>
    <w:p>
      <w:pPr>
        <w:spacing w:after="0" w:line="114" w:lineRule="exact"/>
        <w:rPr>
          <w:sz w:val="20"/>
          <w:szCs w:val="20"/>
          <w:color w:val="auto"/>
        </w:rPr>
      </w:pPr>
    </w:p>
    <w:p>
      <w:pPr>
        <w:ind w:right="440" w:firstLine="555"/>
        <w:spacing w:after="0" w:line="255" w:lineRule="auto"/>
        <w:rPr>
          <w:sz w:val="20"/>
          <w:szCs w:val="20"/>
          <w:color w:val="auto"/>
        </w:rPr>
      </w:pPr>
      <w:r>
        <w:rPr>
          <w:rFonts w:ascii="Arial" w:cs="Arial" w:eastAsia="Arial" w:hAnsi="Arial"/>
          <w:sz w:val="18"/>
          <w:szCs w:val="18"/>
          <w:color w:val="auto"/>
        </w:rPr>
        <w:t>Isle Casino Bettendorf (“Bettendorf”) is located in Iowa off Interstate 74, an interstate highway serving the Quad Cities metropolitan area, which consists of Bettendorf and Davenport, Iowa and Moline and Rock Island, Illinois. Bettendorf consists of a land-based casino, a race and sportsbook, three dining venues, two hotel towers and 40,000 square feet of convention and banquet space. The Quad Cities metropolitan area currently has three gaming operations, including our gaming facility, and is the main feeder market for Bettendorf.</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Isle of Capri Casino Boonville</w:t>
      </w:r>
    </w:p>
    <w:p>
      <w:pPr>
        <w:spacing w:after="0" w:line="114" w:lineRule="exact"/>
        <w:rPr>
          <w:sz w:val="20"/>
          <w:szCs w:val="20"/>
          <w:color w:val="auto"/>
        </w:rPr>
      </w:pPr>
    </w:p>
    <w:p>
      <w:pPr>
        <w:jc w:val="both"/>
        <w:ind w:right="180" w:firstLine="555"/>
        <w:spacing w:after="0" w:line="282" w:lineRule="auto"/>
        <w:rPr>
          <w:sz w:val="20"/>
          <w:szCs w:val="20"/>
          <w:color w:val="auto"/>
        </w:rPr>
      </w:pPr>
      <w:r>
        <w:rPr>
          <w:rFonts w:ascii="Arial" w:cs="Arial" w:eastAsia="Arial" w:hAnsi="Arial"/>
          <w:sz w:val="17"/>
          <w:szCs w:val="17"/>
          <w:color w:val="auto"/>
        </w:rPr>
        <w:t>Isle of Capri Casino Boonville (“Boonville”) is located in Missouri three miles off Interstate 70, approximately halfway between Kansas City and St. Louis. It is the only gaming facility in central Missouri. The property consists of a single level dockside casino, two dining venues and offers a 32,400 square foot pavilion and entertainment center. Boonville attracts customers primarily from the Columbia and Jefferson City areas.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Isle of Capri Casino Kansas City</w:t>
      </w:r>
    </w:p>
    <w:p>
      <w:pPr>
        <w:spacing w:after="0" w:line="114" w:lineRule="exact"/>
        <w:rPr>
          <w:sz w:val="20"/>
          <w:szCs w:val="20"/>
          <w:color w:val="auto"/>
        </w:rPr>
      </w:pPr>
    </w:p>
    <w:p>
      <w:pPr>
        <w:ind w:right="260" w:firstLine="555"/>
        <w:spacing w:after="0" w:line="271" w:lineRule="auto"/>
        <w:rPr>
          <w:sz w:val="20"/>
          <w:szCs w:val="20"/>
          <w:color w:val="auto"/>
        </w:rPr>
      </w:pPr>
      <w:r>
        <w:rPr>
          <w:rFonts w:ascii="Arial" w:cs="Arial" w:eastAsia="Arial" w:hAnsi="Arial"/>
          <w:sz w:val="18"/>
          <w:szCs w:val="18"/>
          <w:color w:val="auto"/>
        </w:rPr>
        <w:t>Isle of Capri Kansas City (“Kansas City”) consists of a dockside casino and two dining venues. It is the closest gaming facility to downtown Kansas City, Missouri. Kansas City attracts customers primarily from the Kansas City metropolitan area.</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Region</w:t>
      </w:r>
    </w:p>
    <w:p>
      <w:pPr>
        <w:spacing w:after="0" w:line="118" w:lineRule="exact"/>
        <w:rPr>
          <w:sz w:val="20"/>
          <w:szCs w:val="20"/>
          <w:color w:val="auto"/>
        </w:rPr>
      </w:pPr>
    </w:p>
    <w:p>
      <w:pPr>
        <w:ind w:right="20" w:firstLine="555"/>
        <w:spacing w:after="0" w:line="271" w:lineRule="auto"/>
        <w:rPr>
          <w:sz w:val="20"/>
          <w:szCs w:val="20"/>
          <w:color w:val="auto"/>
        </w:rPr>
      </w:pPr>
      <w:r>
        <w:rPr>
          <w:rFonts w:ascii="Arial" w:cs="Arial" w:eastAsia="Arial" w:hAnsi="Arial"/>
          <w:sz w:val="18"/>
          <w:szCs w:val="18"/>
          <w:color w:val="auto"/>
        </w:rPr>
        <w:t>The South segment consists of seven properties, including five dockside casinos in Louisiana and Mississippi, one land-based casino in Mississippi and one racino in Florida.</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Isle Casino Racing Pompano Park</w:t>
      </w:r>
    </w:p>
    <w:p>
      <w:pPr>
        <w:spacing w:after="0" w:line="114"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Isle Casino Racing Pompano Park (“Pompano”), a casino and harness racing track located in Pompano Beach, Florida, is located off Interstate 95 and the Florida Turnpike on a 223-acre owned site, near Fort Lauderdale, midway between Miami and West Palm Beach. Pompano offers four dining venues and is the only racetrack licensed to conduct harness racing in Florida. In April 2018, we announced the formation of a joint venture with the Cordish Companies (“Cordish”) to master plan and develop a mixed-use entertainment and hospitality destination expected to be located on unused land adjacent to the casino and racetrack. Pompano primarily attracts customers from within a 25-mile radius of the property.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Eldorado Resort Casino Shreveport</w:t>
      </w:r>
    </w:p>
    <w:p>
      <w:pPr>
        <w:spacing w:after="0" w:line="114"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Eldorado Resort Casino Shreveport (“Eldorado Shreveport”) is a premier resort with a tri-level riverboat casino and an all-suite art deco-style hotel located in Shreveport, Louisiana adjacent to Interstate 20, a major highway that connects the Shreveport market with the attractive feeder markets of East Texas and Dallas/Fort Worth, Texas. The property offers five restaurants, including a gourmet steakhouse, and a 380-seat grand ballroom. The principal target markets for Eldorado Shreveport are patrons from the Dallas/Fort Worth Metroplex and East Texas, which provides access to a large customer base within approximately 200 miles of Shreveport.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Isle of Capri Casino Lula</w:t>
      </w:r>
    </w:p>
    <w:p>
      <w:pPr>
        <w:spacing w:after="0" w:line="114" w:lineRule="exact"/>
        <w:rPr>
          <w:sz w:val="20"/>
          <w:szCs w:val="20"/>
          <w:color w:val="auto"/>
        </w:rPr>
      </w:pPr>
    </w:p>
    <w:p>
      <w:pPr>
        <w:ind w:right="320" w:firstLine="555"/>
        <w:spacing w:after="0" w:line="254" w:lineRule="auto"/>
        <w:rPr>
          <w:sz w:val="20"/>
          <w:szCs w:val="20"/>
          <w:color w:val="auto"/>
        </w:rPr>
      </w:pPr>
      <w:r>
        <w:rPr>
          <w:rFonts w:ascii="Arial" w:cs="Arial" w:eastAsia="Arial" w:hAnsi="Arial"/>
          <w:sz w:val="18"/>
          <w:szCs w:val="18"/>
          <w:color w:val="auto"/>
        </w:rPr>
        <w:t>Isle of Capri Casino Lula (“Lula”) is located off of Highway 49, the only road crossing the Mississippi River between Mississippi and Arkansas for more than 50 miles in either direction. Lula consists of two dockside casinos, a race and sportsbook, two land-based hotels, three dining venues, two sportsbook terminals and a land-based pavilion and entertainment center. Lula draws a significant amount of business from the Little Rock, Arkansas metropolitan area, which is located approximately 120 miles west of the property. Lula is also located approximately 60 miles southwest of Memphis, Tennessee.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Lady Luck Casino Vicksburg</w:t>
      </w:r>
    </w:p>
    <w:p>
      <w:pPr>
        <w:spacing w:after="0" w:line="114"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Lady Luck Vicksburg (“Vicksburg”) is located off Interstate 20 and Highway 61 in western Mississippi, approximately 50 miles west of Jackson, Mississippi, and consists of a dockside casino, a race and sportsbook, hotel and four dining venues. Vicksburg’s customers are drawn primarily from within a 60-mile radius of the property.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66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Isle of Capri Casino Hotel Lake Charles</w:t>
      </w:r>
    </w:p>
    <w:p>
      <w:pPr>
        <w:spacing w:after="0" w:line="114" w:lineRule="exact"/>
        <w:rPr>
          <w:sz w:val="20"/>
          <w:szCs w:val="20"/>
          <w:color w:val="auto"/>
        </w:rPr>
      </w:pPr>
    </w:p>
    <w:p>
      <w:pPr>
        <w:ind w:right="200" w:firstLine="555"/>
        <w:spacing w:after="0" w:line="254" w:lineRule="auto"/>
        <w:rPr>
          <w:sz w:val="20"/>
          <w:szCs w:val="20"/>
          <w:color w:val="auto"/>
        </w:rPr>
      </w:pPr>
      <w:r>
        <w:rPr>
          <w:rFonts w:ascii="Arial" w:cs="Arial" w:eastAsia="Arial" w:hAnsi="Arial"/>
          <w:sz w:val="18"/>
          <w:szCs w:val="18"/>
          <w:color w:val="auto"/>
        </w:rPr>
        <w:t>Isle of Capri Casino Hotel Lake Charles (“Lake Charles”) is located on a 19-acre site along Interstate 10, the main thoroughfare connecting Houston, Texas to Lake Charles, Louisiana. Lake Charles offers a dockside casino, three dining venues and a 14,750 square foot entertainment center comprised of a 1,142-seat special events center designed for concerts, banquets and other events, meeting facilities and administrative offices. Lake Charles is the closest gaming market to the Houston metropolitan area, which is located approximately 140 miles west of Lake Charles. Lake Charles attracts customers primarily from southeast Texas and from local residents.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 Casino Greenville</w:t>
      </w:r>
    </w:p>
    <w:p>
      <w:pPr>
        <w:spacing w:after="0" w:line="114"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Trop Casino Greenville (“Greenville”), located in Greenville, Mississippi, is a land-based gaming facility with slot machines and table games, a race and sportsbook, two restaurants, a bar and 734 onsite parking spaces. The property also leases and operates the Greenville Inn &amp; Suites, located less than a mile from the casino, and offers free shuttle service between the hotel and casino. The property draws customers primarily from the local market and, to some extent, from the Little Rock, Vicksburg and Tunica markets.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Belle of Baton Rouge Casino &amp; Hotel</w:t>
      </w:r>
    </w:p>
    <w:p>
      <w:pPr>
        <w:spacing w:after="0" w:line="114" w:lineRule="exact"/>
        <w:rPr>
          <w:sz w:val="20"/>
          <w:szCs w:val="20"/>
          <w:color w:val="auto"/>
        </w:rPr>
      </w:pPr>
    </w:p>
    <w:p>
      <w:pPr>
        <w:ind w:right="140" w:firstLine="555"/>
        <w:spacing w:after="0" w:line="255" w:lineRule="auto"/>
        <w:rPr>
          <w:sz w:val="20"/>
          <w:szCs w:val="20"/>
          <w:color w:val="auto"/>
        </w:rPr>
      </w:pPr>
      <w:r>
        <w:rPr>
          <w:rFonts w:ascii="Arial" w:cs="Arial" w:eastAsia="Arial" w:hAnsi="Arial"/>
          <w:sz w:val="18"/>
          <w:szCs w:val="18"/>
          <w:color w:val="auto"/>
        </w:rPr>
        <w:t>Belle of Baton Rouge Casino &amp; Hotel (“Baton Rouge”) is a dockside riverboat situated on approximately 23 acres on the Mississippi River in the downtown historic district of Baton Rouge, Louisiana. Amenities include a hotel, 25,000 square feet of meeting space, an outdoor pool, three dining venues and an entertainment venue inside a 56,000-square-foot glass atrium. The majority of Baton Rouge’s customers are drawn from within a 50-mile radius of the property.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 Region</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East segment consists of two properties, including a racino located in Ohio and a casino in New Jersey.</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Eldorado Gaming Scioto Downs</w:t>
      </w:r>
    </w:p>
    <w:p>
      <w:pPr>
        <w:spacing w:after="0" w:line="114" w:lineRule="exact"/>
        <w:rPr>
          <w:sz w:val="20"/>
          <w:szCs w:val="20"/>
          <w:color w:val="auto"/>
        </w:rPr>
      </w:pPr>
    </w:p>
    <w:p>
      <w:pPr>
        <w:ind w:right="20" w:firstLine="555"/>
        <w:spacing w:after="0" w:line="217" w:lineRule="exact"/>
        <w:rPr>
          <w:sz w:val="20"/>
          <w:szCs w:val="20"/>
          <w:color w:val="auto"/>
        </w:rPr>
      </w:pPr>
      <w:r>
        <w:rPr>
          <w:rFonts w:ascii="Arial" w:cs="Arial" w:eastAsia="Arial" w:hAnsi="Arial"/>
          <w:sz w:val="17"/>
          <w:szCs w:val="17"/>
          <w:color w:val="auto"/>
        </w:rPr>
        <w:t>Eldorado Gaming Scioto Downs (“Scioto Downs”) is a modern “racino” located in the heart of central Ohio, off Highway 23/South High Street, approximately eight miles from downtown Columbus. Scioto Downs is one of only two licensed gaming facilities in the Columbus area. Scioto Downs racino offers live standard bred harness horse racing conducted from May through mid</w:t>
      </w:r>
      <w:r>
        <w:rPr>
          <w:rFonts w:ascii="MS PGothic" w:cs="MS PGothic" w:eastAsia="MS PGothic" w:hAnsi="MS PGothic"/>
          <w:sz w:val="17"/>
          <w:szCs w:val="17"/>
          <w:color w:val="auto"/>
        </w:rPr>
        <w:t>‑</w:t>
      </w:r>
      <w:r>
        <w:rPr>
          <w:rFonts w:ascii="Arial" w:cs="Arial" w:eastAsia="Arial" w:hAnsi="Arial"/>
          <w:sz w:val="17"/>
          <w:szCs w:val="17"/>
          <w:color w:val="auto"/>
        </w:rPr>
        <w:t>September and on</w:t>
      </w:r>
      <w:r>
        <w:rPr>
          <w:rFonts w:ascii="MS PGothic" w:cs="MS PGothic" w:eastAsia="MS PGothic" w:hAnsi="MS PGothic"/>
          <w:sz w:val="17"/>
          <w:szCs w:val="17"/>
          <w:color w:val="auto"/>
        </w:rPr>
        <w:t>‑</w:t>
      </w:r>
      <w:r>
        <w:rPr>
          <w:rFonts w:ascii="Arial" w:cs="Arial" w:eastAsia="Arial" w:hAnsi="Arial"/>
          <w:sz w:val="17"/>
          <w:szCs w:val="17"/>
          <w:color w:val="auto"/>
        </w:rPr>
        <w:t>site pari</w:t>
      </w:r>
      <w:r>
        <w:rPr>
          <w:rFonts w:ascii="MS PGothic" w:cs="MS PGothic" w:eastAsia="MS PGothic" w:hAnsi="MS PGothic"/>
          <w:sz w:val="17"/>
          <w:szCs w:val="17"/>
          <w:color w:val="auto"/>
        </w:rPr>
        <w:t>‑</w:t>
      </w:r>
      <w:r>
        <w:rPr>
          <w:rFonts w:ascii="Arial" w:cs="Arial" w:eastAsia="Arial" w:hAnsi="Arial"/>
          <w:sz w:val="17"/>
          <w:szCs w:val="17"/>
          <w:color w:val="auto"/>
        </w:rPr>
        <w:t>mutuel wagering and thoroughbred, harness and greyhound racing simulcast from other prominent tracks, as well as wagering on Scioto Downs’ races. Scioto Downs also offers three dining venues and a 118-room third party hotel connected to the casino. Scioto Downs attracts customers primarily from the greater Columbus area.</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Casino and Resort, Atlantic City</w:t>
      </w:r>
    </w:p>
    <w:p>
      <w:pPr>
        <w:spacing w:after="0" w:line="114" w:lineRule="exact"/>
        <w:rPr>
          <w:sz w:val="20"/>
          <w:szCs w:val="20"/>
          <w:color w:val="auto"/>
        </w:rPr>
      </w:pPr>
    </w:p>
    <w:p>
      <w:pPr>
        <w:ind w:right="80" w:firstLine="555"/>
        <w:spacing w:after="0" w:line="269" w:lineRule="auto"/>
        <w:rPr>
          <w:sz w:val="20"/>
          <w:szCs w:val="20"/>
          <w:color w:val="auto"/>
        </w:rPr>
      </w:pPr>
      <w:r>
        <w:rPr>
          <w:rFonts w:ascii="Arial" w:cs="Arial" w:eastAsia="Arial" w:hAnsi="Arial"/>
          <w:sz w:val="17"/>
          <w:szCs w:val="17"/>
          <w:color w:val="auto"/>
        </w:rPr>
        <w:t>Tropicana Casino and Resort, Atlantic City (“Trop AC”) is situated on approximately 15 acres with approximately 660 feet of ocean frontage in Atlantic City, New Jersey. Located within driving distance from the densely populated New York-to-Washington D.C. corridor, the Atlantic City market typically attracts day-trip and overnight customers from within a 300-mile radius. Trop AC is one of the larger properties in Atlantic City featuring four hotel towers and the adjacent Chelsea Hotel in addition to approximately 121,900 square feet of gaming space and a race and sportsbook. The property also features The Quarter, a Havana-themed, Las Vegas-style, approximately 200,000 square-foot indoor entertainment and retail center, 25 restaurants, nightclubs, shops and an IMAX theatre. Other amenities include a 2,000-seat showroom, an up-scale Disco themed nightclub, a full-service spa and salon, a health club and indoor pool, a beach and pool bar and approximately 99,000 square feet of meeting and convention space.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Region</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Central segment consists of three properties located in Indiana, Illinois and Missouri.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66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Tropicana Evansville</w:t>
      </w:r>
    </w:p>
    <w:p>
      <w:pPr>
        <w:spacing w:after="0" w:line="114" w:lineRule="exact"/>
        <w:rPr>
          <w:sz w:val="20"/>
          <w:szCs w:val="20"/>
          <w:color w:val="auto"/>
        </w:rPr>
      </w:pPr>
    </w:p>
    <w:p>
      <w:pPr>
        <w:ind w:right="20" w:firstLine="555"/>
        <w:spacing w:after="0" w:line="290" w:lineRule="auto"/>
        <w:rPr>
          <w:sz w:val="20"/>
          <w:szCs w:val="20"/>
          <w:color w:val="auto"/>
        </w:rPr>
      </w:pPr>
      <w:r>
        <w:rPr>
          <w:rFonts w:ascii="Arial" w:cs="Arial" w:eastAsia="Arial" w:hAnsi="Arial"/>
          <w:sz w:val="16"/>
          <w:szCs w:val="16"/>
          <w:color w:val="auto"/>
        </w:rPr>
        <w:t>Tropicana Evansville (“Evansville”) is a large casino hotel and entertainment complex and a popular attraction in Evansville, the third largest city in the state of Indiana. The property serves customers in the tri-state region of southern Indiana, southeastern Illinois and western Kentucky, as well as the Nashville, Tennessee area, and is the only full-service casino within an 85-mile radius. The land-based complex, which is anchored on each end by two hotels and encompasses approximately 79,000 square feet of enclosed space, includes approximately 45,000 square feet of casino floor, four dining venues, a race and sportsbook and back of house space. The complex also includes approximately 11,000 square feet of convention space adjacent to the casino, and a Riverfront Event Center located across the street, which includes approximately 10,000 square feet of convention space overlooking the Ohio River.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Lumière Place Casino</w:t>
      </w:r>
    </w:p>
    <w:p>
      <w:pPr>
        <w:spacing w:after="0" w:line="114"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Lumière Place Casino (“Lumière”) is located on approximately 20 acres in historic downtown St. Louis, Missouri near business and entertainment districts and overlooks the Mississippi River. Its location provides significant foot traffic from nearby venues including The Dome at America's Center, a multi-purpose stadium and convention center which is connected to Lumière via a pedestrian tunnel, the Gateway Arch and Busch Stadium. In addition to the casino, the Lumière complex includes the all-suites HoteLumière, the luxury Four Seasons Hotel St. Louis, three full service restaurants, retail shops, indoor pool and fitness center, full service spa and 28,000 square feet of meeting and convention space.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Grand Victoria Casino</w:t>
      </w:r>
    </w:p>
    <w:p>
      <w:pPr>
        <w:spacing w:after="0" w:line="114" w:lineRule="exact"/>
        <w:rPr>
          <w:sz w:val="20"/>
          <w:szCs w:val="20"/>
          <w:color w:val="auto"/>
        </w:rPr>
      </w:pPr>
    </w:p>
    <w:p>
      <w:pPr>
        <w:jc w:val="both"/>
        <w:ind w:right="480" w:firstLine="555"/>
        <w:spacing w:after="0" w:line="307" w:lineRule="auto"/>
        <w:rPr>
          <w:sz w:val="20"/>
          <w:szCs w:val="20"/>
          <w:color w:val="auto"/>
        </w:rPr>
      </w:pPr>
      <w:r>
        <w:rPr>
          <w:rFonts w:ascii="Arial" w:cs="Arial" w:eastAsia="Arial" w:hAnsi="Arial"/>
          <w:sz w:val="16"/>
          <w:szCs w:val="16"/>
          <w:color w:val="auto"/>
        </w:rPr>
        <w:t>The Elgin Riverboat Resort – Riverboat Casino d/b/a Grand Victoria Casino (“Elgin”) is located in Elgin, Illinois approximately 40 miles west of downtown Chicago along the banks of the Fox River. The property features a dock-side casino and four dining venues. It also offers approximately 7,500 square feet of meeting, event and banquet space, a 1,450-space parking garage and additional surface parking for 600 vehicles.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Lease</w:t>
      </w:r>
    </w:p>
    <w:p>
      <w:pPr>
        <w:spacing w:after="0" w:line="118" w:lineRule="exact"/>
        <w:rPr>
          <w:sz w:val="20"/>
          <w:szCs w:val="20"/>
          <w:color w:val="auto"/>
        </w:rPr>
      </w:pPr>
    </w:p>
    <w:p>
      <w:pPr>
        <w:jc w:val="both"/>
        <w:ind w:firstLine="555"/>
        <w:spacing w:after="0" w:line="284" w:lineRule="auto"/>
        <w:rPr>
          <w:sz w:val="20"/>
          <w:szCs w:val="20"/>
          <w:color w:val="auto"/>
        </w:rPr>
      </w:pPr>
      <w:r>
        <w:rPr>
          <w:rFonts w:ascii="Arial" w:cs="Arial" w:eastAsia="Arial" w:hAnsi="Arial"/>
          <w:sz w:val="16"/>
          <w:szCs w:val="16"/>
          <w:color w:val="auto"/>
        </w:rPr>
        <w:t>The Master Lease provides for the lease of land, buildings, structures and other improvements on the land (including barges and riverboats), easements and similar appurtenances to the land and improvements relating to the operation of the leased properties. Our properties that are currently subject to the Master Lease are Trop AC, Laughlin, Greenville, Baton Rouge and Evansville. The Master Lease provides for an initial term of fifteen years with no purchase option.</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At our option, the Master Lease may be extended for up to four five-year renewal terms beyond the initial 15-year term. If we elect to renew the term of the Master Lease, the renewal will be effective as to all, but not less than all, of the leased property then subject to the Master Lease. We do not have the ability to terminate its obligations under the Master Lease prior to its expiration without GLPI’s consent. The obligations of the tenant under the Master Lease are guaranteed by ERI.</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rent payable under the Master Lease is comprised of “Base Rent” and “Percentage Rent.” Base rent is the sum of:</w:t>
      </w:r>
    </w:p>
    <w:p>
      <w:pPr>
        <w:spacing w:after="0" w:line="114" w:lineRule="exact"/>
        <w:rPr>
          <w:sz w:val="20"/>
          <w:szCs w:val="20"/>
          <w:color w:val="auto"/>
        </w:rPr>
      </w:pPr>
    </w:p>
    <w:p>
      <w:pPr>
        <w:jc w:val="both"/>
        <w:ind w:left="1100" w:right="320" w:hanging="544"/>
        <w:spacing w:after="0" w:line="282" w:lineRule="auto"/>
        <w:tabs>
          <w:tab w:leader="none" w:pos="1100" w:val="left"/>
        </w:tabs>
        <w:numPr>
          <w:ilvl w:val="0"/>
          <w:numId w:val="4"/>
        </w:numPr>
        <w:rPr>
          <w:rFonts w:ascii="Arial" w:cs="Arial" w:eastAsia="Arial" w:hAnsi="Arial"/>
          <w:sz w:val="17"/>
          <w:szCs w:val="17"/>
          <w:color w:val="auto"/>
        </w:rPr>
      </w:pPr>
      <w:r>
        <w:rPr>
          <w:rFonts w:ascii="Arial" w:cs="Arial" w:eastAsia="Arial" w:hAnsi="Arial"/>
          <w:sz w:val="17"/>
          <w:szCs w:val="17"/>
          <w:color w:val="auto"/>
        </w:rPr>
        <w:t>Building Base Rent: a fixed component equal to $60.9 million during the first year of the Master Lease, and thereafter escalated annually by 2%, subject to a cap that would cause the preceding year’s adjusted revenue to rent ratio for the properties in the aggregate not to fall below 1.20:1.00 for the first five years of the Master Lease and 1.80:1.00 thereafter; plus</w:t>
      </w:r>
    </w:p>
    <w:p>
      <w:pPr>
        <w:spacing w:after="0" w:line="60" w:lineRule="exact"/>
        <w:rPr>
          <w:rFonts w:ascii="Arial" w:cs="Arial" w:eastAsia="Arial" w:hAnsi="Arial"/>
          <w:sz w:val="17"/>
          <w:szCs w:val="17"/>
          <w:color w:val="auto"/>
        </w:rPr>
      </w:pPr>
    </w:p>
    <w:p>
      <w:pPr>
        <w:ind w:left="1100" w:right="520" w:hanging="544"/>
        <w:spacing w:after="0" w:line="271"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Land Base Rent: a fixed component equal to $13.4 million, subject to adjustment in the event of the termination of the Master Lease with respect to any of the leased properties.</w:t>
      </w:r>
    </w:p>
    <w:p>
      <w:pPr>
        <w:spacing w:after="0" w:line="175" w:lineRule="exact"/>
        <w:rPr>
          <w:sz w:val="20"/>
          <w:szCs w:val="20"/>
          <w:color w:val="auto"/>
        </w:rPr>
      </w:pPr>
    </w:p>
    <w:p>
      <w:pPr>
        <w:jc w:val="both"/>
        <w:ind w:right="340" w:firstLine="555"/>
        <w:spacing w:after="0" w:line="259" w:lineRule="auto"/>
        <w:rPr>
          <w:sz w:val="20"/>
          <w:szCs w:val="20"/>
          <w:color w:val="auto"/>
        </w:rPr>
      </w:pPr>
      <w:r>
        <w:rPr>
          <w:rFonts w:ascii="Arial" w:cs="Arial" w:eastAsia="Arial" w:hAnsi="Arial"/>
          <w:sz w:val="18"/>
          <w:szCs w:val="18"/>
          <w:color w:val="auto"/>
        </w:rPr>
        <w:t>The percentage rent payable under the Master Lease is adjusted every two years based on the actual net revenues of the leased properties during the two-year period then ended. The initial variable rent percentage, which is fixed for the first two years from the Master Lease inception, is $13.4 million per year. The actual percentage increase is based on actual performance and may change materially.</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Master Lease is commonly known as a triple net lease. Accordingly, in addition to rent, we are required to pay the following, among other things:</w:t>
      </w:r>
    </w:p>
    <w:p>
      <w:pPr>
        <w:spacing w:after="0" w:line="43" w:lineRule="exact"/>
        <w:rPr>
          <w:sz w:val="20"/>
          <w:szCs w:val="20"/>
          <w:color w:val="auto"/>
        </w:rPr>
      </w:pPr>
    </w:p>
    <w:p>
      <w:pPr>
        <w:ind w:right="220" w:firstLine="7"/>
        <w:spacing w:after="0" w:line="250" w:lineRule="auto"/>
        <w:tabs>
          <w:tab w:leader="none" w:pos="213" w:val="left"/>
        </w:tabs>
        <w:numPr>
          <w:ilvl w:val="0"/>
          <w:numId w:val="5"/>
        </w:numPr>
        <w:rPr>
          <w:rFonts w:ascii="Arial" w:cs="Arial" w:eastAsia="Arial" w:hAnsi="Arial"/>
          <w:sz w:val="18"/>
          <w:szCs w:val="18"/>
          <w:color w:val="auto"/>
        </w:rPr>
      </w:pPr>
      <w:r>
        <w:rPr>
          <w:rFonts w:ascii="Arial" w:cs="Arial" w:eastAsia="Arial" w:hAnsi="Arial"/>
          <w:sz w:val="18"/>
          <w:szCs w:val="18"/>
          <w:color w:val="auto"/>
        </w:rPr>
        <w:t>lease payments to the underlying ground lessor for properties that are subject to ground leases; (ii) facility maintenance costs; (iii) all insurance premiums for insurance with respect to the leased properties and the business conducted on the leased properties; (iv) taxes levied on or with respect to the leased properties (other than taxes on the income of the lessor); and (v) all utilities and other services necessary or appropriate for the leased properties and the business conducted on the leased properties.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8" w:name="page9"/>
    <w:bookmarkEnd w:id="8"/>
    <w:p>
      <w:pPr>
        <w:ind w:right="120" w:firstLine="555"/>
        <w:spacing w:after="0" w:line="297" w:lineRule="auto"/>
        <w:rPr>
          <w:sz w:val="20"/>
          <w:szCs w:val="20"/>
          <w:color w:val="auto"/>
        </w:rPr>
      </w:pPr>
      <w:r>
        <w:rPr>
          <w:rFonts w:ascii="Arial" w:cs="Arial" w:eastAsia="Arial" w:hAnsi="Arial"/>
          <w:sz w:val="16"/>
          <w:szCs w:val="16"/>
          <w:color w:val="auto"/>
        </w:rPr>
        <w:t>The foregoing summary of the Master Lease is qualified in its entirety by reference to the Master Lease, which has been filed with the Securities and Exchange Commission. Under the prior lease accounting standard, it was accounted for as a failed sale-leaseback with a financing obligation equal to the fair value of the leased real estate assets and liabilities acquired in purchase accounting. Upon adoption of ASC 842 (see Note 3), the Company re-evaluated the Master Lease and determined this existing failed sale-leaseback transaction will continue to be accounted for as a financing obligation.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Strengths and Strategy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Personal service and high-quality amenities</w:t>
      </w:r>
    </w:p>
    <w:p>
      <w:pPr>
        <w:spacing w:after="0" w:line="114" w:lineRule="exact"/>
        <w:rPr>
          <w:sz w:val="20"/>
          <w:szCs w:val="20"/>
          <w:color w:val="auto"/>
        </w:rPr>
      </w:pPr>
    </w:p>
    <w:p>
      <w:pPr>
        <w:ind w:right="40" w:firstLine="555"/>
        <w:spacing w:after="0" w:line="267" w:lineRule="auto"/>
        <w:rPr>
          <w:sz w:val="20"/>
          <w:szCs w:val="20"/>
          <w:color w:val="auto"/>
        </w:rPr>
      </w:pPr>
      <w:r>
        <w:rPr>
          <w:rFonts w:ascii="Arial" w:cs="Arial" w:eastAsia="Arial" w:hAnsi="Arial"/>
          <w:sz w:val="17"/>
          <w:szCs w:val="17"/>
          <w:color w:val="auto"/>
        </w:rPr>
        <w:t>We focus on customer satisfaction and delivering superior guest experiences. We seek to provide our customers with an extraordinary level of personal service and popular gaming, dining and entertainment experiences designed to exceed customer expectations in a clean, safe, friendly and fun environment. Our senior management is actively involved in the daily operations of our properties, frequently interacting with gaming, hotel and restaurant patrons to ensure that they are receiving the highest level of personal attention. Management believes that personal service is an integral part of fostering customer loyalty and generating repeat business. We continually monitor our casino operations to react to changing market conditions and customer demands. We target both premium-play and value-conscious gaming patrons with differentiated offerings at our state-of-the-art casinos, which feature the latest in game technology, innovative bonus options, dynamic signage, customer-convenient features and non-gaming amenities at a reasonable value and price point. As we acquire properties, we have the ability to connect systems and market to our new customers by offering the benefits of our One Club player loyalty program which allows players to earn and redeem rewards across our portfolio.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Diversified portfolio across markets and customer segments</w:t>
      </w:r>
    </w:p>
    <w:p>
      <w:pPr>
        <w:spacing w:after="0" w:line="114" w:lineRule="exact"/>
        <w:rPr>
          <w:sz w:val="20"/>
          <w:szCs w:val="20"/>
          <w:color w:val="auto"/>
        </w:rPr>
      </w:pPr>
    </w:p>
    <w:p>
      <w:pPr>
        <w:ind w:right="140" w:firstLine="555"/>
        <w:spacing w:after="0" w:line="297" w:lineRule="auto"/>
        <w:rPr>
          <w:sz w:val="20"/>
          <w:szCs w:val="20"/>
          <w:color w:val="auto"/>
        </w:rPr>
      </w:pPr>
      <w:r>
        <w:rPr>
          <w:rFonts w:ascii="Arial" w:cs="Arial" w:eastAsia="Arial" w:hAnsi="Arial"/>
          <w:sz w:val="16"/>
          <w:szCs w:val="16"/>
          <w:color w:val="auto"/>
        </w:rPr>
        <w:t>We are geographically diversified across the United States, with no single property accounting for more than 14% of our net revenues for the year ended December 31, 2019. Our customer pool draws from a diversified base of both local and out-of-town patrons. We have also implemented changes to our marketing strategies to reach more potential customers through targeted direct mail, expanded electronic communications and cross-property marketing initiatives. We believe we have assembled a platform on which we can continue to grow and provide a differentiated customer experience.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team with deep gaming industry experience and strong local relationships</w:t>
      </w:r>
    </w:p>
    <w:p>
      <w:pPr>
        <w:spacing w:after="0" w:line="114" w:lineRule="exact"/>
        <w:rPr>
          <w:sz w:val="20"/>
          <w:szCs w:val="20"/>
          <w:color w:val="auto"/>
        </w:rPr>
      </w:pPr>
    </w:p>
    <w:p>
      <w:pPr>
        <w:ind w:right="200" w:firstLine="555"/>
        <w:spacing w:after="0" w:line="255" w:lineRule="auto"/>
        <w:rPr>
          <w:sz w:val="20"/>
          <w:szCs w:val="20"/>
          <w:color w:val="auto"/>
        </w:rPr>
      </w:pPr>
      <w:r>
        <w:rPr>
          <w:rFonts w:ascii="Arial" w:cs="Arial" w:eastAsia="Arial" w:hAnsi="Arial"/>
          <w:sz w:val="18"/>
          <w:szCs w:val="18"/>
          <w:color w:val="auto"/>
        </w:rPr>
        <w:t>We have a management team that includes senior executives with significant experience in the gaming and finance industries. We take pride in our reinvestment in our properties and the communities we support along with emphasizing our family-style approach to build loyalty among our team members and guests. We will continue to focus on the future growth and diversification of our company while maintaining our core values and striving for operational excellence.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Betting, Online Gaming and Development Opportunities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Hill</w:t>
      </w:r>
    </w:p>
    <w:p>
      <w:pPr>
        <w:spacing w:after="0" w:line="114" w:lineRule="exact"/>
        <w:rPr>
          <w:sz w:val="20"/>
          <w:szCs w:val="20"/>
          <w:color w:val="auto"/>
        </w:rPr>
      </w:pPr>
    </w:p>
    <w:p>
      <w:pPr>
        <w:ind w:firstLine="555"/>
        <w:spacing w:after="0" w:line="267" w:lineRule="auto"/>
        <w:rPr>
          <w:sz w:val="20"/>
          <w:szCs w:val="20"/>
          <w:color w:val="auto"/>
        </w:rPr>
      </w:pPr>
      <w:r>
        <w:rPr>
          <w:rFonts w:ascii="Arial" w:cs="Arial" w:eastAsia="Arial" w:hAnsi="Arial"/>
          <w:sz w:val="17"/>
          <w:szCs w:val="17"/>
          <w:color w:val="auto"/>
        </w:rPr>
        <w:t>In September 2018, we entered into a 25-year agreement, which became effective January 29, 2019, with William Hill PLC and William Hill US, its U.S. subsidiary (together, “William Hill”) pursuant to which the Company (i) granted to William Hill the right to conduct betting activities in retail channels and under the Company’s first skin and third skin for online channels with respect to the Company’s current and future properties located in the United States and the territories and possessions of the United States, including Puerto Rico and the U.S. Virgin Islands and (ii) agreed that William Hill will have the right to conduct real money online gaming activities utilizing the Company’s second skin available with respect to properties in such territories</w:t>
      </w:r>
      <w:r>
        <w:rPr>
          <w:rFonts w:ascii="Arial" w:cs="Arial" w:eastAsia="Arial" w:hAnsi="Arial"/>
          <w:sz w:val="17"/>
          <w:szCs w:val="17"/>
          <w:i w:val="1"/>
          <w:iCs w:val="1"/>
          <w:color w:val="auto"/>
        </w:rPr>
        <w:t>.</w:t>
      </w:r>
      <w:r>
        <w:rPr>
          <w:rFonts w:ascii="Arial" w:cs="Arial" w:eastAsia="Arial" w:hAnsi="Arial"/>
          <w:sz w:val="17"/>
          <w:szCs w:val="17"/>
          <w:color w:val="auto"/>
        </w:rPr>
        <w:t xml:space="preserve"> Pursuant to the terms of the agreement, in January 2019 the Company received a 20% ownership interest in William Hill US as well as 13.4 million ordinary shares of William Hill PLC, which carry certain time restrictions on when they can be sold. Additionally, the Company receives a profit share from the operations of betting and other gaming activities associated with the Company’s properties. “Skin” in the context of this agreement refers to Eldorado’s ability to grant to William Hill an online channel that allows William Hill to operate online casino and sports gaming activities in reliance on, and utilizing the benefit of, any licenses granted to Eldorado or its subsidiaries.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The Stars Group</w:t>
      </w:r>
    </w:p>
    <w:p>
      <w:pPr>
        <w:spacing w:after="0" w:line="114" w:lineRule="exact"/>
        <w:rPr>
          <w:sz w:val="20"/>
          <w:szCs w:val="20"/>
          <w:color w:val="auto"/>
        </w:rPr>
      </w:pPr>
    </w:p>
    <w:p>
      <w:pPr>
        <w:ind w:right="80" w:firstLine="555"/>
        <w:spacing w:after="0" w:line="288" w:lineRule="auto"/>
        <w:rPr>
          <w:sz w:val="20"/>
          <w:szCs w:val="20"/>
          <w:color w:val="auto"/>
        </w:rPr>
      </w:pPr>
      <w:r>
        <w:rPr>
          <w:rFonts w:ascii="Arial" w:cs="Arial" w:eastAsia="Arial" w:hAnsi="Arial"/>
          <w:sz w:val="16"/>
          <w:szCs w:val="16"/>
          <w:color w:val="auto"/>
        </w:rPr>
        <w:t>In November 2018, we entered into a 20-year agreement with The Stars Group Inc. (“TSG”) pursuant to which we agreed to provide TSG with options to obtain access to our second skin for online sports wagering and third skin for real money online gaming and poker, in each case with respect to our properties in the United States. Under the terms of the agreement, we will receive a revenue share from the operation of the applicable verticals by TSG under our licenses. Pursuant to the terms of the TSG agreement, we received 1.1 million TSG common shares valued at approximately $18.6 million and an additional $5.0 million in TSG common shares became payable to us upon TSG’s exercise of its first option, which shares we received in the fourth quarter of 2019. In December 2019 we sold approximately 0.5 million of our TSG common shares at the request of William Hill and in accordance with the terms of our William Hill agreement. We may also receive additional TSG common shares in the future based on TSG net gaming revenue generated in our markets.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Pompano Joint Venture</w:t>
      </w:r>
    </w:p>
    <w:p>
      <w:pPr>
        <w:spacing w:after="0" w:line="114" w:lineRule="exact"/>
        <w:rPr>
          <w:sz w:val="20"/>
          <w:szCs w:val="20"/>
          <w:color w:val="auto"/>
        </w:rPr>
      </w:pPr>
    </w:p>
    <w:p>
      <w:pPr>
        <w:ind w:right="20" w:firstLine="555"/>
        <w:spacing w:after="0" w:line="267" w:lineRule="auto"/>
        <w:rPr>
          <w:sz w:val="20"/>
          <w:szCs w:val="20"/>
          <w:color w:val="auto"/>
        </w:rPr>
      </w:pPr>
      <w:r>
        <w:rPr>
          <w:rFonts w:ascii="Arial" w:cs="Arial" w:eastAsia="Arial" w:hAnsi="Arial"/>
          <w:sz w:val="17"/>
          <w:szCs w:val="17"/>
          <w:color w:val="auto"/>
        </w:rPr>
        <w:t>In April 2018, we entered into a joint venture with Cordish Companies (“Cordish”) to master plan and develop a mixed-use entertainment and hospitality destination expected to be located on unused land adjacent to the casino and racetrack at our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our input and will submit it for our review and approval. We and Cordish have made cash contributions of $500,000 each and could be required to make additional contributions to a maximum of $2.0 million ($1.0 million per member) at the request of the managing member. We have agreed to contribute approximately 130 to 200 acres of land to the joint venture for the project. As of December 31, 2019, we have contributed approximately 23 acres to the joint venture at an approximate fair value of $6.6 million. While we hold a 50% variable interest in the joint venture, we are not the primary beneficiary; as such the investment in the joint venture is accounted for using the equity method. We participate evenly with Cordish in the profits and losses of the joint venture, which is included in income (loss) from unconsolidated affiliates on the Consolidated Statements of Income.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8" w:lineRule="exact"/>
        <w:rPr>
          <w:sz w:val="20"/>
          <w:szCs w:val="20"/>
          <w:color w:val="auto"/>
        </w:rPr>
      </w:pPr>
    </w:p>
    <w:p>
      <w:pPr>
        <w:ind w:firstLine="555"/>
        <w:spacing w:after="0" w:line="267" w:lineRule="auto"/>
        <w:rPr>
          <w:sz w:val="20"/>
          <w:szCs w:val="20"/>
          <w:color w:val="auto"/>
        </w:rPr>
      </w:pPr>
      <w:r>
        <w:rPr>
          <w:rFonts w:ascii="Arial" w:cs="Arial" w:eastAsia="Arial" w:hAnsi="Arial"/>
          <w:sz w:val="17"/>
          <w:szCs w:val="17"/>
          <w:color w:val="auto"/>
        </w:rPr>
        <w:t>The gaming industry is characterized by an increasingly high degree of competition and competition is intense in most of the markets in which we operate. We compete with a variety of gaming operations, including land-based casinos, dockside casinos, riverboat casinos, casinos located on racing tracks and casinos located on Native American reservations as well as other forms of legalized gaming such as video gaming terminals (VGTs) at bars, restaurants and truck stops. We also compete, to a lesser extent, with other forms of legalized gaming and entertainment such as online gambling, bingo, pull tab games, card parlors, sports books, fantasy sports websites, “cruise-to-nowhere” operations, pari-mutuel or telephonic betting on horse racing and dog racing, state-sponsored lotteries, jai-alai, and, in the future, may compete with gaming at other venues. In addition, we compete more generally with other forms of entertainment for the discretionary spending of our customers. Certain of our competitors are large gaming companies with greater name recognition and marketing and financial resources. In some instances, particularly in the case of Native American casinos, our competitors pay lower taxes or no taxes. These factors create additional challenges for us in competing for customers and accessing cash flow or financing to fund improvements for our casino and entertainment product that enable us to remain competitive.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Gaming Regulations</w:t>
      </w:r>
    </w:p>
    <w:p>
      <w:pPr>
        <w:spacing w:after="0" w:line="118" w:lineRule="exact"/>
        <w:rPr>
          <w:sz w:val="20"/>
          <w:szCs w:val="20"/>
          <w:color w:val="auto"/>
        </w:rPr>
      </w:pPr>
    </w:p>
    <w:p>
      <w:pPr>
        <w:ind w:right="60" w:firstLine="555"/>
        <w:spacing w:after="0" w:line="335" w:lineRule="auto"/>
        <w:rPr>
          <w:sz w:val="20"/>
          <w:szCs w:val="20"/>
          <w:color w:val="auto"/>
        </w:rPr>
      </w:pPr>
      <w:r>
        <w:rPr>
          <w:rFonts w:ascii="Arial" w:cs="Arial" w:eastAsia="Arial" w:hAnsi="Arial"/>
          <w:sz w:val="14"/>
          <w:szCs w:val="14"/>
          <w:color w:val="auto"/>
        </w:rPr>
        <w:t>The gaming and racing industries are highly regulated, and we must maintain our licenses and pay gaming taxes to continue our operations. We are subject to extensive regulation under laws, rules and supervisory procedures primarily in the jurisdictions where our facilities are located or docked. These laws, rules and regulations generally concern the responsibility, financial stability and characters of the owners, managers, and persons with financial interests in the gaming operations. If additional gaming regulations are adopted in a jurisdiction in which we operate, such regulations could impose restrictions or costs that could have a significant adverse effect on us. From time to time, various proposals have been introduced in legislatures of jurisdictions in which we have operations that, if enacted, could adversely affect the tax, regulatory, operational or other aspects of the gaming industry and us. We do not know whether or when such legislation will be enacted. Gaming companies are currently subject to significant state and local taxes and fees in addition to normal federal and state corporate income taxes, and such taxes and fees are subject to increase at any time. Any material increase in these taxes or fees could adversely affect us.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10" w:name="page11"/>
    <w:bookmarkEnd w:id="10"/>
    <w:p>
      <w:pPr>
        <w:jc w:val="both"/>
        <w:ind w:right="80" w:firstLine="555"/>
        <w:spacing w:after="0" w:line="259" w:lineRule="auto"/>
        <w:rPr>
          <w:sz w:val="20"/>
          <w:szCs w:val="20"/>
          <w:color w:val="auto"/>
        </w:rPr>
      </w:pPr>
      <w:r>
        <w:rPr>
          <w:rFonts w:ascii="Arial" w:cs="Arial" w:eastAsia="Arial" w:hAnsi="Arial"/>
          <w:sz w:val="18"/>
          <w:szCs w:val="18"/>
          <w:color w:val="auto"/>
        </w:rPr>
        <w:t>Some jurisdictions, including those in which we are licensed, empower their regulators to investigate participation by licensees in gaming outside their jurisdiction and require access to periodic reports respecting those gaming activities. Violations of laws in one jurisdiction could result in disciplinary action in other jurisdictions.</w:t>
      </w:r>
    </w:p>
    <w:p>
      <w:pPr>
        <w:spacing w:after="0" w:line="186" w:lineRule="exact"/>
        <w:rPr>
          <w:sz w:val="20"/>
          <w:szCs w:val="20"/>
          <w:color w:val="auto"/>
        </w:rPr>
      </w:pPr>
    </w:p>
    <w:p>
      <w:pPr>
        <w:ind w:right="300" w:firstLine="555"/>
        <w:spacing w:after="0" w:line="307" w:lineRule="auto"/>
        <w:rPr>
          <w:sz w:val="20"/>
          <w:szCs w:val="20"/>
          <w:color w:val="auto"/>
        </w:rPr>
      </w:pPr>
      <w:r>
        <w:rPr>
          <w:rFonts w:ascii="Arial" w:cs="Arial" w:eastAsia="Arial" w:hAnsi="Arial"/>
          <w:sz w:val="16"/>
          <w:szCs w:val="16"/>
          <w:color w:val="auto"/>
        </w:rPr>
        <w:t>Under provisions of gaming laws in jurisdictions in which we have operations, and under our organizational documents, certain of our securities are subject to restriction on ownership which may be imposed by specified governmental authorities. The restrictions may require a holder of our securities to dispose of the securities or, if the holder refuses, or is unable, to dispose of the securities, we may be required to repurchase the securities.</w:t>
      </w:r>
    </w:p>
    <w:p>
      <w:pPr>
        <w:spacing w:after="0" w:line="150" w:lineRule="exact"/>
        <w:rPr>
          <w:sz w:val="20"/>
          <w:szCs w:val="20"/>
          <w:color w:val="auto"/>
        </w:rPr>
      </w:pPr>
    </w:p>
    <w:p>
      <w:pPr>
        <w:ind w:right="500" w:firstLine="555"/>
        <w:spacing w:after="0" w:line="220" w:lineRule="exact"/>
        <w:rPr>
          <w:sz w:val="20"/>
          <w:szCs w:val="20"/>
          <w:color w:val="auto"/>
        </w:rPr>
      </w:pPr>
      <w:r>
        <w:rPr>
          <w:rFonts w:ascii="Arial" w:cs="Arial" w:eastAsia="Arial" w:hAnsi="Arial"/>
          <w:sz w:val="18"/>
          <w:szCs w:val="18"/>
          <w:color w:val="auto"/>
        </w:rPr>
        <w:t>A more detailed description of the regulations to which we are subject is contained in Exhibit 99.1 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which is incorporated herein by reference.</w:t>
      </w:r>
    </w:p>
    <w:p>
      <w:pPr>
        <w:spacing w:after="0" w:line="30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Reporting and Record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Keeping Requirements</w:t>
      </w:r>
    </w:p>
    <w:p>
      <w:pPr>
        <w:spacing w:after="0" w:line="118" w:lineRule="exact"/>
        <w:rPr>
          <w:sz w:val="20"/>
          <w:szCs w:val="20"/>
          <w:color w:val="auto"/>
        </w:rPr>
      </w:pPr>
    </w:p>
    <w:p>
      <w:pPr>
        <w:ind w:right="80" w:firstLine="555"/>
        <w:spacing w:after="0" w:line="272" w:lineRule="auto"/>
        <w:rPr>
          <w:sz w:val="20"/>
          <w:szCs w:val="20"/>
          <w:color w:val="auto"/>
        </w:rPr>
      </w:pPr>
      <w:r>
        <w:rPr>
          <w:rFonts w:ascii="Arial" w:cs="Arial" w:eastAsia="Arial" w:hAnsi="Arial"/>
          <w:sz w:val="17"/>
          <w:szCs w:val="17"/>
          <w:color w:val="auto"/>
        </w:rPr>
        <w:t>We are required periodically to submit detailed financial and operating reports and furnish any other information about us and our subsidiaries that gaming authorities may require. We are required to maintain a current stock ledger that may be examined by gaming authorities at any time. If any securities are held in trust by an agent or by a nominee, the record holder may be required to disclose the identity of the beneficial owner to gaming authorities. A failure to make such disclosure may be grounds for finding the record holder unsuitable. Gaming authorities may, and in certain jurisdictions do, require certificates for our securities to bear a legend indicating that the securities are subject to specified gaming laws.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18"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Gaming companies are typically subject to significant taxes and fees in addition to normal federal, state and local income taxes, and such taxes and fees are subject to increase at any time. We pay substantial taxes and fees with respect to our operations. From time to time, federal, state, local and provincial legislators and officials have proposed changes in tax laws, or in the administration of such laws, affecting the gaming industry. It is not possible to determine with certainty the likelihood of changes in tax laws or in the administration of such laws.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Revenue Service Regulations</w:t>
      </w:r>
    </w:p>
    <w:p>
      <w:pPr>
        <w:spacing w:after="0" w:line="118" w:lineRule="exact"/>
        <w:rPr>
          <w:sz w:val="20"/>
          <w:szCs w:val="20"/>
          <w:color w:val="auto"/>
        </w:rPr>
      </w:pPr>
    </w:p>
    <w:p>
      <w:pPr>
        <w:ind w:right="160" w:firstLine="555"/>
        <w:spacing w:after="0" w:line="275" w:lineRule="auto"/>
        <w:rPr>
          <w:sz w:val="20"/>
          <w:szCs w:val="20"/>
          <w:color w:val="auto"/>
        </w:rPr>
      </w:pPr>
      <w:r>
        <w:rPr>
          <w:rFonts w:ascii="Arial" w:cs="Arial" w:eastAsia="Arial" w:hAnsi="Arial"/>
          <w:sz w:val="17"/>
          <w:szCs w:val="17"/>
          <w:color w:val="auto"/>
        </w:rPr>
        <w:t>The Internal Revenue Service requires operators of casinos located in the United States to file information returns for U.S. citizens, including names and addresses of winners, for keno, bingo and slot machine winnings in excess of stipulated amounts. The Internal Revenue Service also requires operators to withhold taxes on some keno, bingo and slot machine winnings of nonresident aliens. We are unable to predict the extent to which these requirements, if extended, might impede or otherwise adversely affect operations of, and/or income from, the other games.</w:t>
      </w:r>
    </w:p>
    <w:p>
      <w:pPr>
        <w:spacing w:after="0" w:line="175" w:lineRule="exact"/>
        <w:rPr>
          <w:sz w:val="20"/>
          <w:szCs w:val="20"/>
          <w:color w:val="auto"/>
        </w:rPr>
      </w:pPr>
    </w:p>
    <w:p>
      <w:pPr>
        <w:ind w:right="160" w:firstLine="555"/>
        <w:spacing w:after="0" w:line="254" w:lineRule="auto"/>
        <w:rPr>
          <w:sz w:val="20"/>
          <w:szCs w:val="20"/>
          <w:color w:val="auto"/>
        </w:rPr>
      </w:pPr>
      <w:r>
        <w:rPr>
          <w:rFonts w:ascii="Arial" w:cs="Arial" w:eastAsia="Arial" w:hAnsi="Arial"/>
          <w:sz w:val="18"/>
          <w:szCs w:val="18"/>
          <w:color w:val="auto"/>
        </w:rPr>
        <w:t>Regulations adopted by the Financial Crimes Enforcement Network of the Treasury Department (“FINCEN”) and the Nevada Gaming Authorities require the reporting of currency transactions in excess of $10,000 occurring within a gaming day, including identification of the patron by name and social security number. This reporting obligation began in May 1985 and may have resulted in the loss of gaming revenues to jurisdictions outside the United States which are exempt from the ambit of these regulations. In addition to currency transaction reporting requirements, suspicious financial activity is also required to be reported to FINCEN.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Laws and Regulations</w:t>
      </w:r>
    </w:p>
    <w:p>
      <w:pPr>
        <w:spacing w:after="0" w:line="118"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Our businesses are subject to various federal, state and local laws and regulations in addition to gaming regulations. These laws and regulations include, but are not limited to, restrictions and conditions concerning alcoholic beverages, food service, smoking, environmental matters, employees and employment practices, currency transactions, taxation, zoning and building codes,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w:t>
      </w:r>
    </w:p>
    <w:p>
      <w:pPr>
        <w:spacing w:after="0" w:line="177"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The sale of alcoholic beverages is subject to licensing, control and regulation by applicable local regulatory agencies. All licenses are revocable and are not transferable. The agencies involved have full power to limit, condition, suspend or revoke any license, and any disciplinary action could, and revocation would, have a material adverse effect upon our operations.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Intellectual Property</w:t>
      </w:r>
    </w:p>
    <w:p>
      <w:pPr>
        <w:spacing w:after="0" w:line="118" w:lineRule="exact"/>
        <w:rPr>
          <w:sz w:val="20"/>
          <w:szCs w:val="20"/>
          <w:color w:val="auto"/>
        </w:rPr>
      </w:pPr>
    </w:p>
    <w:p>
      <w:pPr>
        <w:ind w:right="20" w:firstLine="555"/>
        <w:spacing w:after="0" w:line="297" w:lineRule="auto"/>
        <w:rPr>
          <w:sz w:val="20"/>
          <w:szCs w:val="20"/>
          <w:color w:val="auto"/>
        </w:rPr>
      </w:pPr>
      <w:r>
        <w:rPr>
          <w:rFonts w:ascii="Arial" w:cs="Arial" w:eastAsia="Arial" w:hAnsi="Arial"/>
          <w:sz w:val="16"/>
          <w:szCs w:val="16"/>
          <w:color w:val="auto"/>
        </w:rPr>
        <w:t>We use a variety of trade names, service marks, trademarks, patents and copyrights in our operations and believe that we have all the licenses necessary to conduct our continuing operations. We have registered several service marks, trademarks, patents and copyrights with the United States Patent and Trademark Office or otherwise acquired the licenses to use those which are material to conduct our business. We also own patents relating to unique casino games. We file copyright applications to protect our creative artworks, which are often featured in property branding, as well as our distinctive website content.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18" w:lineRule="exact"/>
        <w:rPr>
          <w:sz w:val="20"/>
          <w:szCs w:val="20"/>
          <w:color w:val="auto"/>
        </w:rPr>
      </w:pPr>
    </w:p>
    <w:p>
      <w:pPr>
        <w:ind w:right="380" w:firstLine="555"/>
        <w:spacing w:after="0" w:line="259" w:lineRule="auto"/>
        <w:rPr>
          <w:sz w:val="20"/>
          <w:szCs w:val="20"/>
          <w:color w:val="auto"/>
        </w:rPr>
      </w:pPr>
      <w:r>
        <w:rPr>
          <w:rFonts w:ascii="Arial" w:cs="Arial" w:eastAsia="Arial" w:hAnsi="Arial"/>
          <w:sz w:val="18"/>
          <w:szCs w:val="18"/>
          <w:color w:val="auto"/>
        </w:rPr>
        <w:t>Casino, hotel and racing operations in our markets are subject to seasonal variation. Seasonal weather conditions can frequently adversely affect transportation routes to each of our properties and may cause flooding and other effects that result in the closure of our properties. As a result, unfavorable seasonal conditions could have a material adverse effect on our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18" w:lineRule="exact"/>
        <w:rPr>
          <w:sz w:val="20"/>
          <w:szCs w:val="20"/>
          <w:color w:val="auto"/>
        </w:rPr>
      </w:pPr>
    </w:p>
    <w:p>
      <w:pPr>
        <w:ind w:right="80" w:firstLine="555"/>
        <w:spacing w:after="0" w:line="215" w:lineRule="exact"/>
        <w:rPr>
          <w:sz w:val="20"/>
          <w:szCs w:val="20"/>
          <w:color w:val="auto"/>
        </w:rPr>
      </w:pPr>
      <w:r>
        <w:rPr>
          <w:rFonts w:ascii="Arial" w:cs="Arial" w:eastAsia="Arial" w:hAnsi="Arial"/>
          <w:sz w:val="16"/>
          <w:szCs w:val="16"/>
          <w:color w:val="auto"/>
        </w:rPr>
        <w:t>We are subject to various federal, state and local environmental, health and safety laws and regulations, including those relating to the use, storage, discharge, emission and disposal of hazardous materials and solid, animal and hazardous wastes and exposure to hazardous materials. Such laws and regulations can impose liability on potentially responsible parties, including the owners or operators of real property, to clean up, or contribute to the cost of cleaning up, sites at which hazardous wastes or materials were disposed of or released. In addition to investigation and remediation liabilities that could arise under such laws and regulations, we could also face personal injury, property damage, fines or other claims by third parties concerning environmental compliance or contamination or exposure to hazardous materials and could be subject to significant fines or penalties for any violations. We have from time to time been responsible for investigating and remediating, or contributing to remediation costs related to, contamination located at or near certain of our facilities, including contamination related to underground storage tanks and groundwater contamination arising from prior uses of land on which certain of our facilities are located. In addition, we have been, and may in the future be, required to manage, abate, remove or contain manure and wastewater generated by concentrated animal feeding operations due to our racetrack operations, mold, lead, asbestos</w:t>
      </w:r>
      <w:r>
        <w:rPr>
          <w:rFonts w:ascii="MS PGothic" w:cs="MS PGothic" w:eastAsia="MS PGothic" w:hAnsi="MS PGothic"/>
          <w:sz w:val="16"/>
          <w:szCs w:val="16"/>
          <w:color w:val="auto"/>
        </w:rPr>
        <w:t>‑</w:t>
      </w:r>
      <w:r>
        <w:rPr>
          <w:rFonts w:ascii="Arial" w:cs="Arial" w:eastAsia="Arial" w:hAnsi="Arial"/>
          <w:sz w:val="16"/>
          <w:szCs w:val="16"/>
          <w:color w:val="auto"/>
        </w:rPr>
        <w:t>containing materials or other hazardous conditions found in or on our properties. Although we have incurred, and expect that we will continue to incur, costs related to the investigation, identification and remediation of hazardous materials or conditions known or discovered to exist at our properties, those costs have not had, and are not expected to have, a material adverse effect on our financial condition, results of operations or cash flow.</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118" w:lineRule="exact"/>
        <w:rPr>
          <w:sz w:val="20"/>
          <w:szCs w:val="20"/>
          <w:color w:val="auto"/>
        </w:rPr>
      </w:pPr>
    </w:p>
    <w:p>
      <w:pPr>
        <w:ind w:right="100" w:firstLine="555"/>
        <w:spacing w:after="0" w:line="297" w:lineRule="auto"/>
        <w:rPr>
          <w:sz w:val="20"/>
          <w:szCs w:val="20"/>
          <w:color w:val="auto"/>
        </w:rPr>
      </w:pPr>
      <w:r>
        <w:rPr>
          <w:rFonts w:ascii="Arial" w:cs="Arial" w:eastAsia="Arial" w:hAnsi="Arial"/>
          <w:sz w:val="16"/>
          <w:szCs w:val="16"/>
          <w:color w:val="auto"/>
        </w:rPr>
        <w:t>As of December 31, 2019, we had approximately 15,500 employees. As of such date, we had 18 collective bargaining agreements covering approximately 3,100 employees. Five collective bargaining agreements are scheduled to expire in 2020, and we are currently renegotiating one collective bargaining agreement that has expired. There can be no assurance that we will be able to extend or enter into replacement agreements. If we are able to extend or enter into replacement agreements, there can be no assurance as to whether the terms will be on comparable terms to the existing agreements.</w:t>
      </w:r>
    </w:p>
    <w:p>
      <w:pPr>
        <w:spacing w:after="0" w:line="26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Cautionary Statement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Information</w:t>
      </w:r>
    </w:p>
    <w:p>
      <w:pPr>
        <w:spacing w:after="0" w:line="118" w:lineRule="exact"/>
        <w:rPr>
          <w:sz w:val="20"/>
          <w:szCs w:val="20"/>
          <w:color w:val="auto"/>
        </w:rPr>
      </w:pPr>
    </w:p>
    <w:p>
      <w:pPr>
        <w:ind w:firstLine="555"/>
        <w:spacing w:after="0" w:line="216" w:lineRule="exact"/>
        <w:rPr>
          <w:sz w:val="20"/>
          <w:szCs w:val="20"/>
          <w:color w:val="auto"/>
        </w:rPr>
      </w:pPr>
      <w:r>
        <w:rPr>
          <w:rFonts w:ascii="Arial" w:cs="Arial" w:eastAsia="Arial" w:hAnsi="Arial"/>
          <w:sz w:val="17"/>
          <w:szCs w:val="17"/>
          <w:color w:val="auto"/>
        </w:rPr>
        <w:t>This report includes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Section 27A of the Securities Act of 1933, as amended, and Section 21E of the Securities Exchange Act of 1934, as amended.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Specifically, forward-looking statements may include, among others, statements concerning:</w:t>
      </w:r>
    </w:p>
    <w:p>
      <w:pPr>
        <w:spacing w:after="0" w:line="97" w:lineRule="exact"/>
        <w:rPr>
          <w:sz w:val="20"/>
          <w:szCs w:val="20"/>
          <w:color w:val="auto"/>
        </w:rPr>
      </w:pPr>
    </w:p>
    <w:p>
      <w:pPr>
        <w:ind w:left="1100" w:hanging="544"/>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projections of future results of operations or financial condition;</w:t>
      </w:r>
    </w:p>
    <w:p>
      <w:pPr>
        <w:spacing w:after="0" w:line="114" w:lineRule="exact"/>
        <w:rPr>
          <w:rFonts w:ascii="Arial" w:cs="Arial" w:eastAsia="Arial" w:hAnsi="Arial"/>
          <w:sz w:val="18"/>
          <w:szCs w:val="18"/>
          <w:color w:val="auto"/>
        </w:rPr>
      </w:pPr>
    </w:p>
    <w:p>
      <w:pPr>
        <w:ind w:left="1100" w:right="100" w:hanging="544"/>
        <w:spacing w:after="0" w:line="271"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consummate the acquisition of Caesars, the related real estate transactions with VICI and the disposition of our properties located in Kansas City, Vicksburg and Shreveport;</w:t>
      </w:r>
    </w:p>
    <w:p>
      <w:pPr>
        <w:spacing w:after="0" w:line="67" w:lineRule="exact"/>
        <w:rPr>
          <w:rFonts w:ascii="Arial" w:cs="Arial" w:eastAsia="Arial" w:hAnsi="Arial"/>
          <w:sz w:val="18"/>
          <w:szCs w:val="18"/>
          <w:color w:val="auto"/>
        </w:rPr>
      </w:pPr>
    </w:p>
    <w:p>
      <w:pPr>
        <w:ind w:left="1100" w:right="600" w:hanging="544"/>
        <w:spacing w:after="0" w:line="271"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expectations regarding our business and results of operations of our existing casino properties and prospects for future development and expansion of sports betting and online betting and gaming;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656" w:right="259" w:bottom="1440" w:gutter="0" w:footer="0" w:header="0"/>
        </w:sectPr>
      </w:pPr>
    </w:p>
    <w:bookmarkStart w:id="12" w:name="page13"/>
    <w:bookmarkEnd w:id="12"/>
    <w:p>
      <w:pPr>
        <w:ind w:left="1100" w:right="160" w:hanging="544"/>
        <w:spacing w:after="0" w:line="271"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expectations regarding trends that will affect our market and the gaming industry generally and the impact of those trends on our business and results of operations;</w:t>
      </w:r>
    </w:p>
    <w:p>
      <w:pPr>
        <w:spacing w:after="0" w:line="67" w:lineRule="exact"/>
        <w:rPr>
          <w:rFonts w:ascii="Arial" w:cs="Arial" w:eastAsia="Arial" w:hAnsi="Arial"/>
          <w:sz w:val="18"/>
          <w:szCs w:val="18"/>
          <w:color w:val="auto"/>
        </w:rPr>
      </w:pPr>
    </w:p>
    <w:p>
      <w:pPr>
        <w:ind w:left="1100" w:hanging="5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comply with the covenants in the agreements governing our outstanding indebtedness;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expectations regarding availability of capital resources;</w:t>
      </w:r>
    </w:p>
    <w:p>
      <w:pPr>
        <w:spacing w:after="0" w:line="114" w:lineRule="exact"/>
        <w:rPr>
          <w:rFonts w:ascii="Arial" w:cs="Arial" w:eastAsia="Arial" w:hAnsi="Arial"/>
          <w:sz w:val="18"/>
          <w:szCs w:val="18"/>
          <w:color w:val="auto"/>
        </w:rPr>
      </w:pPr>
    </w:p>
    <w:p>
      <w:pPr>
        <w:ind w:left="1100" w:hanging="544"/>
        <w:spacing w:after="0" w:line="301" w:lineRule="auto"/>
        <w:tabs>
          <w:tab w:leader="none" w:pos="11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intention to pursue development opportunities, including the development of a mixed-use entertainment and hospitality destination expected to be located on unused land adjacent to the Pompano casino and racetrack, and additional acquisitions and divestitures;</w:t>
      </w:r>
    </w:p>
    <w:p>
      <w:pPr>
        <w:spacing w:after="0" w:line="44" w:lineRule="exact"/>
        <w:rPr>
          <w:rFonts w:ascii="Arial" w:cs="Arial" w:eastAsia="Arial" w:hAnsi="Arial"/>
          <w:sz w:val="17"/>
          <w:szCs w:val="17"/>
          <w:color w:val="auto"/>
        </w:rPr>
      </w:pPr>
    </w:p>
    <w:p>
      <w:pPr>
        <w:ind w:left="1100" w:right="360" w:hanging="544"/>
        <w:spacing w:after="0" w:line="271"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financing for, and realize the anticipated benefits, of the acquisition of Caesars and future development and acquisition opportunities; and</w:t>
      </w:r>
    </w:p>
    <w:p>
      <w:pPr>
        <w:spacing w:after="0" w:line="67" w:lineRule="exact"/>
        <w:rPr>
          <w:rFonts w:ascii="Arial" w:cs="Arial" w:eastAsia="Arial" w:hAnsi="Arial"/>
          <w:sz w:val="18"/>
          <w:szCs w:val="18"/>
          <w:color w:val="auto"/>
        </w:rPr>
      </w:pPr>
    </w:p>
    <w:p>
      <w:pPr>
        <w:ind w:left="1100" w:right="480" w:hanging="544"/>
        <w:spacing w:after="0" w:line="271"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regulation on our business and our ability to receive and maintain necessary approvals for our existing properties and future projects and operation of online sportsbook, poker and gaming.</w:t>
      </w:r>
    </w:p>
    <w:p>
      <w:pPr>
        <w:spacing w:after="0" w:line="175" w:lineRule="exact"/>
        <w:rPr>
          <w:sz w:val="20"/>
          <w:szCs w:val="20"/>
          <w:color w:val="auto"/>
        </w:rPr>
      </w:pPr>
    </w:p>
    <w:p>
      <w:pPr>
        <w:ind w:right="20" w:firstLine="555"/>
        <w:spacing w:after="0" w:line="216" w:lineRule="exact"/>
        <w:rPr>
          <w:sz w:val="20"/>
          <w:szCs w:val="20"/>
          <w:color w:val="auto"/>
        </w:rPr>
      </w:pPr>
      <w:r>
        <w:rPr>
          <w:rFonts w:ascii="Arial" w:cs="Arial" w:eastAsia="Arial" w:hAnsi="Arial"/>
          <w:sz w:val="16"/>
          <w:szCs w:val="16"/>
          <w:color w:val="auto"/>
        </w:rPr>
        <w:t>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are based upon underlying assumptions, including any assumptions mentioned with the specific statements, as of the date such statements were made. Such assumptions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Actual results may differ materially from any future results, performance or achievements expressed or implied by such statements.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speak only as of the date they are made, and we assume no duty to update forward-looking statements. Forward-looking statements should not be regarded as a representation by us or any other person that the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will be achieved. Undue reliance should not be placed on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Some of the contingencies and uncertainties to which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 contained herein are subject include, but are not limited to, the following:</w:t>
      </w:r>
    </w:p>
    <w:p>
      <w:pPr>
        <w:spacing w:after="0" w:line="95" w:lineRule="exact"/>
        <w:rPr>
          <w:sz w:val="20"/>
          <w:szCs w:val="20"/>
          <w:color w:val="auto"/>
        </w:rPr>
      </w:pPr>
    </w:p>
    <w:p>
      <w:pPr>
        <w:ind w:left="1100" w:right="240" w:hanging="544"/>
        <w:spacing w:after="0" w:line="259"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substantial indebtedness and significant financial commitments, including our obligations under the Master Lease, could adversely affect our results of operations and our ability to service such obligations, react to changes in our markets and pursue development and acquisition opportunities;</w:t>
      </w:r>
    </w:p>
    <w:p>
      <w:pPr>
        <w:spacing w:after="0" w:line="79" w:lineRule="exact"/>
        <w:rPr>
          <w:rFonts w:ascii="Arial" w:cs="Arial" w:eastAsia="Arial" w:hAnsi="Arial"/>
          <w:sz w:val="18"/>
          <w:szCs w:val="18"/>
          <w:color w:val="auto"/>
        </w:rPr>
      </w:pPr>
    </w:p>
    <w:p>
      <w:pPr>
        <w:ind w:left="1100" w:hanging="544"/>
        <w:spacing w:after="0"/>
        <w:tabs>
          <w:tab w:leader="none" w:pos="11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restrictions and limitations in agreements governing our debt could significantly affect our ability to operate our business and our liquidity;</w:t>
      </w:r>
    </w:p>
    <w:p>
      <w:pPr>
        <w:spacing w:after="0" w:line="125" w:lineRule="exact"/>
        <w:rPr>
          <w:rFonts w:ascii="Arial" w:cs="Arial" w:eastAsia="Arial" w:hAnsi="Arial"/>
          <w:sz w:val="17"/>
          <w:szCs w:val="17"/>
          <w:color w:val="auto"/>
        </w:rPr>
      </w:pPr>
    </w:p>
    <w:p>
      <w:pPr>
        <w:ind w:left="1100" w:hanging="544"/>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relating to payment of a significant portion of our cash flow as debt service and rent under the Master Lease;</w:t>
      </w:r>
    </w:p>
    <w:p>
      <w:pPr>
        <w:spacing w:after="0" w:line="114" w:lineRule="exact"/>
        <w:rPr>
          <w:rFonts w:ascii="Arial" w:cs="Arial" w:eastAsia="Arial" w:hAnsi="Arial"/>
          <w:sz w:val="18"/>
          <w:szCs w:val="18"/>
          <w:color w:val="auto"/>
        </w:rPr>
      </w:pPr>
    </w:p>
    <w:p>
      <w:pPr>
        <w:ind w:left="1100" w:right="220" w:hanging="544"/>
        <w:spacing w:after="0" w:line="271"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operational, regulatory or other potential challenges that may arise as a result of leasing of a number of our properties from a single lessor;</w:t>
      </w:r>
    </w:p>
    <w:p>
      <w:pPr>
        <w:spacing w:after="0" w:line="67" w:lineRule="exact"/>
        <w:rPr>
          <w:rFonts w:ascii="Arial" w:cs="Arial" w:eastAsia="Arial" w:hAnsi="Arial"/>
          <w:sz w:val="18"/>
          <w:szCs w:val="18"/>
          <w:color w:val="auto"/>
        </w:rPr>
      </w:pPr>
    </w:p>
    <w:p>
      <w:pPr>
        <w:ind w:left="1100" w:right="40" w:hanging="544"/>
        <w:spacing w:after="0" w:line="271"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facilities operate in very competitive environments and we face increasing competition, including through legalization of online betting and gaming;</w:t>
      </w:r>
    </w:p>
    <w:p>
      <w:pPr>
        <w:spacing w:after="0" w:line="67" w:lineRule="exact"/>
        <w:rPr>
          <w:rFonts w:ascii="Arial" w:cs="Arial" w:eastAsia="Arial" w:hAnsi="Arial"/>
          <w:sz w:val="18"/>
          <w:szCs w:val="18"/>
          <w:color w:val="auto"/>
        </w:rPr>
      </w:pPr>
    </w:p>
    <w:p>
      <w:pPr>
        <w:ind w:left="1100" w:right="160" w:hanging="544"/>
        <w:spacing w:after="0" w:line="301" w:lineRule="auto"/>
        <w:tabs>
          <w:tab w:leader="none" w:pos="1100" w:val="left"/>
        </w:tabs>
        <w:numPr>
          <w:ilvl w:val="0"/>
          <w:numId w:val="8"/>
        </w:numPr>
        <w:rPr>
          <w:rFonts w:ascii="Arial" w:cs="Arial" w:eastAsia="Arial" w:hAnsi="Arial"/>
          <w:sz w:val="17"/>
          <w:szCs w:val="17"/>
          <w:color w:val="auto"/>
        </w:rPr>
      </w:pPr>
      <w:r>
        <w:rPr>
          <w:rFonts w:ascii="Arial" w:cs="Arial" w:eastAsia="Arial" w:hAnsi="Arial"/>
          <w:sz w:val="17"/>
          <w:szCs w:val="17"/>
          <w:color w:val="auto"/>
        </w:rPr>
        <w:t>uncertainty regarding legalization of betting and online gaming in the jurisdictions in which we operate and conditions applicable to obtaining the licenses required to enable our betting and online gaming partners to conduct betting and gaming activities;</w:t>
      </w:r>
    </w:p>
    <w:p>
      <w:pPr>
        <w:spacing w:after="0" w:line="44" w:lineRule="exact"/>
        <w:rPr>
          <w:rFonts w:ascii="Arial" w:cs="Arial" w:eastAsia="Arial" w:hAnsi="Arial"/>
          <w:sz w:val="17"/>
          <w:szCs w:val="17"/>
          <w:color w:val="auto"/>
        </w:rPr>
      </w:pPr>
    </w:p>
    <w:p>
      <w:pPr>
        <w:ind w:left="1100" w:hanging="544"/>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identify suitable acquisition opportunities and realize growth and cost synergies from any future acquisitions;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maintenance, development or expansion projects will be subject to significant development and construction risks;</w:t>
      </w:r>
    </w:p>
    <w:p>
      <w:pPr>
        <w:spacing w:after="0" w:line="114" w:lineRule="exact"/>
        <w:rPr>
          <w:rFonts w:ascii="Arial" w:cs="Arial" w:eastAsia="Arial" w:hAnsi="Arial"/>
          <w:sz w:val="18"/>
          <w:szCs w:val="18"/>
          <w:color w:val="auto"/>
        </w:rPr>
      </w:pPr>
    </w:p>
    <w:p>
      <w:pPr>
        <w:ind w:left="1100" w:right="100" w:hanging="544"/>
        <w:spacing w:after="0" w:line="271"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operations are particularly sensitive to reductions in discretionary consumer spending and are affected by changes in general economic and market conditions;</w:t>
      </w:r>
    </w:p>
    <w:p>
      <w:pPr>
        <w:spacing w:after="0" w:line="67" w:lineRule="exact"/>
        <w:rPr>
          <w:rFonts w:ascii="Arial" w:cs="Arial" w:eastAsia="Arial" w:hAnsi="Arial"/>
          <w:sz w:val="18"/>
          <w:szCs w:val="18"/>
          <w:color w:val="auto"/>
        </w:rPr>
      </w:pPr>
    </w:p>
    <w:p>
      <w:pPr>
        <w:ind w:left="1100" w:right="100" w:hanging="544"/>
        <w:spacing w:after="0" w:line="271"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gaming operations are highly regulated by governmental authorities and the cost of complying or the impact of failing to comply with such regulations;</w:t>
      </w:r>
    </w:p>
    <w:p>
      <w:pPr>
        <w:spacing w:after="0" w:line="67" w:lineRule="exact"/>
        <w:rPr>
          <w:rFonts w:ascii="Arial" w:cs="Arial" w:eastAsia="Arial" w:hAnsi="Arial"/>
          <w:sz w:val="18"/>
          <w:szCs w:val="18"/>
          <w:color w:val="auto"/>
        </w:rPr>
      </w:pPr>
    </w:p>
    <w:p>
      <w:pPr>
        <w:ind w:left="1100" w:hanging="544"/>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gaming taxes and fees in jurisdictions in which we operate;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446" w:right="259" w:bottom="1440" w:gutter="0" w:footer="0" w:header="0"/>
        </w:sectPr>
      </w:pPr>
    </w:p>
    <w:bookmarkStart w:id="13" w:name="page14"/>
    <w:bookmarkEnd w:id="13"/>
    <w:p>
      <w:pPr>
        <w:ind w:left="1100" w:hanging="5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relating to pending claims or future claims that may be brought against us;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interest rates and capital and credit markets;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comply with certain covenants in our debt documents and the Master Lease;</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disruptions to our information technology and other systems and infrastructure;</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weather or road conditions limiting access to our properties;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war, terrorist activity, acts of violence, natural disasters and other catastrophic events;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intense competition to attract and retain management and key employees in the gaming industry; and</w:t>
      </w:r>
    </w:p>
    <w:p>
      <w:pPr>
        <w:spacing w:after="0" w:line="114" w:lineRule="exact"/>
        <w:rPr>
          <w:rFonts w:ascii="Arial" w:cs="Arial" w:eastAsia="Arial" w:hAnsi="Arial"/>
          <w:sz w:val="18"/>
          <w:szCs w:val="18"/>
          <w:color w:val="auto"/>
        </w:rPr>
      </w:pPr>
    </w:p>
    <w:p>
      <w:pPr>
        <w:ind w:left="1100" w:right="660" w:hanging="544"/>
        <w:spacing w:after="0" w:line="271"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factors described in Part II, Item 1A. “Risk Factors” contained herein and our reports on Form 10-Q and Form 8-K filed with the Securities and Exchange Commission (“SEC”).</w:t>
      </w:r>
    </w:p>
    <w:p>
      <w:pPr>
        <w:spacing w:after="0" w:line="175" w:lineRule="exact"/>
        <w:rPr>
          <w:sz w:val="20"/>
          <w:szCs w:val="20"/>
          <w:color w:val="auto"/>
        </w:rPr>
      </w:pPr>
    </w:p>
    <w:p>
      <w:pPr>
        <w:ind w:right="160" w:firstLine="555"/>
        <w:spacing w:after="0" w:line="259" w:lineRule="auto"/>
        <w:rPr>
          <w:sz w:val="20"/>
          <w:szCs w:val="20"/>
          <w:color w:val="auto"/>
        </w:rPr>
      </w:pPr>
      <w:r>
        <w:rPr>
          <w:rFonts w:ascii="Arial" w:cs="Arial" w:eastAsia="Arial" w:hAnsi="Arial"/>
          <w:sz w:val="18"/>
          <w:szCs w:val="18"/>
          <w:color w:val="auto"/>
        </w:rPr>
        <w:t>In addition, the acquisition of Caesars, the related real estate transactions with VICI and the disposition of our properties located in Kansas City, Vicksburg and Shreveport and the provisions of the related acquisition agreements create additional risks, uncertainties and other important factors, including but not limited to:</w:t>
      </w:r>
    </w:p>
    <w:p>
      <w:pPr>
        <w:spacing w:after="0" w:line="79" w:lineRule="exact"/>
        <w:rPr>
          <w:sz w:val="20"/>
          <w:szCs w:val="20"/>
          <w:color w:val="auto"/>
        </w:rPr>
      </w:pPr>
    </w:p>
    <w:p>
      <w:pPr>
        <w:ind w:left="1100" w:right="220" w:hanging="544"/>
        <w:spacing w:after="0" w:line="271"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possibility that the proposed transactions are not consummated when expected or at all because required regulatory or other approvals are not received or other conditions to the consummation thereof are not satisfied on a timely basis or at all;</w:t>
      </w:r>
    </w:p>
    <w:p>
      <w:pPr>
        <w:spacing w:after="0" w:line="67" w:lineRule="exact"/>
        <w:rPr>
          <w:rFonts w:ascii="Arial" w:cs="Arial" w:eastAsia="Arial" w:hAnsi="Arial"/>
          <w:sz w:val="18"/>
          <w:szCs w:val="18"/>
          <w:color w:val="auto"/>
        </w:rPr>
      </w:pPr>
    </w:p>
    <w:p>
      <w:pPr>
        <w:ind w:left="1100" w:right="140" w:hanging="544"/>
        <w:spacing w:after="0" w:line="259"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possibility that the one or more of such transactions do not close on the terms described herein or that we are required to modify aspects of one or more of such transactions to obtain, or otherwise take action to satisfy conditions imposed in connection with, required regulatory approvals;</w:t>
      </w:r>
    </w:p>
    <w:p>
      <w:pPr>
        <w:spacing w:after="0" w:line="79" w:lineRule="exact"/>
        <w:rPr>
          <w:rFonts w:ascii="Arial" w:cs="Arial" w:eastAsia="Arial" w:hAnsi="Arial"/>
          <w:sz w:val="18"/>
          <w:szCs w:val="18"/>
          <w:color w:val="auto"/>
        </w:rPr>
      </w:pPr>
    </w:p>
    <w:p>
      <w:pPr>
        <w:ind w:left="1100" w:hanging="5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 that the financing required to fund the Merger and related transactions is not obtained on the terms anticipated or at all;</w:t>
      </w:r>
    </w:p>
    <w:p>
      <w:pPr>
        <w:spacing w:after="0" w:line="114" w:lineRule="exact"/>
        <w:rPr>
          <w:rFonts w:ascii="Arial" w:cs="Arial" w:eastAsia="Arial" w:hAnsi="Arial"/>
          <w:sz w:val="18"/>
          <w:szCs w:val="18"/>
          <w:color w:val="auto"/>
        </w:rPr>
      </w:pPr>
    </w:p>
    <w:p>
      <w:pPr>
        <w:ind w:left="1100" w:right="40" w:hanging="544"/>
        <w:spacing w:after="0" w:line="271"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uncertainties in the global economy and credit markets and its potential impact on ERI’s ability to finance the acquisition of Caesars and related transactions;</w:t>
      </w:r>
    </w:p>
    <w:p>
      <w:pPr>
        <w:spacing w:after="0" w:line="67" w:lineRule="exact"/>
        <w:rPr>
          <w:rFonts w:ascii="Arial" w:cs="Arial" w:eastAsia="Arial" w:hAnsi="Arial"/>
          <w:sz w:val="18"/>
          <w:szCs w:val="18"/>
          <w:color w:val="auto"/>
        </w:rPr>
      </w:pPr>
    </w:p>
    <w:p>
      <w:pPr>
        <w:ind w:left="1100" w:hanging="5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increased leverage and increased lease payments as a result of the proposed transactions;</w:t>
      </w:r>
    </w:p>
    <w:p>
      <w:pPr>
        <w:spacing w:after="0" w:line="114" w:lineRule="exact"/>
        <w:rPr>
          <w:rFonts w:ascii="Arial" w:cs="Arial" w:eastAsia="Arial" w:hAnsi="Arial"/>
          <w:sz w:val="18"/>
          <w:szCs w:val="18"/>
          <w:color w:val="auto"/>
        </w:rPr>
      </w:pPr>
    </w:p>
    <w:p>
      <w:pPr>
        <w:ind w:left="1100" w:hanging="544"/>
        <w:spacing w:after="0" w:line="259"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possibility that the anticipated benefits of the proposed transactions, including cost savings and expected synergies, are not realized when expected, or at all, including as a result of the impact of, or issues arising from, the implementation of our operating strategies and integration of our business and Caesars’ business;</w:t>
      </w:r>
    </w:p>
    <w:p>
      <w:pPr>
        <w:spacing w:after="0" w:line="79" w:lineRule="exact"/>
        <w:rPr>
          <w:rFonts w:ascii="Arial" w:cs="Arial" w:eastAsia="Arial" w:hAnsi="Arial"/>
          <w:sz w:val="18"/>
          <w:szCs w:val="18"/>
          <w:color w:val="auto"/>
        </w:rPr>
      </w:pPr>
    </w:p>
    <w:p>
      <w:pPr>
        <w:ind w:left="1100" w:right="240" w:hanging="544"/>
        <w:spacing w:after="0" w:line="271"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incurrence of significant transaction and merger-related costs and the possibility that the transactions may be more expensive to complete than expected, including as a result of unexpected factors or events;</w:t>
      </w:r>
    </w:p>
    <w:p>
      <w:pPr>
        <w:spacing w:after="0" w:line="67" w:lineRule="exact"/>
        <w:rPr>
          <w:rFonts w:ascii="Arial" w:cs="Arial" w:eastAsia="Arial" w:hAnsi="Arial"/>
          <w:sz w:val="18"/>
          <w:szCs w:val="18"/>
          <w:color w:val="auto"/>
        </w:rPr>
      </w:pPr>
    </w:p>
    <w:p>
      <w:pPr>
        <w:ind w:left="1100" w:hanging="5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competitive responses to the proposed transactions;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legislative, regulatory and economic developments;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possibility that our business or Caesars’ business may suffer as a result of the announcement of the acquisition;</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retain certain of our key employees and Caesars’ key employees;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of legal proceedings instituted as a result of the proposed transactions;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the proposed transactions, or the failure to consummate the proposed transactions, on our stock price;</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management’s attention from our ongoing operations;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provisions of the Merger Agreement limiting the operation of our business prior to the closing of the Merger;</w:t>
      </w:r>
    </w:p>
    <w:p>
      <w:pPr>
        <w:spacing w:after="0" w:line="114" w:lineRule="exact"/>
        <w:rPr>
          <w:rFonts w:ascii="Arial" w:cs="Arial" w:eastAsia="Arial" w:hAnsi="Arial"/>
          <w:sz w:val="18"/>
          <w:szCs w:val="18"/>
          <w:color w:val="auto"/>
        </w:rPr>
      </w:pPr>
    </w:p>
    <w:p>
      <w:pPr>
        <w:ind w:left="1100" w:right="240" w:hanging="544"/>
        <w:spacing w:after="0" w:line="271"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the announcement or consummation of the proposed transactions on the Company’s relationships with third parties, which may make it more difficult to maintain business relationships; and</w:t>
      </w:r>
    </w:p>
    <w:p>
      <w:pPr>
        <w:spacing w:after="0" w:line="67" w:lineRule="exact"/>
        <w:rPr>
          <w:rFonts w:ascii="Arial" w:cs="Arial" w:eastAsia="Arial" w:hAnsi="Arial"/>
          <w:sz w:val="18"/>
          <w:szCs w:val="18"/>
          <w:color w:val="auto"/>
        </w:rPr>
      </w:pPr>
    </w:p>
    <w:p>
      <w:pPr>
        <w:ind w:left="1100" w:right="20" w:hanging="544"/>
        <w:spacing w:after="0" w:line="271"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risks and uncertainties described in Part II, Item 1A. “Risk Factors” contained herein and our reports on Form 10-K, Form 10-Q and Form 8-K filed with the SEC.</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446" w:right="259" w:bottom="1440" w:gutter="0" w:footer="0" w:header="0"/>
        </w:sectPr>
      </w:pPr>
    </w:p>
    <w:bookmarkStart w:id="14" w:name="page15"/>
    <w:bookmarkEnd w:id="14"/>
    <w:p>
      <w:pPr>
        <w:ind w:left="560"/>
        <w:spacing w:after="0" w:line="196" w:lineRule="exact"/>
        <w:rPr>
          <w:sz w:val="20"/>
          <w:szCs w:val="20"/>
          <w:color w:val="auto"/>
        </w:rPr>
      </w:pPr>
      <w:r>
        <w:rPr>
          <w:rFonts w:ascii="Arial" w:cs="Arial" w:eastAsia="Arial" w:hAnsi="Arial"/>
          <w:sz w:val="17"/>
          <w:szCs w:val="17"/>
          <w:color w:val="auto"/>
        </w:rPr>
        <w:t>In light of these and other risks, uncertainties and assumptions, the forward</w:t>
      </w:r>
      <w:r>
        <w:rPr>
          <w:rFonts w:ascii="MS PGothic" w:cs="MS PGothic" w:eastAsia="MS PGothic" w:hAnsi="MS PGothic"/>
          <w:sz w:val="17"/>
          <w:szCs w:val="17"/>
          <w:color w:val="auto"/>
        </w:rPr>
        <w:t>‑</w:t>
      </w:r>
      <w:r>
        <w:rPr>
          <w:rFonts w:ascii="Arial" w:cs="Arial" w:eastAsia="Arial" w:hAnsi="Arial"/>
          <w:sz w:val="17"/>
          <w:szCs w:val="17"/>
          <w:color w:val="auto"/>
        </w:rPr>
        <w:t>looking events discussed in this report might not occur. These</w:t>
      </w:r>
    </w:p>
    <w:p>
      <w:pPr>
        <w:spacing w:after="0" w:line="3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speak only as of the date of this Annual Report on Form 10-K, even if subsequently made available on our website or otherwise,</w:t>
      </w:r>
    </w:p>
    <w:p>
      <w:pPr>
        <w:spacing w:after="0" w:line="30"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and we do not intend to update publicly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 to reflect events or circumstances that occur after the date on which the statement is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made, except as may be required by law.</w:t>
      </w:r>
    </w:p>
    <w:p>
      <w:pPr>
        <w:spacing w:after="0" w:line="208" w:lineRule="exact"/>
        <w:rPr>
          <w:sz w:val="20"/>
          <w:szCs w:val="20"/>
          <w:color w:val="auto"/>
        </w:rPr>
      </w:pPr>
    </w:p>
    <w:p>
      <w:pPr>
        <w:ind w:right="180" w:firstLine="555"/>
        <w:spacing w:after="0" w:line="217" w:lineRule="exact"/>
        <w:rPr>
          <w:sz w:val="20"/>
          <w:szCs w:val="20"/>
          <w:color w:val="auto"/>
        </w:rPr>
      </w:pPr>
      <w:r>
        <w:rPr>
          <w:rFonts w:ascii="Arial" w:cs="Arial" w:eastAsia="Arial" w:hAnsi="Arial"/>
          <w:sz w:val="18"/>
          <w:szCs w:val="18"/>
          <w:color w:val="auto"/>
        </w:rPr>
        <w:t>You should also be aware that while we from time to time communicate with securities analysts, we do not disclose to them any material non</w:t>
      </w:r>
      <w:r>
        <w:rPr>
          <w:rFonts w:ascii="MS PGothic" w:cs="MS PGothic" w:eastAsia="MS PGothic" w:hAnsi="MS PGothic"/>
          <w:sz w:val="18"/>
          <w:szCs w:val="18"/>
          <w:color w:val="auto"/>
        </w:rPr>
        <w:t>‑</w:t>
      </w:r>
      <w:r>
        <w:rPr>
          <w:rFonts w:ascii="Arial" w:cs="Arial" w:eastAsia="Arial" w:hAnsi="Arial"/>
          <w:sz w:val="18"/>
          <w:szCs w:val="18"/>
          <w:color w:val="auto"/>
        </w:rPr>
        <w:t>public information, internal forecasts or other confidential business information. Therefore, you should not assume that we agree with any statement or report issued by any analyst, irrespective of the content of the statement or report. To the extent that reports issued by securities analysts contain projections, forecasts or opinions, those reports are not our responsibility and are not endorsed by us.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18"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We are required to file annual, quarterly and other current reports and information with the SEC. Because we submit filings to the SEC electronically, access to this information is available at the SEC’s website (www.sec.gov). This site contains reports and other information regarding issuers that file electronically with the SEC.</w:t>
      </w:r>
    </w:p>
    <w:p>
      <w:pPr>
        <w:spacing w:after="0" w:line="186" w:lineRule="exact"/>
        <w:rPr>
          <w:sz w:val="20"/>
          <w:szCs w:val="20"/>
          <w:color w:val="auto"/>
        </w:rPr>
      </w:pPr>
    </w:p>
    <w:p>
      <w:pPr>
        <w:ind w:right="160" w:firstLine="555"/>
        <w:spacing w:after="0" w:line="217" w:lineRule="exact"/>
        <w:rPr>
          <w:sz w:val="20"/>
          <w:szCs w:val="20"/>
          <w:color w:val="auto"/>
        </w:rPr>
      </w:pPr>
      <w:r>
        <w:rPr>
          <w:rFonts w:ascii="Arial" w:cs="Arial" w:eastAsia="Arial" w:hAnsi="Arial"/>
          <w:sz w:val="16"/>
          <w:szCs w:val="16"/>
          <w:color w:val="auto"/>
        </w:rPr>
        <w:t>We make our Annual Reports on Form 10</w:t>
      </w:r>
      <w:r>
        <w:rPr>
          <w:rFonts w:ascii="MS PGothic" w:cs="MS PGothic" w:eastAsia="MS PGothic" w:hAnsi="MS PGothic"/>
          <w:sz w:val="16"/>
          <w:szCs w:val="16"/>
          <w:color w:val="auto"/>
        </w:rPr>
        <w:t>‑</w:t>
      </w:r>
      <w:r>
        <w:rPr>
          <w:rFonts w:ascii="Arial" w:cs="Arial" w:eastAsia="Arial" w:hAnsi="Arial"/>
          <w:sz w:val="16"/>
          <w:szCs w:val="16"/>
          <w:color w:val="auto"/>
        </w:rPr>
        <w:t>K, our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our Current Reports on Form 8</w:t>
      </w:r>
      <w:r>
        <w:rPr>
          <w:rFonts w:ascii="MS PGothic" w:cs="MS PGothic" w:eastAsia="MS PGothic" w:hAnsi="MS PGothic"/>
          <w:sz w:val="16"/>
          <w:szCs w:val="16"/>
          <w:color w:val="auto"/>
        </w:rPr>
        <w:t>‑</w:t>
      </w:r>
      <w:r>
        <w:rPr>
          <w:rFonts w:ascii="Arial" w:cs="Arial" w:eastAsia="Arial" w:hAnsi="Arial"/>
          <w:sz w:val="16"/>
          <w:szCs w:val="16"/>
          <w:color w:val="auto"/>
        </w:rPr>
        <w:t>K, and all amendments to these reports, available free of charge on our corporate website (</w:t>
      </w:r>
      <w:r>
        <w:rPr>
          <w:rFonts w:ascii="Arial" w:cs="Arial" w:eastAsia="Arial" w:hAnsi="Arial"/>
          <w:sz w:val="16"/>
          <w:szCs w:val="16"/>
          <w:i w:val="1"/>
          <w:iCs w:val="1"/>
          <w:color w:val="auto"/>
        </w:rPr>
        <w:t>www.eldoradoresorts.com</w:t>
      </w:r>
      <w:r>
        <w:rPr>
          <w:rFonts w:ascii="Arial" w:cs="Arial" w:eastAsia="Arial" w:hAnsi="Arial"/>
          <w:sz w:val="16"/>
          <w:szCs w:val="16"/>
          <w:color w:val="auto"/>
        </w:rPr>
        <w:t>) as soon as reasonably practicable after such reports are filed with, or furnished to, the SEC. In addition, our Code of Ethics and Business Conduct and charters of the Audit Committee, Compensation Committee, and the Nominating and Corporate Governance Committee are available on our website. We will provide reasonable quantities of electronic or paper copies of filings free of charge upon request. In addition, we will provide a copy of the above referenced charters to stockholders upon request.</w:t>
      </w:r>
    </w:p>
    <w:p>
      <w:pPr>
        <w:spacing w:after="0" w:line="204" w:lineRule="exact"/>
        <w:rPr>
          <w:sz w:val="20"/>
          <w:szCs w:val="20"/>
          <w:color w:val="auto"/>
        </w:rPr>
      </w:pPr>
    </w:p>
    <w:p>
      <w:pPr>
        <w:ind w:firstLine="555"/>
        <w:spacing w:after="0" w:line="220" w:lineRule="exact"/>
        <w:rPr>
          <w:sz w:val="20"/>
          <w:szCs w:val="20"/>
          <w:color w:val="auto"/>
        </w:rPr>
      </w:pPr>
      <w:r>
        <w:rPr>
          <w:rFonts w:ascii="Arial" w:cs="Arial" w:eastAsia="Arial" w:hAnsi="Arial"/>
          <w:sz w:val="18"/>
          <w:szCs w:val="18"/>
          <w:color w:val="auto"/>
        </w:rPr>
        <w:t>References in this document to our website address do not incorporate by reference the information contained on the website into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34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sensitive to reductions in discretionary consumer spending as a result of downturns in the economy and other factors outside our control.</w:t>
      </w:r>
    </w:p>
    <w:p>
      <w:pPr>
        <w:spacing w:after="0" w:line="160" w:lineRule="exact"/>
        <w:rPr>
          <w:sz w:val="20"/>
          <w:szCs w:val="20"/>
          <w:color w:val="auto"/>
        </w:rPr>
      </w:pPr>
    </w:p>
    <w:p>
      <w:pPr>
        <w:ind w:firstLine="555"/>
        <w:spacing w:after="0" w:line="284" w:lineRule="auto"/>
        <w:rPr>
          <w:sz w:val="20"/>
          <w:szCs w:val="20"/>
          <w:color w:val="auto"/>
        </w:rPr>
      </w:pPr>
      <w:r>
        <w:rPr>
          <w:rFonts w:ascii="Arial" w:cs="Arial" w:eastAsia="Arial" w:hAnsi="Arial"/>
          <w:sz w:val="16"/>
          <w:szCs w:val="16"/>
          <w:color w:val="auto"/>
        </w:rPr>
        <w:t>Consumer demand for casino hotel and racetrack properties such as ours is particularly sensitive to downturns in the economy and the associated impact on discretionary spending on leisure activities. Changes in discretionary consumer spending or consumer preferences brought about by factors such as perceived or actual general economic conditions, effects of declines in consumer confidence in the economy, the impact of high energy and food costs, the increased cost of travel, decreased disposable consumer income and wealth, fears of war and future acts of terrorism, or widespread illnesses or epidemics, including the coronavirus, could further reduce customer demand for the amenities that we offer. In addition, increases in gasoline prices, including increases prompted by global political and economic instabilities, can adversely affect our operations because most of our patrons travel to our properties by car or on airlines that may pass on increases in fuel costs to passengers in the form of higher ticket prices. Further, security concerns, terrorist attacks, widespread illnesses or epidemics, including the coronavirus, and other geopolitical events can have a material adverse effect on leisure and business travel, discretionary spending and other areas of economic behavior that directly impact the gaming and entertainment industries in general and our business in particular. Economic downturns, geopolitical events and other related factors which impact discretionary consumer spending and other economic events that are beyond our control have had direct effects on our business and the tourism industry in the past and could adversely affect us in the future.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We face substantial competition in the hotel and casino industry and expect that such competition will continue.</w:t>
      </w:r>
    </w:p>
    <w:p>
      <w:pPr>
        <w:spacing w:after="0" w:line="114" w:lineRule="exact"/>
        <w:rPr>
          <w:sz w:val="20"/>
          <w:szCs w:val="20"/>
          <w:color w:val="auto"/>
        </w:rPr>
      </w:pPr>
    </w:p>
    <w:p>
      <w:pPr>
        <w:ind w:right="20" w:firstLine="555"/>
        <w:spacing w:after="0" w:line="281" w:lineRule="auto"/>
        <w:rPr>
          <w:sz w:val="20"/>
          <w:szCs w:val="20"/>
          <w:color w:val="auto"/>
        </w:rPr>
      </w:pPr>
      <w:r>
        <w:rPr>
          <w:rFonts w:ascii="Arial" w:cs="Arial" w:eastAsia="Arial" w:hAnsi="Arial"/>
          <w:sz w:val="16"/>
          <w:szCs w:val="16"/>
          <w:color w:val="auto"/>
        </w:rPr>
        <w:t>The gaming industry is characterized by an increasingly high degree of competition and competition is intense in most of the markets in which we operate. We compete with a variety of gaming operations, including land-based casinos, dockside casinos, riverboat casinos, casinos located on racing tracks and casinos located on Native American reservations and other forms of legalized gaming such as video gaming terminals (VGTs) at bars, restaurants and truck stops and mobile gambling and sports betting. We also compete, to a lesser extent, with other forms of legalized gaming and entertainment such as bingo, pull tab games, card parlors, sports books, fantasy sports websites, “cruise-to-nowhere” operations, pari-mutuel or telephonic betting on horse racing and dog racing, state-sponsored lotteries, jai-alai and, in the future, may compete with gaming at other venues. In addition, we compete more generally with other forms of entertainment for the discretionary spending of our customers. Certain of our competitors are large gaming companies with greater name recognition and marketing and financial resources. In some instances, particularly in the case of Native American casinos, our competitors pay lower taxes or no</w:t>
      </w:r>
    </w:p>
    <w:p>
      <w:pPr>
        <w:spacing w:after="0" w:line="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taxes. These factors create additional challenges for us in competing for customers and accessing cash flow or financing to fund improvements for our casino and entertainment product that enable us to remain competitive.</w:t>
      </w:r>
    </w:p>
    <w:p>
      <w:pPr>
        <w:spacing w:after="0" w:line="188" w:lineRule="exact"/>
        <w:rPr>
          <w:sz w:val="20"/>
          <w:szCs w:val="20"/>
          <w:color w:val="auto"/>
        </w:rPr>
      </w:pPr>
    </w:p>
    <w:p>
      <w:pPr>
        <w:ind w:right="120" w:firstLine="555"/>
        <w:spacing w:after="0" w:line="268" w:lineRule="auto"/>
        <w:rPr>
          <w:sz w:val="20"/>
          <w:szCs w:val="20"/>
          <w:color w:val="auto"/>
        </w:rPr>
      </w:pPr>
      <w:r>
        <w:rPr>
          <w:rFonts w:ascii="Arial" w:cs="Arial" w:eastAsia="Arial" w:hAnsi="Arial"/>
          <w:sz w:val="17"/>
          <w:szCs w:val="17"/>
          <w:color w:val="auto"/>
        </w:rPr>
        <w:t>States that already have legalized casino gaming may further expand gaming, and other states that have not yet legalized gaming may do so in the future. There has been significant competition in our markets as a result of the expansion of facilities by existing market participants, the entrance of new gaming participants into a market or legislative changes in prior years. For example, in recent years a number of states, including Illinois, Pennsylvania and Ohio, have either approved casino gaming or substantially expanded gaming by authorizing additional casino licenses and VGTs at horse racing tracks, truck stops or other locations. Additionally, we also compete with Native American gaming operations in California and other jurisdictions where Native American tribes operate large-scale gaming facilities or otherwise conduct gaming activities on Native American lands. Further expansion of legalized casino gaming in states and on Native American reservations in or near our markets or changes to gaming laws in states in which we have operations and in states near our operations could increase competition and could adversely affect our operations.</w:t>
      </w:r>
    </w:p>
    <w:p>
      <w:pPr>
        <w:spacing w:after="0" w:line="181"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Further, we face increasing competition as a result of the expansion of legalized online gaming and sports betting in the last few years. Online gaming has been approved in several states where we have casino properties, including Iowa, Nevada and New Jersey, and a number of states, including Indiana, Iowa, Colorado, New Jersey and Nevada, permit online sports betting. We expect that other states will adopt legislation that permits online sports betting and gaming, which will result in significant additional competition for our casino properties.</w:t>
      </w:r>
    </w:p>
    <w:p>
      <w:pPr>
        <w:spacing w:after="0" w:line="191"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Increased competition may require us to make substantial capital expenditures to maintain and enhance the competitive positions of our properties to increase the attractiveness and add to the appeal of our facilities. Because a significant portion of our cash flow is required to pay obligations under our outstanding indebtedness and the Master Lease, there can be no assurance that we will have sufficient funds to undertake these expenditures or that we will be able to obtain sufficient financing to fund such expenditures. If we are unable to make such expenditures, our competitive position could be negatively affected.</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in certain jurisdictions depend on agreements with third parties.</w:t>
      </w:r>
    </w:p>
    <w:p>
      <w:pPr>
        <w:spacing w:after="0" w:line="114" w:lineRule="exact"/>
        <w:rPr>
          <w:sz w:val="20"/>
          <w:szCs w:val="20"/>
          <w:color w:val="auto"/>
        </w:rPr>
      </w:pPr>
    </w:p>
    <w:p>
      <w:pPr>
        <w:ind w:right="260" w:firstLine="555"/>
        <w:spacing w:after="0" w:line="270" w:lineRule="auto"/>
        <w:rPr>
          <w:sz w:val="20"/>
          <w:szCs w:val="20"/>
          <w:color w:val="auto"/>
        </w:rPr>
      </w:pPr>
      <w:r>
        <w:rPr>
          <w:rFonts w:ascii="Arial" w:cs="Arial" w:eastAsia="Arial" w:hAnsi="Arial"/>
          <w:sz w:val="17"/>
          <w:szCs w:val="17"/>
          <w:color w:val="auto"/>
        </w:rPr>
        <w:t>Our operations in several jurisdictions depend on agreements with third parties. If we are unable to renew these agreements on satisfactory terms as they expire, our business may be disrupted and, in the event of disruptions in multiple jurisdictions, could have a material adverse effect on our financial condition and results of operations. For example, Iowa law requires that each gambling venue in Iowa must have a licensed “Qualified Sponsoring Organization,” or “QSO”, which is a tax-exempt non-profit organization. The QSO must donate the profits it receives from casino operations to educational, civic, public, charitable, patriotic or religious uses. Both of our Iowa properties have an agreement with a local QSO. We have the right to renew our agreements for Bettendorf and Waterloo when they expire in 2025 and 2021, respectively.</w:t>
      </w:r>
    </w:p>
    <w:p>
      <w:pPr>
        <w:spacing w:after="0" w:line="179" w:lineRule="exact"/>
        <w:rPr>
          <w:sz w:val="20"/>
          <w:szCs w:val="20"/>
          <w:color w:val="auto"/>
        </w:rPr>
      </w:pPr>
    </w:p>
    <w:p>
      <w:pPr>
        <w:ind w:right="80" w:firstLine="555"/>
        <w:spacing w:after="0" w:line="254" w:lineRule="auto"/>
        <w:rPr>
          <w:sz w:val="20"/>
          <w:szCs w:val="20"/>
          <w:color w:val="auto"/>
        </w:rPr>
      </w:pPr>
      <w:r>
        <w:rPr>
          <w:rFonts w:ascii="Arial" w:cs="Arial" w:eastAsia="Arial" w:hAnsi="Arial"/>
          <w:sz w:val="18"/>
          <w:szCs w:val="18"/>
          <w:color w:val="auto"/>
        </w:rPr>
        <w:t>The Federal Interstate Horse Racing Act and the state racing laws in certain jurisdictions where we have racetracks require that, in order to simulcast races, we have written agreements with the horse owners and trainers at those racetracks or that we share proceeds of slot machines at the applicable racetrack. If we fail to maintain operative agreements with the horsemen at our racetracks, we will not be permitted to conduct live racing and export and import simulcasting, and may not be permitted to continue our gaming operations, at the applicable racetrack at those facilities, which could have material adverse effect on our business, financial condition and results of operations.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16" w:name="page17"/>
    <w:bookmarkEnd w:id="16"/>
    <w:p>
      <w:pPr>
        <w:ind w:right="220"/>
        <w:spacing w:after="0" w:line="271" w:lineRule="auto"/>
        <w:rPr>
          <w:sz w:val="20"/>
          <w:szCs w:val="20"/>
          <w:color w:val="auto"/>
        </w:rPr>
      </w:pPr>
      <w:r>
        <w:rPr>
          <w:rFonts w:ascii="Arial" w:cs="Arial" w:eastAsia="Arial" w:hAnsi="Arial"/>
          <w:sz w:val="18"/>
          <w:szCs w:val="18"/>
          <w:b w:val="1"/>
          <w:bCs w:val="1"/>
          <w:i w:val="1"/>
          <w:iCs w:val="1"/>
          <w:color w:val="auto"/>
        </w:rPr>
        <w:t>Some of our casinos are located on leased property. If we default on one or more leases, the applicable lessors could terminate the affected leases and we could lose possession of the affected casino.</w:t>
      </w:r>
    </w:p>
    <w:p>
      <w:pPr>
        <w:spacing w:after="0" w:line="68" w:lineRule="exact"/>
        <w:rPr>
          <w:sz w:val="20"/>
          <w:szCs w:val="20"/>
          <w:color w:val="auto"/>
        </w:rPr>
      </w:pPr>
    </w:p>
    <w:p>
      <w:pPr>
        <w:ind w:firstLine="555"/>
        <w:spacing w:after="0" w:line="283" w:lineRule="auto"/>
        <w:rPr>
          <w:sz w:val="20"/>
          <w:szCs w:val="20"/>
          <w:color w:val="auto"/>
        </w:rPr>
      </w:pPr>
      <w:r>
        <w:rPr>
          <w:rFonts w:ascii="Arial" w:cs="Arial" w:eastAsia="Arial" w:hAnsi="Arial"/>
          <w:sz w:val="16"/>
          <w:szCs w:val="16"/>
          <w:color w:val="auto"/>
        </w:rPr>
        <w:t>We currently lease certain parcels of land on which several of our properties are located, including five of the properties that we acquired in the Tropicana Acquisition. As a ground lessee, we have the right to use the leased land; however, we do not hold fee ownership of the underlying land. Accordingly, we have no interest in the leased land or improvements thereon at the expiration of the ground leases. Moreover, since we do not completely control the land underlying the property, a landowner could take certain actions to disrupt our rights in the land leased under the long-term leases which are beyond our control. If the entity owning any leased land chose to disrupt our use either permanently or for a significant period of time, then the value of our assets could be impaired and our business and operations could be adversely affected. Our leases provide that they may be terminated for a number of reasons, including failure to pay rent, taxes or other payment obligations or the breach of other covenants contained in the leases. In particular, the Master Lease requires annual rent payments of at least $87.6 million, which is subject to escalation annually, and obligates us to make specified minimum capital expenditures with respect to the leased properties. If our business and properties fail to generate sufficient earnings, the payments required to service the rent obligations under the Master Lease could materially and adversely limit our ability to react to changes in our business and make acquisitions and investments in our properties. If we were to default on any one or more of these leases, the applicable lessors could terminate the affected leases and we could lose possession of the affected land and any improvements on the land, including the hotels and casinos. A termination of our ground leases or the Master Lease could result in a default under our debt agreements and could have a material adverse effect on our business, financial condition and results of operations. Further, in the event that any lessor of our leased properties, including properties that are subject to the Master Lease, encounters financial, operational, regulatory or other challenges, there can be no assurance that such lessor will be able to comply with its obligations under the applicable lease.</w:t>
      </w:r>
    </w:p>
    <w:p>
      <w:pPr>
        <w:spacing w:after="0" w:line="171" w:lineRule="exact"/>
        <w:rPr>
          <w:sz w:val="20"/>
          <w:szCs w:val="20"/>
          <w:color w:val="auto"/>
        </w:rPr>
      </w:pPr>
    </w:p>
    <w:p>
      <w:pPr>
        <w:ind w:right="20" w:firstLine="555"/>
        <w:spacing w:after="0" w:line="267" w:lineRule="auto"/>
        <w:rPr>
          <w:sz w:val="20"/>
          <w:szCs w:val="20"/>
          <w:color w:val="auto"/>
        </w:rPr>
      </w:pPr>
      <w:r>
        <w:rPr>
          <w:rFonts w:ascii="Arial" w:cs="Arial" w:eastAsia="Arial" w:hAnsi="Arial"/>
          <w:sz w:val="17"/>
          <w:szCs w:val="17"/>
          <w:color w:val="auto"/>
        </w:rPr>
        <w:t>Certain of our leases, including the Master Lease, are “triple-net” leases. Accordingly, in addition to rent, we are required to pay, among other things, the following: (1) lease payments to the underlying ground lessor for properties that are subject to ground leases; (2) facility maintenance costs; (3) all insurance premiums for insurance with respect to the leased properties and the business conducted on the leased properties; (4) taxes levied on or with respect to the leased properties (other than taxes on the income of the lessor); and (5) all utilities and other services necessary or appropriate for the leased properties and the business conducted on the leased properties. We are responsible for incurring the costs described in the preceding sentence notwithstanding the fact that many of the benefits received in exchange for such costs shall in part accrue to the lessor as the owner of the associated facilities. In addition, we remain obligated for lease payments and other obligations under the Master Lease and other ground leases even if one or more of such leased facilities is unprofitable or if we decide to withdraw from those locations. We could incur special charges relating to the closing of such facilities including lease termination costs, impairment charges and other special charges that would reduce our net income and could have a material adverse effect on our business, financial condition and results of operations.</w:t>
      </w:r>
    </w:p>
    <w:p>
      <w:pPr>
        <w:spacing w:after="0" w:line="287"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We are subject to extensive federal, state and local regulation and licensing, and gaming authorities have significant control over our operations, which could have an adverse effect on our business.</w:t>
      </w:r>
    </w:p>
    <w:p>
      <w:pPr>
        <w:spacing w:after="0" w:line="68" w:lineRule="exact"/>
        <w:rPr>
          <w:sz w:val="20"/>
          <w:szCs w:val="20"/>
          <w:color w:val="auto"/>
        </w:rPr>
      </w:pPr>
    </w:p>
    <w:p>
      <w:pPr>
        <w:ind w:right="60" w:firstLine="555"/>
        <w:spacing w:after="0" w:line="268" w:lineRule="auto"/>
        <w:rPr>
          <w:sz w:val="20"/>
          <w:szCs w:val="20"/>
          <w:color w:val="auto"/>
        </w:rPr>
      </w:pPr>
      <w:r>
        <w:rPr>
          <w:rFonts w:ascii="Arial" w:cs="Arial" w:eastAsia="Arial" w:hAnsi="Arial"/>
          <w:sz w:val="17"/>
          <w:szCs w:val="17"/>
          <w:i w:val="1"/>
          <w:iCs w:val="1"/>
          <w:color w:val="auto"/>
        </w:rPr>
        <w:t>Licensing Requirements</w:t>
      </w:r>
      <w:r>
        <w:rPr>
          <w:rFonts w:ascii="Arial" w:cs="Arial" w:eastAsia="Arial" w:hAnsi="Arial"/>
          <w:sz w:val="17"/>
          <w:szCs w:val="17"/>
          <w:color w:val="auto"/>
        </w:rPr>
        <w:t>. The ownership and operation of casino gaming, riverboat and horse racing facilities are subject to extensive federal, state and</w:t>
      </w:r>
      <w:r>
        <w:rPr>
          <w:rFonts w:ascii="Arial" w:cs="Arial" w:eastAsia="Arial" w:hAnsi="Arial"/>
          <w:sz w:val="17"/>
          <w:szCs w:val="17"/>
          <w:i w:val="1"/>
          <w:iCs w:val="1"/>
          <w:color w:val="auto"/>
        </w:rPr>
        <w:t xml:space="preserve"> </w:t>
      </w:r>
      <w:r>
        <w:rPr>
          <w:rFonts w:ascii="Arial" w:cs="Arial" w:eastAsia="Arial" w:hAnsi="Arial"/>
          <w:sz w:val="17"/>
          <w:szCs w:val="17"/>
          <w:color w:val="auto"/>
        </w:rPr>
        <w:t>local regulation, and regulatory authorities at the federal, state, and local levels have broad powers with respect to the licensing of gaming businesses and may revoke, suspend, condition or limit our gaming or other licenses, impose substantial fines and take other actions, each of which poses a significant risk to our business, financial condition and results of operations. We currently hold all state and local licenses and related approvals necessary to conduct our present gaming operations, but we must periodically apply to renew many of our licenses and registrations. We cannot assure you that we will be able to obtain such renewals. Any failure to maintain or renew our existing licenses, registrations, permits or approvals would have a material adverse effect on us. Furthermore, if additional laws or regulations are adopted or existing laws or regulations are amended or interpreted differently, these regulations could impose additional restrictions or costs that could have a significant adverse effect on us.</w:t>
      </w:r>
    </w:p>
    <w:p>
      <w:pPr>
        <w:spacing w:after="0" w:line="181" w:lineRule="exact"/>
        <w:rPr>
          <w:sz w:val="20"/>
          <w:szCs w:val="20"/>
          <w:color w:val="auto"/>
        </w:rPr>
      </w:pPr>
    </w:p>
    <w:p>
      <w:pPr>
        <w:ind w:right="20" w:firstLine="555"/>
        <w:spacing w:after="0" w:line="252" w:lineRule="auto"/>
        <w:rPr>
          <w:sz w:val="20"/>
          <w:szCs w:val="20"/>
          <w:color w:val="auto"/>
        </w:rPr>
      </w:pPr>
      <w:r>
        <w:rPr>
          <w:rFonts w:ascii="Arial" w:cs="Arial" w:eastAsia="Arial" w:hAnsi="Arial"/>
          <w:sz w:val="18"/>
          <w:szCs w:val="18"/>
          <w:color w:val="auto"/>
        </w:rPr>
        <w:t>Gaming authorities with jurisdiction over our operations may, in their discretion, require the holder of any securities issued by us to file applications, be investigated, and be found suitable to own our securities if they have reason to believe that the security ownership would be inconsistent with the declared policies of their respective jurisdictions. Further, the costs of any investigation conducted by any of the Gaming Authorities under these circumstances must be paid by the applicant, and refusal or failure to pay these charges may constitute grounds for a finding that the applicant is unsuitable to own the securities. If any of the Gaming Authorities determines that a person is unsuitable to own our securities, then, under the applicable gaming or horse racing laws and regulations, we can be sanctioned, including the loss of approvals that are required for us to continue our gaming operations in the relevant jurisdictions, if such unsuitable person does not timely sell our securities.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17" w:name="page18"/>
    <w:bookmarkEnd w:id="17"/>
    <w:p>
      <w:pPr>
        <w:ind w:right="40" w:firstLine="555"/>
        <w:spacing w:after="0" w:line="254" w:lineRule="auto"/>
        <w:rPr>
          <w:sz w:val="20"/>
          <w:szCs w:val="20"/>
          <w:color w:val="auto"/>
        </w:rPr>
      </w:pPr>
      <w:r>
        <w:rPr>
          <w:rFonts w:ascii="Arial" w:cs="Arial" w:eastAsia="Arial" w:hAnsi="Arial"/>
          <w:sz w:val="18"/>
          <w:szCs w:val="18"/>
          <w:color w:val="auto"/>
        </w:rPr>
        <w:t>Our officers, directors and key employees are also subject to a variety of regulatory requirements and various licensing and related approval procedures in the various jurisdictions in which we operate gaming facilities. If any of the applicable Gaming Authorities were to find an officer, director or key employee of ours unsuitable for licensing or unsuitable to continue having a relationship with us, we would have to sever all relationships with that person. Furthermore, the Gaming Authorities may require us to terminate the employment of any person who refuses to file appropriate applications. Either result could materially adversely affect our gaming operations.</w:t>
      </w:r>
    </w:p>
    <w:p>
      <w:pPr>
        <w:spacing w:after="0" w:line="189" w:lineRule="exact"/>
        <w:rPr>
          <w:sz w:val="20"/>
          <w:szCs w:val="20"/>
          <w:color w:val="auto"/>
        </w:rPr>
      </w:pPr>
    </w:p>
    <w:p>
      <w:pPr>
        <w:ind w:right="180" w:firstLine="555"/>
        <w:spacing w:after="0" w:line="254" w:lineRule="auto"/>
        <w:rPr>
          <w:sz w:val="20"/>
          <w:szCs w:val="20"/>
          <w:color w:val="auto"/>
        </w:rPr>
      </w:pPr>
      <w:r>
        <w:rPr>
          <w:rFonts w:ascii="Arial" w:cs="Arial" w:eastAsia="Arial" w:hAnsi="Arial"/>
          <w:sz w:val="18"/>
          <w:szCs w:val="18"/>
          <w:color w:val="auto"/>
        </w:rPr>
        <w:t>Applicable gaming laws and regulations restrict our ability to issue securities, incur debt and undertake other financing activities. Such transactions would generally require approval of applicable Gaming Authorities, and our financing counterparties, including lenders, might be subject to various licensing and related approval procedures in the various jurisdictions in which we operate gaming facilities. If state regulatory authorities were to find any person unsuitable with regard to his, her or its relationship to us or any of our subsidiaries, we would be required to sever our relationships with that person, which could materially adversely affect our business.</w:t>
      </w:r>
    </w:p>
    <w:p>
      <w:pPr>
        <w:spacing w:after="0" w:line="189" w:lineRule="exact"/>
        <w:rPr>
          <w:sz w:val="20"/>
          <w:szCs w:val="20"/>
          <w:color w:val="auto"/>
        </w:rPr>
      </w:pPr>
    </w:p>
    <w:p>
      <w:pPr>
        <w:ind w:firstLine="555"/>
        <w:spacing w:after="0" w:line="284" w:lineRule="auto"/>
        <w:rPr>
          <w:sz w:val="20"/>
          <w:szCs w:val="20"/>
          <w:color w:val="auto"/>
        </w:rPr>
      </w:pPr>
      <w:r>
        <w:rPr>
          <w:rFonts w:ascii="Arial" w:cs="Arial" w:eastAsia="Arial" w:hAnsi="Arial"/>
          <w:sz w:val="16"/>
          <w:szCs w:val="16"/>
          <w:i w:val="1"/>
          <w:iCs w:val="1"/>
          <w:color w:val="auto"/>
        </w:rPr>
        <w:t>Compliance with Other Laws</w:t>
      </w:r>
      <w:r>
        <w:rPr>
          <w:rFonts w:ascii="Arial" w:cs="Arial" w:eastAsia="Arial" w:hAnsi="Arial"/>
          <w:sz w:val="16"/>
          <w:szCs w:val="16"/>
          <w:color w:val="auto"/>
        </w:rPr>
        <w:t>. We are also subject to a variety of other federal, state and local laws, rules, regulations and ordinances that apply to non-gaming businesses, including zoning, environmental, construction and land-use laws and regulations governing smoking and the serving of alcoholic beverages. Legislation in various forms to ban indoor tobacco smoking has been enacted or introduced in many states and local jurisdictions, including several of the jurisdictions in which we operate. If additional restrictions on smoking are enacted in our jurisdictions, we could experience a significant decrease in gaming revenue and, particularly if such restrictions are not applicable to all competitive facilities in that gaming market, our business could be materially adversely affected. Under various federal, state and local laws and regulations, an owner or operator of real property may be held liable for the costs of removal or remediation of certain hazardous or toxic substances or wastes located on its property, regardless of whether or not the present owner or operator knows of, or is responsible for, the presence of such substances or wastes. We have not identified any issues associated with our properties that could reasonably be expected to have a material adverse effect on us or the results of our operations. However, several of our properties are located in industrial areas or were used for industrial purposes for many years. As a consequence, it is possible that historical or neighboring activities have affected one or more of our properties and that, as a result, environmental issues could arise in the future, the precise nature of which we cannot now predict. The coverage and attendant compliance costs associated with these laws, regulations and ordinances may result in future additional costs.</w:t>
      </w:r>
    </w:p>
    <w:p>
      <w:pPr>
        <w:spacing w:after="0" w:line="171"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Regulations adopted by the U.S. Department of Treasury Financial Crimes Enforcement Network (“FINCEN”) require us to report currency transactions in excess of $10,000 occurring within a gaming day, including identification of the patron by name and social security number. U.S. Treasury Department regulations also require us to report certain suspicious activity, including any transaction that exceeds $5,000, if we know, suspect or have reason to believe that the transaction involves funds from illegal activity or is designed to evade federal regulations or reporting requirements. Substantial penalties can be imposed if we fail to comply with these regulations. FINCEN has recently increased its focus on gaming companies.</w:t>
      </w:r>
    </w:p>
    <w:p>
      <w:pPr>
        <w:spacing w:after="0" w:line="177" w:lineRule="exact"/>
        <w:rPr>
          <w:sz w:val="20"/>
          <w:szCs w:val="20"/>
          <w:color w:val="auto"/>
        </w:rPr>
      </w:pPr>
    </w:p>
    <w:p>
      <w:pPr>
        <w:ind w:right="220" w:firstLine="555"/>
        <w:spacing w:after="0" w:line="271" w:lineRule="auto"/>
        <w:rPr>
          <w:sz w:val="20"/>
          <w:szCs w:val="20"/>
          <w:color w:val="auto"/>
        </w:rPr>
      </w:pPr>
      <w:r>
        <w:rPr>
          <w:rFonts w:ascii="Arial" w:cs="Arial" w:eastAsia="Arial" w:hAnsi="Arial"/>
          <w:sz w:val="18"/>
          <w:szCs w:val="18"/>
          <w:color w:val="auto"/>
        </w:rPr>
        <w:t>We are required to report certain customer’s gambling winnings via form W-2G to comply with current Internal Revenue Service regulations. Should these regulations change, we would expect to incur additional costs to comply with the revised reporting requirements.</w:t>
      </w:r>
    </w:p>
    <w:p>
      <w:pPr>
        <w:spacing w:after="0" w:line="175" w:lineRule="exact"/>
        <w:rPr>
          <w:sz w:val="20"/>
          <w:szCs w:val="20"/>
          <w:color w:val="auto"/>
        </w:rPr>
      </w:pPr>
    </w:p>
    <w:p>
      <w:pPr>
        <w:ind w:right="40" w:firstLine="555"/>
        <w:spacing w:after="0" w:line="286" w:lineRule="auto"/>
        <w:rPr>
          <w:sz w:val="20"/>
          <w:szCs w:val="20"/>
          <w:color w:val="auto"/>
        </w:rPr>
      </w:pPr>
      <w:r>
        <w:rPr>
          <w:rFonts w:ascii="Arial" w:cs="Arial" w:eastAsia="Arial" w:hAnsi="Arial"/>
          <w:sz w:val="16"/>
          <w:szCs w:val="16"/>
          <w:i w:val="1"/>
          <w:iCs w:val="1"/>
          <w:color w:val="auto"/>
        </w:rPr>
        <w:t>Taxation and Fees</w:t>
      </w:r>
      <w:r>
        <w:rPr>
          <w:rFonts w:ascii="Arial" w:cs="Arial" w:eastAsia="Arial" w:hAnsi="Arial"/>
          <w:sz w:val="16"/>
          <w:szCs w:val="16"/>
          <w:color w:val="auto"/>
        </w:rPr>
        <w:t>. In addition, gaming companies are generally subject to significant revenue-based taxes and fees in addition to normal federal, state</w:t>
      </w:r>
      <w:r>
        <w:rPr>
          <w:rFonts w:ascii="Arial" w:cs="Arial" w:eastAsia="Arial" w:hAnsi="Arial"/>
          <w:sz w:val="16"/>
          <w:szCs w:val="16"/>
          <w:i w:val="1"/>
          <w:iCs w:val="1"/>
          <w:color w:val="auto"/>
        </w:rPr>
        <w:t xml:space="preserve"> </w:t>
      </w:r>
      <w:r>
        <w:rPr>
          <w:rFonts w:ascii="Arial" w:cs="Arial" w:eastAsia="Arial" w:hAnsi="Arial"/>
          <w:sz w:val="16"/>
          <w:szCs w:val="16"/>
          <w:color w:val="auto"/>
        </w:rPr>
        <w:t>and local income taxes, and such taxes and fees are subject to increase at any time. We pay substantial taxes and fees with respect to our operations. From time to time, federal, state, and local legislators and officials have proposed changes in tax laws, or in the administration of such laws, affecting the gaming industry. In addition, worsening economic conditions could intensify the efforts of state and local governments to raise revenues through increases in gaming taxes and/or property taxes. It is not possible to determine with certainty the likelihood of changes in tax laws or in the administration of such laws. Such changes, if adopted, could have a material adverse effect on our business, financial condition and results of operations. The large number of state and local governments with significant current or projected budget deficits makes it more likely that those governments that currently permit gaming will seek to fund such deficits with new or increased gaming taxes and/or property taxes and worsening economic conditions could intensify those efforts. Any material increase, or the adoption of additional taxes or fees, could have a material adverse effect on our future financial results.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8" w:name="page19"/>
    <w:bookmarkEnd w:id="18"/>
    <w:p>
      <w:pPr>
        <w:ind w:right="180" w:firstLine="555"/>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are subject to tax in multiple U.S. tax jurisdictions. Significant judgment is required in determining our 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tax assets or liabilities and in evaluating our tax positions. While we believe our tax positions are consistent with the tax laws in the jurisdictions in which we conduct our business, it is possible that these positions may be overturned by jurisdictional tax authorities, which may have a significant impact on our provision for income taxes.</w:t>
      </w:r>
    </w:p>
    <w:p>
      <w:pPr>
        <w:spacing w:after="0" w:line="191" w:lineRule="exact"/>
        <w:rPr>
          <w:sz w:val="20"/>
          <w:szCs w:val="20"/>
          <w:color w:val="auto"/>
        </w:rPr>
      </w:pPr>
    </w:p>
    <w:p>
      <w:pPr>
        <w:jc w:val="both"/>
        <w:ind w:right="60" w:firstLine="555"/>
        <w:spacing w:after="0" w:line="255" w:lineRule="auto"/>
        <w:rPr>
          <w:sz w:val="20"/>
          <w:szCs w:val="20"/>
          <w:color w:val="auto"/>
        </w:rPr>
      </w:pPr>
      <w:r>
        <w:rPr>
          <w:rFonts w:ascii="Arial" w:cs="Arial" w:eastAsia="Arial" w:hAnsi="Arial"/>
          <w:sz w:val="18"/>
          <w:szCs w:val="18"/>
          <w:color w:val="auto"/>
        </w:rPr>
        <w:t>Tax laws are dynamic and subject to change as new laws are passed and new interpretations of the law are issued or applied. The U.S. recently enacted significant tax reform, and certain provisions of the new law may adversely affect us. In addition, governmental tax authorities are increasingly scrutinizing the tax positions of companies. If U.S. or state tax authorities change applicable tax laws, our overall taxes could increase, and our business, financial condition or results of operations may be adversely impacted.</w:t>
      </w:r>
    </w:p>
    <w:p>
      <w:pPr>
        <w:spacing w:after="0" w:line="29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have partnership agreements to expand our sportsbook business and engage in online sportsbook, casino gaming and poker. There can be no assurance that regulations authorizing such activities will be approved in the jurisdictions in which we operate or that the market for such gaming activities will develop as expected.</w:t>
      </w:r>
    </w:p>
    <w:p>
      <w:pPr>
        <w:spacing w:after="0" w:line="79" w:lineRule="exact"/>
        <w:rPr>
          <w:sz w:val="20"/>
          <w:szCs w:val="20"/>
          <w:color w:val="auto"/>
        </w:rPr>
      </w:pPr>
    </w:p>
    <w:p>
      <w:pPr>
        <w:ind w:right="80" w:firstLine="555"/>
        <w:spacing w:after="0" w:line="290" w:lineRule="auto"/>
        <w:rPr>
          <w:sz w:val="20"/>
          <w:szCs w:val="20"/>
          <w:color w:val="auto"/>
        </w:rPr>
      </w:pPr>
      <w:r>
        <w:rPr>
          <w:rFonts w:ascii="Arial" w:cs="Arial" w:eastAsia="Arial" w:hAnsi="Arial"/>
          <w:sz w:val="16"/>
          <w:szCs w:val="16"/>
          <w:color w:val="auto"/>
        </w:rPr>
        <w:t>During the second quarter of 2018, the U.S. Supreme Court overturned the federal ban on sports betting. As a result, several jurisdictions in which we operate legalized sports betting and additional jurisdictions may do so in the future. We currently accept wagers on sporting events in Nevada, New Jersey, Mississippi, Iowa and Indiana. However, our ability to expand our sports betting and online operations is dependent on adoption of regulations permitting sports betting in the United States and may be negatively impacted by a recent opinion of the U.S. Justice Department’s Office of Legal Counsel relating to the restrictions on online gaming under existing federal statutes. There can be no assurances when, or if, regulations enabling sports betting and online sportsbook, casino gaming and poker will be adopted, or the terms of such regulations, in certain of the jurisdictions in which we operate.</w:t>
      </w:r>
    </w:p>
    <w:p>
      <w:pPr>
        <w:spacing w:after="0" w:line="165" w:lineRule="exact"/>
        <w:rPr>
          <w:sz w:val="20"/>
          <w:szCs w:val="20"/>
          <w:color w:val="auto"/>
        </w:rPr>
      </w:pPr>
    </w:p>
    <w:p>
      <w:pPr>
        <w:ind w:right="160" w:firstLine="555"/>
        <w:spacing w:after="0" w:line="287" w:lineRule="auto"/>
        <w:rPr>
          <w:sz w:val="20"/>
          <w:szCs w:val="20"/>
          <w:color w:val="auto"/>
        </w:rPr>
      </w:pPr>
      <w:r>
        <w:rPr>
          <w:rFonts w:ascii="Arial" w:cs="Arial" w:eastAsia="Arial" w:hAnsi="Arial"/>
          <w:sz w:val="16"/>
          <w:szCs w:val="16"/>
          <w:color w:val="auto"/>
        </w:rPr>
        <w:t>Following the repeal of the federal ban on sports betting, we entered into a definitive agreement with William Hill pursuant to which William Hill has agreed to operate as our sports betting operator, including with respect to mobile and online sports wagering, for a period of 25 years. We also entered into a</w:t>
      </w:r>
    </w:p>
    <w:p>
      <w:pPr>
        <w:spacing w:after="0" w:line="1"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20-year agreement with TSG pursuant to which we agreed to provide TSG with options to obtain access to certain of our licenses for online sports wagering and real money online gaming and poker. We received equity interests in William Hill US, William Hill PLC and TSG in consideration for the execution of these agreements and we may in the future receive additional consideration, including revenue sharing based on the betting and gaming operations conducted under the authority of our licenses or in our markets. To the extent permitted under our agreements with William Hill and TSG, we will continue to evaluate options for additional partnerships to operate online betting and gaming activities under the authority of our licenses and may in the future enter into additional partnership agreements with respect to such operations.</w:t>
      </w:r>
    </w:p>
    <w:p>
      <w:pPr>
        <w:spacing w:after="0" w:line="181" w:lineRule="exact"/>
        <w:rPr>
          <w:sz w:val="20"/>
          <w:szCs w:val="20"/>
          <w:color w:val="auto"/>
        </w:rPr>
      </w:pPr>
    </w:p>
    <w:p>
      <w:pPr>
        <w:ind w:right="180" w:firstLine="555"/>
        <w:spacing w:after="0" w:line="255" w:lineRule="auto"/>
        <w:rPr>
          <w:sz w:val="20"/>
          <w:szCs w:val="20"/>
          <w:color w:val="auto"/>
        </w:rPr>
      </w:pPr>
      <w:r>
        <w:rPr>
          <w:rFonts w:ascii="Arial" w:cs="Arial" w:eastAsia="Arial" w:hAnsi="Arial"/>
          <w:sz w:val="18"/>
          <w:szCs w:val="18"/>
          <w:color w:val="auto"/>
        </w:rPr>
        <w:t>The market for sports betting and online gaming is rapidly evolving and highly competitive with an increasing number of competitors. The success of our sportsbook and online betting and gaming partners, the value of our equity interests in William Hill and TSG and the results of operations from sports betting and online sportsbook and gaming conducted at our properties or under the authority of our licenses are dependent on a number of factors that are beyond our control, including:</w:t>
      </w:r>
    </w:p>
    <w:p>
      <w:pPr>
        <w:spacing w:after="0" w:line="84" w:lineRule="exact"/>
        <w:rPr>
          <w:sz w:val="20"/>
          <w:szCs w:val="20"/>
          <w:color w:val="auto"/>
        </w:rPr>
      </w:pPr>
    </w:p>
    <w:p>
      <w:pPr>
        <w:ind w:left="1100" w:hanging="544"/>
        <w:spacing w:after="0"/>
        <w:tabs>
          <w:tab w:leader="none" w:pos="1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timing of adoption of regulations authorizing such betting and gaming activities and the restrictions contained in such regulations;</w:t>
      </w:r>
    </w:p>
    <w:p>
      <w:pPr>
        <w:spacing w:after="0" w:line="125" w:lineRule="exact"/>
        <w:rPr>
          <w:rFonts w:ascii="Arial" w:cs="Arial" w:eastAsia="Arial" w:hAnsi="Arial"/>
          <w:sz w:val="17"/>
          <w:szCs w:val="17"/>
          <w:color w:val="auto"/>
        </w:rPr>
      </w:pPr>
    </w:p>
    <w:p>
      <w:pPr>
        <w:ind w:left="1100" w:hanging="544"/>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tax rates and license fees applicable to such activities;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gain market share in a newly developing market;</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that the market does not develop at all or does not develop as we anticipate;</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compete with new entrants in the market;</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consumer demographics and public tastes and preferences; and</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and popularity of other forms of entertainment.</w:t>
      </w:r>
    </w:p>
    <w:p>
      <w:pPr>
        <w:spacing w:after="0" w:line="221" w:lineRule="exact"/>
        <w:rPr>
          <w:sz w:val="20"/>
          <w:szCs w:val="20"/>
          <w:color w:val="auto"/>
        </w:rPr>
      </w:pPr>
    </w:p>
    <w:p>
      <w:pPr>
        <w:ind w:right="360" w:firstLine="555"/>
        <w:spacing w:after="0" w:line="271" w:lineRule="auto"/>
        <w:rPr>
          <w:sz w:val="20"/>
          <w:szCs w:val="20"/>
          <w:color w:val="auto"/>
        </w:rPr>
      </w:pPr>
      <w:r>
        <w:rPr>
          <w:rFonts w:ascii="Arial" w:cs="Arial" w:eastAsia="Arial" w:hAnsi="Arial"/>
          <w:sz w:val="18"/>
          <w:szCs w:val="18"/>
          <w:color w:val="auto"/>
        </w:rPr>
        <w:t>There can be no assurance as to the returns that we will receive from our current and anticipated sports betting and online gaming operations or our partnerships with William Hill and TSG or future similar arrangements with other market service providers.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i w:val="1"/>
          <w:iCs w:val="1"/>
          <w:color w:val="auto"/>
        </w:rPr>
        <w:t>We rely on our key personnel and we may face difficulties in attracting and retaining qualified employees for our casinos and race tracks.</w:t>
      </w:r>
    </w:p>
    <w:p>
      <w:pPr>
        <w:spacing w:after="0" w:line="126" w:lineRule="exact"/>
        <w:rPr>
          <w:sz w:val="20"/>
          <w:szCs w:val="20"/>
          <w:color w:val="auto"/>
        </w:rPr>
      </w:pPr>
    </w:p>
    <w:p>
      <w:pPr>
        <w:jc w:val="both"/>
        <w:ind w:right="80" w:firstLine="555"/>
        <w:spacing w:after="0" w:line="307" w:lineRule="auto"/>
        <w:rPr>
          <w:sz w:val="20"/>
          <w:szCs w:val="20"/>
          <w:color w:val="auto"/>
        </w:rPr>
      </w:pPr>
      <w:r>
        <w:rPr>
          <w:rFonts w:ascii="Arial" w:cs="Arial" w:eastAsia="Arial" w:hAnsi="Arial"/>
          <w:sz w:val="16"/>
          <w:szCs w:val="16"/>
          <w:color w:val="auto"/>
        </w:rPr>
        <w:t>Our future success will depend upon, among other things, our ability to keep our senior executives and highly qualified employees. We compete with other potential employers for employees, and we may not succeed in hiring or retaining the executives and other employees that we need. A sudden loss of or inability to replace key employees could have a material adverse effect on our business, financial condition and results of operation.</w:t>
      </w:r>
    </w:p>
    <w:p>
      <w:pPr>
        <w:spacing w:after="0" w:line="150"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In addition, the operation of our business requires qualified executives, managers and skilled employees with gaming and horse racing industry experience and qualifications who are able to obtain the requisite licenses and approval from the applicable Gaming Authorities. There has from time to time been a shortage of skilled labor in our markets. In addition to limitations that may otherwise exist in the supply of skilled labor, the continued expansion of gaming near our facilities, including the expansion of Native American gaming, may make it more difficult for us to attract qualified individuals. While we believe that we will continue to be able to attract and retain qualified employees, shortages of skilled labor will make it increasingly difficult and expensive to attract and retain the services of a satisfactory number of qualified employees, and we may incur higher costs than expected as a result.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 stoppages, organizing drives and other labor problems could negatively impact our future profits.</w:t>
      </w:r>
    </w:p>
    <w:p>
      <w:pPr>
        <w:spacing w:after="0" w:line="114" w:lineRule="exact"/>
        <w:rPr>
          <w:sz w:val="20"/>
          <w:szCs w:val="20"/>
          <w:color w:val="auto"/>
        </w:rPr>
      </w:pPr>
    </w:p>
    <w:p>
      <w:pPr>
        <w:ind w:firstLine="555"/>
        <w:spacing w:after="0" w:line="275" w:lineRule="auto"/>
        <w:rPr>
          <w:sz w:val="20"/>
          <w:szCs w:val="20"/>
          <w:color w:val="auto"/>
        </w:rPr>
      </w:pPr>
      <w:r>
        <w:rPr>
          <w:rFonts w:ascii="Arial" w:cs="Arial" w:eastAsia="Arial" w:hAnsi="Arial"/>
          <w:sz w:val="17"/>
          <w:szCs w:val="17"/>
          <w:color w:val="auto"/>
        </w:rPr>
        <w:t>As of December 31, 2019, we had 18 collective bargaining agreements covering approximately 3,100 employees. A lengthy strike or other work stoppages at any of our casino properties could have an adverse effect on our business and results of operations. Given the large number of employees, labor unions are making a concerted effort to recruit more employees in the gaming industry, including at some of our properties. As a result, we cannot provide any assurance that we will not experience additional and more successful union organization activity in the future.</w:t>
      </w:r>
    </w:p>
    <w:p>
      <w:pPr>
        <w:spacing w:after="0" w:line="282"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Because we own real property, we will be subject to extensive environmental regulation, which creates uncertainty regarding future environmental expenditures and liabilities.</w:t>
      </w:r>
    </w:p>
    <w:p>
      <w:pPr>
        <w:spacing w:after="0" w:line="68" w:lineRule="exact"/>
        <w:rPr>
          <w:sz w:val="20"/>
          <w:szCs w:val="20"/>
          <w:color w:val="auto"/>
        </w:rPr>
      </w:pPr>
    </w:p>
    <w:p>
      <w:pPr>
        <w:ind w:firstLine="555"/>
        <w:spacing w:after="0" w:line="215" w:lineRule="exact"/>
        <w:rPr>
          <w:sz w:val="20"/>
          <w:szCs w:val="20"/>
          <w:color w:val="auto"/>
        </w:rPr>
      </w:pPr>
      <w:r>
        <w:rPr>
          <w:rFonts w:ascii="Arial" w:cs="Arial" w:eastAsia="Arial" w:hAnsi="Arial"/>
          <w:sz w:val="16"/>
          <w:szCs w:val="16"/>
          <w:color w:val="auto"/>
        </w:rPr>
        <w:t>We are subject to various federal, state and local environmental, health and safety laws and regulations that govern activities that may have adverse environmental effects, such as discharges to air and water, as well as the use, storage, discharge, emission and disposal of solid, animal and hazardous wastes and exposure to hazardous materials. These laws and regulations are complex and frequently subject to change. In addition, our horse racing facilities are subject to laws and regulations that address the impacts of manure and wastewater generated by Concentrated Animal Feeding Operations (“CAFO”) on water quality, including, but not limited to, storm water discharges. CAFO regulations include permit requirements and water quality discharge standards. Enforcement of CAFO regulations has been receiving increased governmental attention. Compliance with these and other environmental laws can, in some circumstances, require significant capital expenditures. We have from time to time been responsible for investigating and remediating, or contributing to remediation costs related to, contamination located at or near certain of our facilities, including contamination related to underground storage tanks and groundwater contamination arising from prior uses of land on which certain of our facilities are located. In addition, we have been, and may in the future be, required to manage, abate, remove or contain manure and wastewater generated by concentrated animal feeding operations due to our racetrack operations, mold, lead, asbestos</w:t>
      </w:r>
      <w:r>
        <w:rPr>
          <w:rFonts w:ascii="MS PGothic" w:cs="MS PGothic" w:eastAsia="MS PGothic" w:hAnsi="MS PGothic"/>
          <w:sz w:val="16"/>
          <w:szCs w:val="16"/>
          <w:color w:val="auto"/>
        </w:rPr>
        <w:t>‑</w:t>
      </w:r>
      <w:r>
        <w:rPr>
          <w:rFonts w:ascii="Arial" w:cs="Arial" w:eastAsia="Arial" w:hAnsi="Arial"/>
          <w:sz w:val="16"/>
          <w:szCs w:val="16"/>
          <w:color w:val="auto"/>
        </w:rPr>
        <w:t>containing materials or other hazardous conditions found in or on our properties. Moreover, violations can result in significant fines or penalties and, in some instances, interruption or cessation of operations.</w:t>
      </w:r>
    </w:p>
    <w:p>
      <w:pPr>
        <w:spacing w:after="0" w:line="207" w:lineRule="exact"/>
        <w:rPr>
          <w:sz w:val="20"/>
          <w:szCs w:val="20"/>
          <w:color w:val="auto"/>
        </w:rPr>
      </w:pPr>
    </w:p>
    <w:p>
      <w:pPr>
        <w:ind w:right="200" w:firstLine="555"/>
        <w:spacing w:after="0" w:line="255" w:lineRule="auto"/>
        <w:rPr>
          <w:sz w:val="20"/>
          <w:szCs w:val="20"/>
          <w:color w:val="auto"/>
        </w:rPr>
      </w:pPr>
      <w:r>
        <w:rPr>
          <w:rFonts w:ascii="Arial" w:cs="Arial" w:eastAsia="Arial" w:hAnsi="Arial"/>
          <w:sz w:val="18"/>
          <w:szCs w:val="18"/>
          <w:color w:val="auto"/>
        </w:rPr>
        <w:t>We are also subject to laws and regulations that create liability and cleanup responsibility for releases of regulated materials into the environment. Certain of these laws and regulations impose strict, and under certain circumstances joint and several, liability on a current or previous owner or operator of property for the costs of remediating regulated materials on or emanating from its property. The costs of investigation, remediation or removal of those substances may be substantial.</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320"/>
          </w:cols>
          <w:pgMar w:left="240" w:top="660" w:right="339" w:bottom="1440" w:gutter="0" w:footer="0" w:header="0"/>
        </w:sectPr>
      </w:pPr>
    </w:p>
    <w:bookmarkStart w:id="20" w:name="page21"/>
    <w:bookmarkEnd w:id="20"/>
    <w:p>
      <w:pPr>
        <w:ind w:right="160"/>
        <w:spacing w:after="0" w:line="271" w:lineRule="auto"/>
        <w:rPr>
          <w:sz w:val="20"/>
          <w:szCs w:val="20"/>
          <w:color w:val="auto"/>
        </w:rPr>
      </w:pPr>
      <w:r>
        <w:rPr>
          <w:rFonts w:ascii="Arial" w:cs="Arial" w:eastAsia="Arial" w:hAnsi="Arial"/>
          <w:sz w:val="18"/>
          <w:szCs w:val="18"/>
          <w:b w:val="1"/>
          <w:bCs w:val="1"/>
          <w:i w:val="1"/>
          <w:iCs w:val="1"/>
          <w:color w:val="auto"/>
        </w:rPr>
        <w:t>An earthquake, hurricane, flood, other natural disaster, act of terrorism or other casualty events could adversely affect our business and we may not have sufficient insurance coverage to cover such losses.</w:t>
      </w:r>
    </w:p>
    <w:p>
      <w:pPr>
        <w:spacing w:after="0" w:line="68" w:lineRule="exact"/>
        <w:rPr>
          <w:sz w:val="20"/>
          <w:szCs w:val="20"/>
          <w:color w:val="auto"/>
        </w:rPr>
      </w:pPr>
    </w:p>
    <w:p>
      <w:pPr>
        <w:ind w:firstLine="555"/>
        <w:spacing w:after="0" w:line="281" w:lineRule="auto"/>
        <w:rPr>
          <w:sz w:val="20"/>
          <w:szCs w:val="20"/>
          <w:color w:val="auto"/>
        </w:rPr>
      </w:pPr>
      <w:r>
        <w:rPr>
          <w:rFonts w:ascii="Arial" w:cs="Arial" w:eastAsia="Arial" w:hAnsi="Arial"/>
          <w:sz w:val="16"/>
          <w:szCs w:val="16"/>
          <w:color w:val="auto"/>
        </w:rPr>
        <w:t>The operations of our facilities are subject to disruption or reduced patronage as a result of severe weather conditions, natural disasters and other casualty events, including acts of terrorism or violence. The Reno area has been, and may in the future be, subject to earthquakes and other natural disasters and certain of our other properties are located in flood zones or are otherwise subject to significant disruption based on adverse weather conditions. Because many of our gaming operations are located on or adjacent to bodies of water, these facilities are subject to risks in addition to those associated with other casinos, including loss of service due to casualty, forces of nature, mechanical failure, extended or extraordinary maintenance, flood, hurricane or other severe weather conditions and other disasters. For example, flooding along the Mississippi River can impact six or more of our properties and result in them being closed for differing periods of time. Our properties in Florida, Mississippi, Louisiana and New Jersey are particularly vulnerable to hurricanes, wind and storm surge. Our Pompano property was closed for four days in 2017 because of storms. In addition, severe weather such as high winds and blizzards occasionally limits access to our land-based facilities in Colorado and Reno. Inadequate insurance or lack of available insurance for these and other certain types or levels of risk could expose us to significant losses in the event that a catastrophe occurred for which we are underinsured. Further, if properties subject to the Master Lease are impacted by a casualty event, the Master Lease requires us to repair or restore the affected properties even if the cost of such repair or restoration exceeds the insurance proceeds that we receive. Under such circumstances, the rent under the Master Lease is required to be paid during the period of repair or restoration even if all or a portion of the affected property is not operating. In addition to the damage caused to our properties by a casualty loss, we may suffer business disruption as a result of the casualty event or be subject to claims by third parties that may be injured or harmed. While we carry general liability insurance and business interruption insurance, there can be no assurance that insurance will be available or adequate to cover all loss and damage to which our business or our assets might be subjected. In addition, certain casualty events, such as labor strikes, nuclear events, loss of income due to terrorism, violence, deterioration or corrosion, insect or animal damage and pollution, may not be covered under our policies. Any losses we incur that are not adequately covered by insurance may decrease our future operating income, require us to fund replacements or repairs for destroyed property and reduce the funds available for payments of our obligations. Further, we renew our insurance policies on an annual basis. The cost of coverage may become so high that we may need to further reduce our policy limits or agree to certain exclusions from coverage. Among other factors, it is possible that regional political tensions, homeland security concerns, other catastrophic events or any change in government legislation governing insurance coverage for acts of terrorism could materially adversely affect available insurance coverage and result in increased premiums on available coverage (which may cause us to elect to reduce our policy limits), additional exclusions from coverage or higher deductibles. Among other potential future adverse changes, in the future we may elect to not, or may not be able to, obtain any coverage for losses due to acts of terrorism.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relating to mechanical failure, forces of nature, casualty, extraordinary maintenance and other causes.</w:t>
      </w:r>
    </w:p>
    <w:p>
      <w:pPr>
        <w:spacing w:after="0" w:line="114"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All of our facilities will generally be subject to the risk that operations could be halted for a temporary or extended period of time, as the result of casualty, forces of nature, mechanical failure, or extended or extraordinary maintenance, among other causes. In addition, our gaming operations could be damaged or halted due to extreme weather conditions. These risks are particularly pronounced at our riverboat and dockside facilities because of their locations on and adjacent to water.</w:t>
      </w:r>
    </w:p>
    <w:p>
      <w:pPr>
        <w:spacing w:after="0" w:line="29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Our reliance on our computer systems and software could expose us to great financial harm if any of our computer systems or software were subject to any material disruption or corruption.</w:t>
      </w:r>
    </w:p>
    <w:p>
      <w:pPr>
        <w:spacing w:after="0" w:line="81" w:lineRule="exact"/>
        <w:rPr>
          <w:sz w:val="20"/>
          <w:szCs w:val="20"/>
          <w:color w:val="auto"/>
        </w:rPr>
      </w:pPr>
    </w:p>
    <w:p>
      <w:pPr>
        <w:ind w:right="340" w:firstLine="555"/>
        <w:spacing w:after="0" w:line="293" w:lineRule="auto"/>
        <w:rPr>
          <w:sz w:val="20"/>
          <w:szCs w:val="20"/>
          <w:color w:val="auto"/>
        </w:rPr>
      </w:pPr>
      <w:r>
        <w:rPr>
          <w:rFonts w:ascii="Arial" w:cs="Arial" w:eastAsia="Arial" w:hAnsi="Arial"/>
          <w:sz w:val="16"/>
          <w:szCs w:val="16"/>
          <w:color w:val="auto"/>
        </w:rPr>
        <w:t>We rely significantly on our computer systems and software to receive and properly process internal and external data, including data related to our player loyalty program. A disruption or corruption of the proper functioning of our computer systems or software could cause us to lose data or record erroneous data, which could result in material losses. We cannot guarantee that our efforts to maintain competitive computer systems and software will be successful. Our computer systems and software may fail or be subject to bugs or other errors, resulting in service interruptions or other unintended consequences. If any of these risks materialize, they could have a material adverse effect on our business, financial condition, and results of operations.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i w:val="1"/>
          <w:iCs w:val="1"/>
          <w:color w:val="auto"/>
        </w:rPr>
        <w:t>We are or may become involved in legal proceedings that, if adversely adjudicated or settled, could impact our business and financial condition.</w:t>
      </w:r>
    </w:p>
    <w:p>
      <w:pPr>
        <w:spacing w:after="0" w:line="137" w:lineRule="exact"/>
        <w:rPr>
          <w:sz w:val="20"/>
          <w:szCs w:val="20"/>
          <w:color w:val="auto"/>
        </w:rPr>
      </w:pPr>
    </w:p>
    <w:p>
      <w:pPr>
        <w:ind w:right="120" w:firstLine="555"/>
        <w:spacing w:after="0" w:line="254" w:lineRule="auto"/>
        <w:rPr>
          <w:sz w:val="20"/>
          <w:szCs w:val="20"/>
          <w:color w:val="auto"/>
        </w:rPr>
      </w:pPr>
      <w:r>
        <w:rPr>
          <w:rFonts w:ascii="Arial" w:cs="Arial" w:eastAsia="Arial" w:hAnsi="Arial"/>
          <w:sz w:val="18"/>
          <w:szCs w:val="18"/>
          <w:color w:val="auto"/>
        </w:rPr>
        <w:t>From time to time, we are named in lawsuits or other legal proceedings relating to our respective businesses. In particular, the nature of our business subjects us to the risk of lawsuits filed by customers, past and present employees, competitors, business partners and others in the ordinary course of business. As with all legal proceedings, no assurances can be given as to the outcome of these matters. Moreover, legal proceedings can be expensive and time consuming, and we may not be successful in defending or prosecuting these lawsuits, which could result in settlements or damages that could significantly impact our business, financial condition and results of operations.</w:t>
      </w:r>
    </w:p>
    <w:p>
      <w:pPr>
        <w:spacing w:after="0" w:line="296"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 including misappropriation of customer information or other breaches of information security.</w:t>
      </w:r>
    </w:p>
    <w:p>
      <w:pPr>
        <w:spacing w:after="0" w:line="68" w:lineRule="exact"/>
        <w:rPr>
          <w:sz w:val="20"/>
          <w:szCs w:val="20"/>
          <w:color w:val="auto"/>
        </w:rPr>
      </w:pPr>
    </w:p>
    <w:p>
      <w:pPr>
        <w:ind w:right="80" w:firstLine="555"/>
        <w:spacing w:after="0" w:line="266" w:lineRule="auto"/>
        <w:rPr>
          <w:sz w:val="20"/>
          <w:szCs w:val="20"/>
          <w:color w:val="auto"/>
        </w:rPr>
      </w:pPr>
      <w:r>
        <w:rPr>
          <w:rFonts w:ascii="Arial" w:cs="Arial" w:eastAsia="Arial" w:hAnsi="Arial"/>
          <w:sz w:val="17"/>
          <w:szCs w:val="17"/>
          <w:color w:val="auto"/>
        </w:rPr>
        <w:t>We collect information relating to our guests and employees for various business purposes, including marketing and promotional purposes. The collection and use of personal data are governed by privacy laws and regulations enacted in the United States. We rely on information technology and other systems to maintain and transmit this personal and financial information, credit card settlements, credit card funds transmissions, mailing lists and reservations information. Our information and processes are subject to the ever-changing threat of compromised security, in the form of a risk of potential breach, system failure, computer virus or unauthorized or fraudulent use by customers, company employees, or employees of third-party vendors. We face cybersecurity threats, which may range from uncoordinated individual attempts to sophisticated and targeted measures directed at us. Cyber-attacks and security breaches may include, but are not limited to, attempts to access information, including customer and company information, computer malware such as viruses, denial of service, ransomware attacks that encrypt, exfiltrate or otherwise render data unusable or unavailable in an effort to extort money or other consideration as a condition to purportedly returning the data to a usable form, operator errors or misuse, or inadvertent releases of data and other forms of electronic security breaches. The steps we take to deter and mitigate these risks may not be successful and any resulting compromise or loss of data or systems could adversely impact operations or regulatory compliance and could result in remedial expenses, fines, litigation and loss of reputation, potentially impacting our financial results.</w:t>
      </w:r>
    </w:p>
    <w:p>
      <w:pPr>
        <w:spacing w:after="0" w:line="183" w:lineRule="exact"/>
        <w:rPr>
          <w:sz w:val="20"/>
          <w:szCs w:val="20"/>
          <w:color w:val="auto"/>
        </w:rPr>
      </w:pPr>
    </w:p>
    <w:p>
      <w:pPr>
        <w:ind w:right="60" w:firstLine="555"/>
        <w:spacing w:after="0" w:line="293" w:lineRule="auto"/>
        <w:rPr>
          <w:sz w:val="20"/>
          <w:szCs w:val="20"/>
          <w:color w:val="auto"/>
        </w:rPr>
      </w:pPr>
      <w:r>
        <w:rPr>
          <w:rFonts w:ascii="Arial" w:cs="Arial" w:eastAsia="Arial" w:hAnsi="Arial"/>
          <w:sz w:val="16"/>
          <w:szCs w:val="16"/>
          <w:color w:val="auto"/>
        </w:rPr>
        <w:t>In addition, third party service providers and other business partners process and maintain proprietary business information and data related to our guests, suppliers and other business partners. Our information technology and other systems that maintain and transmit this information, or those of service providers or business partners, may also be compromised by a malicious third-party penetration of our network security or that of a third party service provider or business partner, or impacted by intentional or unintentional actions or inactions by our employees or those of a third party service provider or business partner. As a result, our business information, guest, supplier and other business partner data may be lost, disclosed, accessed or taken without their consent.</w:t>
      </w:r>
    </w:p>
    <w:p>
      <w:pPr>
        <w:spacing w:after="0" w:line="161"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Any such loss, disclosure or misappropriation of, or access to, guests’ or business partners’ information or other breach of our information security can result in legal claims or legal proceedings, including regulatory investigations and actions, may have a serious impact on our reputation and may adversely affect our businesses, operating results and financial condition. Furthermore, the loss, disclosure or misappropriation of our business information may adversely affect our reputation, businesses, operating results and financial condition.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are vulnerable to fraud and cheating.</w:t>
      </w:r>
    </w:p>
    <w:p>
      <w:pPr>
        <w:spacing w:after="0" w:line="114" w:lineRule="exact"/>
        <w:rPr>
          <w:sz w:val="20"/>
          <w:szCs w:val="20"/>
          <w:color w:val="auto"/>
        </w:rPr>
      </w:pPr>
    </w:p>
    <w:p>
      <w:pPr>
        <w:ind w:right="100" w:firstLine="555"/>
        <w:spacing w:after="0" w:line="272" w:lineRule="auto"/>
        <w:rPr>
          <w:sz w:val="20"/>
          <w:szCs w:val="20"/>
          <w:color w:val="auto"/>
        </w:rPr>
      </w:pPr>
      <w:r>
        <w:rPr>
          <w:rFonts w:ascii="Arial" w:cs="Arial" w:eastAsia="Arial" w:hAnsi="Arial"/>
          <w:sz w:val="17"/>
          <w:szCs w:val="17"/>
          <w:color w:val="auto"/>
        </w:rPr>
        <w:t>To increase winnings, gaming customers of ours may attempt or commit fraud or cheat. Such attempts could involve tactics including the use of counterfeit chips, possibly in collusion with our employees. Internal acts of cheating could also be conducted by employees through collusion with dealers, surveillance staff, floor managers or other casino or gaming area staff. Our failure to discover such acts or schemes in a timely manner could result in losses in our gaming operations. Moreover, our reputation could be adversely affected by negative publicity related to such schemes, potentially causing a material adverse effect on our business, financial condition, results of operations and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2" w:name="page23"/>
    <w:bookmarkEnd w:id="22"/>
    <w:p>
      <w:pPr>
        <w:ind w:right="140"/>
        <w:spacing w:after="0" w:line="271" w:lineRule="auto"/>
        <w:rPr>
          <w:sz w:val="20"/>
          <w:szCs w:val="20"/>
          <w:color w:val="auto"/>
        </w:rPr>
      </w:pPr>
      <w:r>
        <w:rPr>
          <w:rFonts w:ascii="Arial" w:cs="Arial" w:eastAsia="Arial" w:hAnsi="Arial"/>
          <w:sz w:val="18"/>
          <w:szCs w:val="18"/>
          <w:b w:val="1"/>
          <w:bCs w:val="1"/>
          <w:i w:val="1"/>
          <w:iCs w:val="1"/>
          <w:color w:val="auto"/>
        </w:rPr>
        <w:t>Our operations have historically been subject to seasonal variations and quarterly fluctuations in operating results, and we can expect to experience such variations and fluctuations in the future.</w:t>
      </w:r>
    </w:p>
    <w:p>
      <w:pPr>
        <w:spacing w:after="0" w:line="68" w:lineRule="exact"/>
        <w:rPr>
          <w:sz w:val="20"/>
          <w:szCs w:val="20"/>
          <w:color w:val="auto"/>
        </w:rPr>
      </w:pPr>
    </w:p>
    <w:p>
      <w:pPr>
        <w:ind w:right="180" w:firstLine="555"/>
        <w:spacing w:after="0" w:line="269" w:lineRule="auto"/>
        <w:rPr>
          <w:sz w:val="20"/>
          <w:szCs w:val="20"/>
          <w:color w:val="auto"/>
        </w:rPr>
      </w:pPr>
      <w:r>
        <w:rPr>
          <w:rFonts w:ascii="Arial" w:cs="Arial" w:eastAsia="Arial" w:hAnsi="Arial"/>
          <w:sz w:val="17"/>
          <w:szCs w:val="17"/>
          <w:color w:val="auto"/>
        </w:rPr>
        <w:t>Historically, our operations have typically been subject to seasonal variations. Our strongest operating results for our Reno properties have generally occurred in the second and third quarters and the weakest results have generally occurred during the period from November through February when weather conditions adversely affected operating results. Winter conditions can frequently adversely affect transportation routes to Reno, where a significant of our visitors arrive by ground transportation, and certain of our other properties and cause cancellations of live horse racing. For example, the Reno-Tahoe area experienced exceptionally high levels of snowfall in the first quarter of 2017, with certain resorts in the Tahoe area reporting over 50 feet of snowfall during such time, which adversely affected visitation to our Reno properties and adversely affected our results of operations for the first quarter of 2017. As a result, unfavorable seasonal conditions could have a material adverse effect on our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concentration and evolution of the slot machine manufacturing industry could impose additional costs on us.</w:t>
      </w:r>
    </w:p>
    <w:p>
      <w:pPr>
        <w:spacing w:after="0" w:line="114"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There are a limited number of slot machine manufacturers servicing the gaming industry and a large majority of our revenues are derived from slot machines at our casinos. It is important, for competitive reasons, that we offer the most popular and up-to-date slot machine games with the latest technology to customers.</w:t>
      </w:r>
    </w:p>
    <w:p>
      <w:pPr>
        <w:spacing w:after="0" w:line="186" w:lineRule="exact"/>
        <w:rPr>
          <w:sz w:val="20"/>
          <w:szCs w:val="20"/>
          <w:color w:val="auto"/>
        </w:rPr>
      </w:pPr>
    </w:p>
    <w:p>
      <w:pPr>
        <w:ind w:right="560" w:firstLine="555"/>
        <w:spacing w:after="0" w:line="259" w:lineRule="auto"/>
        <w:rPr>
          <w:sz w:val="20"/>
          <w:szCs w:val="20"/>
          <w:color w:val="auto"/>
        </w:rPr>
      </w:pPr>
      <w:r>
        <w:rPr>
          <w:rFonts w:ascii="Arial" w:cs="Arial" w:eastAsia="Arial" w:hAnsi="Arial"/>
          <w:sz w:val="18"/>
          <w:szCs w:val="18"/>
          <w:color w:val="auto"/>
        </w:rPr>
        <w:t>In recent years, slot machine manufacturers have frequently refused to sell slot machines featuring the most popular games, instead requiring participating lease arrangements. Generally, a participating lease is substantially more expensive over the long-term than the cost to purchase a new slot machine.</w:t>
      </w:r>
    </w:p>
    <w:p>
      <w:pPr>
        <w:spacing w:after="0" w:line="186"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For competitive reasons, we may be forced to acquire new slot machines, slot machine systems or gaming and hotel technology and equipment, or enter into participating lease arrangements, that are more expensive than our costs associated with the continued operation of our existing slot machines, equipment and software. If the newer slot machines, equipment or software do not result in sufficient incremental revenues to offset the increased investment, or if we are unable to successfully implement new software or technology, it could adversely affect our operations and profitability.</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growth and acquisitions.</w:t>
      </w:r>
    </w:p>
    <w:p>
      <w:pPr>
        <w:spacing w:after="0" w:line="114"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We have grown our operations through a number of strategic acquisitions and we expect that we will continue to evaluate opportunities for growth in existing or new markets, through acquiring or developing other gaming entertainment facilities or redeveloping our existing gaming facilities. In the future, we may also pursue expansion opportunities, including joint ventures, in jurisdictions where casino gaming is not currently permitted in order to be prepared to develop projects upon approval of casino gaming.</w:t>
      </w:r>
    </w:p>
    <w:p>
      <w:pPr>
        <w:spacing w:after="0" w:line="191"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Although we only intend to pursue acquisitions and development opportunities that, if consummated, will be accretive to us and our stockholders, we cannot be sure that we will be able to identify attractive acquisition or development opportunities or that we will experience the return on investment that we expect. In particular, we cannot be sure that we will realize the anticipated synergies and benefits of our acquisitions or that they will be accretive to our results of operations. Our estimates and assumptions regarding expected synergies and benefits of our acquisitions and development projects could materially change due to factors beyond our control and could delay, decrease or eliminate the expected accretive effect of the acquisitions and cause resulting dilution to our earnings per share or negatively impact the price of our common stock</w:t>
      </w:r>
    </w:p>
    <w:p>
      <w:pPr>
        <w:spacing w:after="0" w:line="179" w:lineRule="exact"/>
        <w:rPr>
          <w:sz w:val="20"/>
          <w:szCs w:val="20"/>
          <w:color w:val="auto"/>
        </w:rPr>
      </w:pPr>
    </w:p>
    <w:p>
      <w:pPr>
        <w:ind w:right="520" w:firstLine="555"/>
        <w:spacing w:after="0" w:line="271" w:lineRule="auto"/>
        <w:rPr>
          <w:sz w:val="20"/>
          <w:szCs w:val="20"/>
          <w:color w:val="auto"/>
        </w:rPr>
      </w:pPr>
      <w:r>
        <w:rPr>
          <w:rFonts w:ascii="Arial" w:cs="Arial" w:eastAsia="Arial" w:hAnsi="Arial"/>
          <w:sz w:val="18"/>
          <w:szCs w:val="18"/>
          <w:color w:val="auto"/>
        </w:rPr>
        <w:t>In addition, acquisitions require significant management attention and resources to integrate new properties, businesses and operations. Potential difficulties we may encounter as part of the integration process include:</w:t>
      </w:r>
    </w:p>
    <w:p>
      <w:pPr>
        <w:spacing w:after="0" w:line="68" w:lineRule="exact"/>
        <w:rPr>
          <w:sz w:val="20"/>
          <w:szCs w:val="20"/>
          <w:color w:val="auto"/>
        </w:rPr>
      </w:pPr>
    </w:p>
    <w:p>
      <w:pPr>
        <w:ind w:left="1100" w:right="300" w:hanging="544"/>
        <w:spacing w:after="0" w:line="271"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successfully integrate acquired assets in a manner that permits us to achieve the full revenue and other benefits anticipated to result from the acquired operations;</w:t>
      </w:r>
    </w:p>
    <w:p>
      <w:pPr>
        <w:spacing w:after="0" w:line="67" w:lineRule="exact"/>
        <w:rPr>
          <w:rFonts w:ascii="Arial" w:cs="Arial" w:eastAsia="Arial" w:hAnsi="Arial"/>
          <w:sz w:val="18"/>
          <w:szCs w:val="18"/>
          <w:color w:val="auto"/>
        </w:rPr>
      </w:pPr>
    </w:p>
    <w:p>
      <w:pPr>
        <w:ind w:left="1100" w:right="620" w:hanging="544"/>
        <w:spacing w:after="0" w:line="307" w:lineRule="auto"/>
        <w:tabs>
          <w:tab w:leader="none" w:pos="11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complexities associated with managing the combined business, including difficulties addressing possible differences in cultures and management philosophies and the challenge of integrating complex systems, technology, networks and other assets of the company in a seamless manner that minimizes any adverse impact on customers, suppliers, employees and other constituencies; and</w:t>
      </w:r>
    </w:p>
    <w:p>
      <w:pPr>
        <w:spacing w:after="0" w:line="43" w:lineRule="exact"/>
        <w:rPr>
          <w:rFonts w:ascii="Arial" w:cs="Arial" w:eastAsia="Arial" w:hAnsi="Arial"/>
          <w:sz w:val="16"/>
          <w:szCs w:val="16"/>
          <w:color w:val="auto"/>
        </w:rPr>
      </w:pPr>
    </w:p>
    <w:p>
      <w:pPr>
        <w:ind w:left="1100" w:hanging="54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associated with acquired operations.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660" w:right="259" w:bottom="1440" w:gutter="0" w:footer="0" w:header="0"/>
        </w:sectPr>
      </w:pPr>
    </w:p>
    <w:bookmarkStart w:id="23" w:name="page24"/>
    <w:bookmarkEnd w:id="23"/>
    <w:p>
      <w:pPr>
        <w:ind w:left="560"/>
        <w:spacing w:after="0"/>
        <w:rPr>
          <w:sz w:val="20"/>
          <w:szCs w:val="20"/>
          <w:color w:val="auto"/>
        </w:rPr>
      </w:pPr>
      <w:r>
        <w:rPr>
          <w:rFonts w:ascii="Arial" w:cs="Arial" w:eastAsia="Arial" w:hAnsi="Arial"/>
          <w:sz w:val="18"/>
          <w:szCs w:val="18"/>
          <w:color w:val="auto"/>
        </w:rPr>
        <w:t>In addition, it is possible that the integration process could result in:</w:t>
      </w:r>
    </w:p>
    <w:p>
      <w:pPr>
        <w:spacing w:after="0" w:line="114" w:lineRule="exact"/>
        <w:rPr>
          <w:sz w:val="20"/>
          <w:szCs w:val="20"/>
          <w:color w:val="auto"/>
        </w:rPr>
      </w:pPr>
    </w:p>
    <w:p>
      <w:pPr>
        <w:ind w:left="1100" w:hanging="544"/>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the attention of our management;</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disruption of, or the loss of momentum in, our ongoing businesses; and</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inconsistencies in standards, controls, procedures and policies;</w:t>
      </w:r>
    </w:p>
    <w:p>
      <w:pPr>
        <w:spacing w:after="0" w:line="221" w:lineRule="exact"/>
        <w:rPr>
          <w:sz w:val="20"/>
          <w:szCs w:val="20"/>
          <w:color w:val="auto"/>
        </w:rPr>
      </w:pPr>
    </w:p>
    <w:p>
      <w:pPr>
        <w:ind w:right="80" w:firstLine="555"/>
        <w:spacing w:after="0" w:line="271" w:lineRule="auto"/>
        <w:rPr>
          <w:sz w:val="20"/>
          <w:szCs w:val="20"/>
          <w:color w:val="auto"/>
        </w:rPr>
      </w:pPr>
      <w:r>
        <w:rPr>
          <w:rFonts w:ascii="Arial" w:cs="Arial" w:eastAsia="Arial" w:hAnsi="Arial"/>
          <w:sz w:val="18"/>
          <w:szCs w:val="18"/>
          <w:color w:val="auto"/>
        </w:rPr>
        <w:t>any of which could adversely affect our ability to maintain relationships with customers, suppliers, employees and other constituencies or our ability to achieve the anticipated benefits, or could reduce our earnings or otherwise adversely affect our business and financial results.</w:t>
      </w:r>
    </w:p>
    <w:p>
      <w:pPr>
        <w:spacing w:after="0" w:line="175" w:lineRule="exact"/>
        <w:rPr>
          <w:sz w:val="20"/>
          <w:szCs w:val="20"/>
          <w:color w:val="auto"/>
        </w:rPr>
      </w:pPr>
    </w:p>
    <w:p>
      <w:pPr>
        <w:ind w:right="40" w:firstLine="555"/>
        <w:spacing w:after="0" w:line="254" w:lineRule="auto"/>
        <w:rPr>
          <w:sz w:val="20"/>
          <w:szCs w:val="20"/>
          <w:color w:val="auto"/>
        </w:rPr>
      </w:pPr>
      <w:r>
        <w:rPr>
          <w:rFonts w:ascii="Arial" w:cs="Arial" w:eastAsia="Arial" w:hAnsi="Arial"/>
          <w:sz w:val="18"/>
          <w:szCs w:val="18"/>
          <w:color w:val="auto"/>
        </w:rPr>
        <w:t>There can be no assurance that we will be able to identify, acquire, develop or profitably manage additional companies or operations or successfully integrate such companies or operations, into our existing operations without substantial costs, delays or other problems. Additionally, there can be no assurance that we will receive gaming or other necessary licenses or approvals for new projects that we may pursue. In addition, we may from time to time elect to divest properties that we determine are not core to our operations. We cannot be sure that we will be able to sell such non-core assets on terms that result in a return on our investment or at all.</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construction delays or cost overruns during our expansion or development projects that could adversely affect our operations.</w:t>
      </w:r>
    </w:p>
    <w:p>
      <w:pPr>
        <w:spacing w:after="0" w:line="137" w:lineRule="exact"/>
        <w:rPr>
          <w:sz w:val="20"/>
          <w:szCs w:val="20"/>
          <w:color w:val="auto"/>
        </w:rPr>
      </w:pPr>
    </w:p>
    <w:p>
      <w:pPr>
        <w:ind w:right="40" w:firstLine="555"/>
        <w:spacing w:after="0" w:line="284" w:lineRule="auto"/>
        <w:rPr>
          <w:sz w:val="20"/>
          <w:szCs w:val="20"/>
          <w:color w:val="auto"/>
        </w:rPr>
      </w:pPr>
      <w:r>
        <w:rPr>
          <w:rFonts w:ascii="Arial" w:cs="Arial" w:eastAsia="Arial" w:hAnsi="Arial"/>
          <w:sz w:val="16"/>
          <w:szCs w:val="16"/>
          <w:color w:val="auto"/>
        </w:rPr>
        <w:t>From time to time, we may commence development and construction projects on new properties or at our current properties. We also evaluate other expansion opportunities as they become available and may in the future engage in additional construction projects. As an example, our joint venture with Cordish intends to master plan and develop a mixed-use entertainment and hospitality destination on unused land adjacent to the Pompano casino and racetrack. The anticipated costs and construction periods for development and construction projects are based upon budgets, conceptual design documents and construction schedule estimates prepared by us or, in the case of Pompano, our joint venture partner, in consultation with our architects, all of which are subject to assumptions that may be subject to change based on unforeseen circumstances. Development and construction projects entail significant risks, which can substantially increase costs or delay completion of a project. Such risks include shortages of materials or skilled labor, unforeseen engineering, environmental or geological problems, work stoppages, weather interference and unanticipated cost increases. Most of these factors are beyond our control. In addition, difficulties or delays in obtaining any of the requisite entitlements, licenses, permits or authorizations from regulatory authorities can increase the cost or delay the completion of an expansion or development. Significant budget overruns or delays with respect to expansion and development projects could adversely affect our results of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planned capital expenditures may not result in our expected improvements in our business.</w:t>
      </w:r>
    </w:p>
    <w:p>
      <w:pPr>
        <w:spacing w:after="0" w:line="114" w:lineRule="exact"/>
        <w:rPr>
          <w:sz w:val="20"/>
          <w:szCs w:val="20"/>
          <w:color w:val="auto"/>
        </w:rPr>
      </w:pPr>
    </w:p>
    <w:p>
      <w:pPr>
        <w:ind w:right="120" w:firstLine="555"/>
        <w:spacing w:after="0" w:line="297" w:lineRule="auto"/>
        <w:rPr>
          <w:sz w:val="20"/>
          <w:szCs w:val="20"/>
          <w:color w:val="auto"/>
        </w:rPr>
      </w:pPr>
      <w:r>
        <w:rPr>
          <w:rFonts w:ascii="Arial" w:cs="Arial" w:eastAsia="Arial" w:hAnsi="Arial"/>
          <w:sz w:val="16"/>
          <w:szCs w:val="16"/>
          <w:color w:val="auto"/>
        </w:rPr>
        <w:t>We regularly expend capital to construct, maintain and renovate our properties to remain competitive, maintain the value and brand standards of our properties and comply with applicable laws and regulations. Our ability to realize the expected returns on our capital investments is dependent on a number of factors, including general economic conditions; changes to construction plans and specifications; delays in obtaining or inability to obtain necessary permits, licenses and approvals; disputes with contractors; disruptions to our business caused by construction; and other unanticipated circumstances or cost increases.</w:t>
      </w:r>
    </w:p>
    <w:p>
      <w:pPr>
        <w:spacing w:after="0" w:line="160" w:lineRule="exact"/>
        <w:rPr>
          <w:sz w:val="20"/>
          <w:szCs w:val="20"/>
          <w:color w:val="auto"/>
        </w:rPr>
      </w:pPr>
    </w:p>
    <w:p>
      <w:pPr>
        <w:ind w:right="380" w:firstLine="555"/>
        <w:spacing w:after="0" w:line="255" w:lineRule="auto"/>
        <w:rPr>
          <w:sz w:val="20"/>
          <w:szCs w:val="20"/>
          <w:color w:val="auto"/>
        </w:rPr>
      </w:pPr>
      <w:r>
        <w:rPr>
          <w:rFonts w:ascii="Arial" w:cs="Arial" w:eastAsia="Arial" w:hAnsi="Arial"/>
          <w:sz w:val="18"/>
          <w:szCs w:val="18"/>
          <w:color w:val="auto"/>
        </w:rPr>
        <w:t>While we believe that the overall budgets for our planned capital expenditures are reasonable, these costs are estimates and the actual costs may be higher than expected. In addition, we can provide no assurance that these investments will be sufficient or that we will realize our expected returns on our capital investments, or any returns at all. A failure to realize our expected returns on capital investments could materially adversely affect our business, financial condition and results of operations.</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impairments to goodwill, indefinite-lived intangible assets, or long-lived assets, which could negatively affect our operating results.</w:t>
      </w:r>
    </w:p>
    <w:p>
      <w:pPr>
        <w:spacing w:after="0" w:line="137" w:lineRule="exact"/>
        <w:rPr>
          <w:sz w:val="20"/>
          <w:szCs w:val="20"/>
          <w:color w:val="auto"/>
        </w:rPr>
      </w:pPr>
    </w:p>
    <w:p>
      <w:pPr>
        <w:ind w:firstLine="555"/>
        <w:spacing w:after="0" w:line="307" w:lineRule="auto"/>
        <w:rPr>
          <w:sz w:val="20"/>
          <w:szCs w:val="20"/>
          <w:color w:val="auto"/>
        </w:rPr>
      </w:pPr>
      <w:r>
        <w:rPr>
          <w:rFonts w:ascii="Arial" w:cs="Arial" w:eastAsia="Arial" w:hAnsi="Arial"/>
          <w:sz w:val="16"/>
          <w:szCs w:val="16"/>
          <w:color w:val="auto"/>
        </w:rPr>
        <w:t>As of December 31, 2019, we had $2.0 billion of goodwill and other intangible assets. We perform annual impairment testing for goodwill and indefinite-lived intangible assets as of October 1 of each fiscal year, or on an interim basis if indicators of impairment exist. For properties with goodwill and/or other intangible assets with indefinite lives, these tests could require the comparison of the implied fair value of each reporting unit to carrying value.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4" w:name="page25"/>
    <w:bookmarkEnd w:id="24"/>
    <w:p>
      <w:pPr>
        <w:ind w:right="280" w:firstLine="555"/>
        <w:spacing w:after="0" w:line="271" w:lineRule="auto"/>
        <w:rPr>
          <w:sz w:val="20"/>
          <w:szCs w:val="20"/>
          <w:color w:val="auto"/>
        </w:rPr>
      </w:pPr>
      <w:r>
        <w:rPr>
          <w:rFonts w:ascii="Arial" w:cs="Arial" w:eastAsia="Arial" w:hAnsi="Arial"/>
          <w:sz w:val="18"/>
          <w:szCs w:val="18"/>
          <w:color w:val="auto"/>
        </w:rPr>
        <w:t>As a result of the sale of certain non-operating real property located in Pennsylvania, the Company recognized an impairment charge of $1.0 million during the year ended December 31, 2019.</w:t>
      </w:r>
    </w:p>
    <w:p>
      <w:pPr>
        <w:spacing w:after="0" w:line="175"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During the third quarter of 2018, as a result of the announced sale to Churchill Downs Incorporated combined with the classification of Vicksburg’s operations as assets held for sale, an impairment charge totaling $9.8 million was recorded due to the carrying value exceeding the estimated net sales proceeds. The impairment reduced the value of goodwill. Additionally, in conjunction with the agreement to sell our rights and obligations to operate Nemacolin, an impairment charge totaling $3.8 million was recorded in 2018 due to the carrying value of the property and equipment being sold exceeding the estimated net sales proceeds.</w:t>
      </w:r>
    </w:p>
    <w:p>
      <w:pPr>
        <w:spacing w:after="0" w:line="189" w:lineRule="exact"/>
        <w:rPr>
          <w:sz w:val="20"/>
          <w:szCs w:val="20"/>
          <w:color w:val="auto"/>
        </w:rPr>
      </w:pPr>
    </w:p>
    <w:p>
      <w:pPr>
        <w:ind w:firstLine="555"/>
        <w:spacing w:after="0" w:line="271" w:lineRule="auto"/>
        <w:rPr>
          <w:sz w:val="20"/>
          <w:szCs w:val="20"/>
          <w:color w:val="auto"/>
        </w:rPr>
      </w:pPr>
      <w:r>
        <w:rPr>
          <w:rFonts w:ascii="Arial" w:cs="Arial" w:eastAsia="Arial" w:hAnsi="Arial"/>
          <w:sz w:val="18"/>
          <w:szCs w:val="18"/>
          <w:color w:val="auto"/>
        </w:rPr>
        <w:t>During the fourth quarter of 2017, we recorded an impairment charge totaling $38.0 million to reduce the carrying value of goodwill and/or trade names related to our Lake Charles, Lula and Vicksburg reporting units.</w:t>
      </w:r>
    </w:p>
    <w:p>
      <w:pPr>
        <w:spacing w:after="0" w:line="175" w:lineRule="exact"/>
        <w:rPr>
          <w:sz w:val="20"/>
          <w:szCs w:val="20"/>
          <w:color w:val="auto"/>
        </w:rPr>
      </w:pPr>
    </w:p>
    <w:p>
      <w:pPr>
        <w:ind w:right="20" w:firstLine="555"/>
        <w:spacing w:after="0" w:line="252" w:lineRule="auto"/>
        <w:rPr>
          <w:sz w:val="20"/>
          <w:szCs w:val="20"/>
          <w:color w:val="auto"/>
        </w:rPr>
      </w:pPr>
      <w:r>
        <w:rPr>
          <w:rFonts w:ascii="Arial" w:cs="Arial" w:eastAsia="Arial" w:hAnsi="Arial"/>
          <w:sz w:val="18"/>
          <w:szCs w:val="18"/>
          <w:color w:val="auto"/>
        </w:rPr>
        <w:t>We must make various assumptions and estimates in performing our impairment testing. Our qualitative assessments including assumptions regarding market and industry conditions and our financial performance. Our quantitative assessment relies on estimates of future cash flows that are based on reasonable and supportable assumptions which represent our best estimates of the cash flows expected to result from the use of the assets including their eventual disposition and by a market approach based upon valuation multiples for similar companies. Changes in estimates or market conditions, increases in our cost of capital, reductions in transaction multiples, operating and capital expenditure assumptions or application of alternative assumptions and definitions, could produce significantly different results.</w:t>
      </w:r>
    </w:p>
    <w:p>
      <w:pPr>
        <w:spacing w:after="0" w:line="195" w:lineRule="exact"/>
        <w:rPr>
          <w:sz w:val="20"/>
          <w:szCs w:val="20"/>
          <w:color w:val="auto"/>
        </w:rPr>
      </w:pPr>
    </w:p>
    <w:p>
      <w:pPr>
        <w:ind w:right="620" w:firstLine="555"/>
        <w:spacing w:after="0" w:line="271" w:lineRule="auto"/>
        <w:rPr>
          <w:sz w:val="20"/>
          <w:szCs w:val="20"/>
          <w:color w:val="auto"/>
        </w:rPr>
      </w:pPr>
      <w:r>
        <w:rPr>
          <w:rFonts w:ascii="Arial" w:cs="Arial" w:eastAsia="Arial" w:hAnsi="Arial"/>
          <w:sz w:val="18"/>
          <w:szCs w:val="18"/>
          <w:color w:val="auto"/>
        </w:rPr>
        <w:t>We also evaluate long-lived assets for impairment if indicators of impairment exist. In assessing the recoverability of the carrying value of such property, equipment and other long-lived assets, we make assumptions regarding future cash flows and residual values.</w:t>
      </w:r>
    </w:p>
    <w:p>
      <w:pPr>
        <w:spacing w:after="0" w:line="175"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Future cash flow estimates are, by their nature, subjective and actual results may differ materially from our estimates. If our ongoing estimates of future cash flows are not met, we may have to record additional impairment charges in future accounting periods. Our estimates of cash flows are based on the current regulatory, social and economic climates, recent operating information and budgets and current operating plans of the various properties where we conduct operations. These estimates could be negatively impacted by changes in federal, state or local regulations, economic downturns, internal operating decisions or other events affecting various forms of travel and access to our properties.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Caesars Acquisition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 Agreement subjects us to restrictions on our business activities during the pendency of the Merger.</w:t>
      </w:r>
    </w:p>
    <w:p>
      <w:pPr>
        <w:spacing w:after="0" w:line="114"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The Merger Agreement subjects us to restrictions on our business activities and obligates us to generally operate our businesses in the ordinary course in all material respects during the pendency of the Merger absent Caesars’ prior written consent. These restrictions could prevent us from pursuing attractive business opportunities or responding effectively to competitive pressures and industry developments that arise prior to the consummation of the Merger or termination of the Merger Agreement and are outside the ordinary course of business. In particular, the Merger Agreement restricts us from making certain acquisitions and dispositions and taking other specified actions absent Caesars’ prior written consent. If we are unable to take actions we believe are beneficial, such restrictions could have an adverse effect on our business, financial condition and results of operations.</w:t>
      </w:r>
    </w:p>
    <w:p>
      <w:pPr>
        <w:spacing w:after="0" w:line="27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Delay or failure to consummate the Merger would prevent the Company from realizing the anticipated benefits of the Merger and the Company would also remain liable for significant transaction costs.</w:t>
      </w:r>
    </w:p>
    <w:p>
      <w:pPr>
        <w:spacing w:after="0" w:line="68" w:lineRule="exact"/>
        <w:rPr>
          <w:sz w:val="20"/>
          <w:szCs w:val="20"/>
          <w:color w:val="auto"/>
        </w:rPr>
      </w:pPr>
    </w:p>
    <w:p>
      <w:pPr>
        <w:ind w:right="80" w:firstLine="555"/>
        <w:spacing w:after="0" w:line="269" w:lineRule="auto"/>
        <w:rPr>
          <w:sz w:val="20"/>
          <w:szCs w:val="20"/>
          <w:color w:val="auto"/>
        </w:rPr>
      </w:pPr>
      <w:r>
        <w:rPr>
          <w:rFonts w:ascii="Arial" w:cs="Arial" w:eastAsia="Arial" w:hAnsi="Arial"/>
          <w:sz w:val="17"/>
          <w:szCs w:val="17"/>
          <w:color w:val="auto"/>
        </w:rPr>
        <w:t>Any delay in consummating the Merger may increase the cash portion of the Merger Consideration and adversely impact the combined company’s ability to realize synergies and other benefits that are anticipated if the Merger is consummated within the expected timeframe. In particular, if the applicable closing conditions set forth in the Merger Agreement are not satisfied by March 25, 2020, the amount of cash payable by us as Merger Consideration per share of Caesars common stock will increase by $0.003333 for each day from March 25, 2020 until the closing date of the Merger. In addition, the market price of our common stock may reflect various market assumptions as to whether and when the Merger will be consummated. Consequently, the failure to consummate, or any delay in the consummation of, the Merger could result in significant changes in the market price of our common stock. In addition, we have incurred and will continue to incur significant costs relating to the Merger, such as debt commitment, ticking, legal, accounting, financial advisor and other fees, and, to the extent that the Debt Financing (as defined herein) is incurred prior to consummation of the Merger, interest expense, in each case, that may increase in the event that the consummation of the Merger is delayed and will be payable in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5" w:name="page26"/>
    <w:bookmarkEnd w:id="25"/>
    <w:p>
      <w:pPr>
        <w:ind w:right="40"/>
        <w:spacing w:after="0" w:line="267" w:lineRule="auto"/>
        <w:rPr>
          <w:sz w:val="20"/>
          <w:szCs w:val="20"/>
          <w:color w:val="auto"/>
        </w:rPr>
      </w:pPr>
      <w:r>
        <w:rPr>
          <w:rFonts w:ascii="Arial" w:cs="Arial" w:eastAsia="Arial" w:hAnsi="Arial"/>
          <w:sz w:val="17"/>
          <w:szCs w:val="17"/>
          <w:color w:val="auto"/>
        </w:rPr>
        <w:t>the event that the Merger is not consummated. For example, we may elect to issue all or a portion of the Debt Financing (other than the commitments for our new revolving credit facility or 364-day secured bridge facility) into escrow pending consummation of the Merger and satisfaction of the other closing conditions, and, pursuant to the amended and restated commitment letter (as amended, the “A&amp;R Commitment Letter”) and the related fee letters for the merger financing and subject to the conditions set forth therein, the lenders have the right to require us (or our unrestricted subsidiary) to issue all or a portion of the Debt Financing (other than the commitments for our new revolving credit facility or 364-day secured bridge facility) into escrow pending consummation of the Merger and satisfaction of the other closing conditions if it has not otherwise closed prior to March 31, 2020. Issuance of all or any portion of the Debt Financing prior to the closing of the Merger would cause us to incur additional interest expense prior to consummation of the Merger, which may result in significant additional cost to us. Moreover, if the Merger Agreement is terminated in certain circumstances, we will be obligated to pay a termination fee to Caesars of approximately $836.8 million. Further, in the event the MTA is terminated because the Merger Agreement is terminated, we are required to pay VICI a fee of $75.0 million pursuant to the terms of the MTA.</w:t>
      </w:r>
    </w:p>
    <w:p>
      <w:pPr>
        <w:spacing w:after="0" w:line="287"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Whether or not the Merger is consummated, the pendency of the Merger could cause disruptions in our business, which could have an adverse effect on our business, financial condition and results of operations.</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pendency of the Merger could cause disruptions in our business, including the following:</w:t>
      </w:r>
    </w:p>
    <w:p>
      <w:pPr>
        <w:spacing w:after="0" w:line="114" w:lineRule="exact"/>
        <w:rPr>
          <w:sz w:val="20"/>
          <w:szCs w:val="20"/>
          <w:color w:val="auto"/>
        </w:rPr>
      </w:pPr>
    </w:p>
    <w:p>
      <w:pPr>
        <w:ind w:left="1100" w:right="40" w:hanging="544"/>
        <w:spacing w:after="0" w:line="259"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current and prospective employees may experience uncertainty about their future roles with the combined company following the Merger or consider other employment alternatives, which might adversely affect our ability to retain or attract key managers and other employees, and current employees of ours may lose productivity as a result of such uncertainty;</w:t>
      </w:r>
    </w:p>
    <w:p>
      <w:pPr>
        <w:spacing w:after="0" w:line="79" w:lineRule="exact"/>
        <w:rPr>
          <w:rFonts w:ascii="Arial" w:cs="Arial" w:eastAsia="Arial" w:hAnsi="Arial"/>
          <w:sz w:val="18"/>
          <w:szCs w:val="18"/>
          <w:color w:val="auto"/>
        </w:rPr>
      </w:pPr>
    </w:p>
    <w:p>
      <w:pPr>
        <w:ind w:left="1100" w:hanging="544"/>
        <w:spacing w:after="0" w:line="271"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current and prospective customers may anticipate changes in how they are served or the benefits offered by our loyalty reward programs and may, as a result, choose to discontinue their patronage;</w:t>
      </w:r>
    </w:p>
    <w:p>
      <w:pPr>
        <w:spacing w:after="0" w:line="67" w:lineRule="exact"/>
        <w:rPr>
          <w:rFonts w:ascii="Arial" w:cs="Arial" w:eastAsia="Arial" w:hAnsi="Arial"/>
          <w:sz w:val="18"/>
          <w:szCs w:val="18"/>
          <w:color w:val="auto"/>
        </w:rPr>
      </w:pPr>
    </w:p>
    <w:p>
      <w:pPr>
        <w:ind w:left="1100" w:right="380" w:hanging="544"/>
        <w:spacing w:after="0" w:line="259"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and prospective suppliers or other business relations of ours may delay or defer certain business decisions or may seek to terminate, change or renegotiate their relationship or key commercial agreements with us, or not to establish a relationship with us, as a result of the Merger; and</w:t>
      </w:r>
    </w:p>
    <w:p>
      <w:pPr>
        <w:spacing w:after="0" w:line="79" w:lineRule="exact"/>
        <w:rPr>
          <w:rFonts w:ascii="Arial" w:cs="Arial" w:eastAsia="Arial" w:hAnsi="Arial"/>
          <w:sz w:val="18"/>
          <w:szCs w:val="18"/>
          <w:color w:val="auto"/>
        </w:rPr>
      </w:pPr>
    </w:p>
    <w:p>
      <w:pPr>
        <w:ind w:left="1100" w:right="540" w:hanging="544"/>
        <w:spacing w:after="0" w:line="271"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attention of our management and key employees may be diverted from the operation of our business toward the consummation of the Merger.</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any of these disruptions were to occur, it could have an adverse effect on our business, financial condition and result of operation.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Obtaining required approvals and satisfying closing conditions may delay or prevent consummation of the Merger.</w:t>
      </w:r>
    </w:p>
    <w:p>
      <w:pPr>
        <w:spacing w:after="0" w:line="114" w:lineRule="exact"/>
        <w:rPr>
          <w:sz w:val="20"/>
          <w:szCs w:val="20"/>
          <w:color w:val="auto"/>
        </w:rPr>
      </w:pPr>
    </w:p>
    <w:p>
      <w:pPr>
        <w:ind w:firstLine="555"/>
        <w:spacing w:after="0" w:line="267" w:lineRule="auto"/>
        <w:rPr>
          <w:sz w:val="20"/>
          <w:szCs w:val="20"/>
          <w:color w:val="auto"/>
        </w:rPr>
      </w:pPr>
      <w:r>
        <w:rPr>
          <w:rFonts w:ascii="Arial" w:cs="Arial" w:eastAsia="Arial" w:hAnsi="Arial"/>
          <w:sz w:val="17"/>
          <w:szCs w:val="17"/>
          <w:color w:val="auto"/>
        </w:rPr>
        <w:t>Consummation of the Merger is subject to various closing conditions, including, among others, (i) the expiration or termination of any applicable waiting period under the HSR Act and receipt of required gaming approvals, (ii) the absence of any governmental order or law prohibiting the consummation of the Merger, (iii) adoption of the Merger Agreement by holders of a majority of the outstanding shares of Caesars common stock entitled to vote, (iv) the approval by our stockholders of the issuance of shares of our common stock in the Merger (the “Share Issuance”), (v) the effectiveness of the registration statement for our common stock to be issued in the Merger and the authorization for listing of those shares on the Nasdaq Stock Market, (vi) absence of a material adverse effect on the other party, (vii) the accuracy of the other party’s representations and warranties, subject to customary materiality standards, (viii) compliance of the other party with its respective covenants under the Merger Agreement in all material respects and (ix) conversion or certain amendments of, or another mutually agreed arrangement with respect to, Caesars’ 5.00% convertible senior notes due 2024. The Caesars stockholders approved the Merger Agreement and our stockholders approved the Share Issuance at separate stockholder meetings held on November 15, 2019, and the amendments to the Caesars 5% Convertible Senior Notes due 2024 have been approved.</w:t>
      </w:r>
    </w:p>
    <w:p>
      <w:pPr>
        <w:spacing w:after="0" w:line="180" w:lineRule="exact"/>
        <w:rPr>
          <w:sz w:val="20"/>
          <w:szCs w:val="20"/>
          <w:color w:val="auto"/>
        </w:rPr>
      </w:pPr>
    </w:p>
    <w:p>
      <w:pPr>
        <w:ind w:right="20" w:firstLine="555"/>
        <w:spacing w:after="0" w:line="269" w:lineRule="auto"/>
        <w:rPr>
          <w:sz w:val="20"/>
          <w:szCs w:val="20"/>
          <w:color w:val="auto"/>
        </w:rPr>
      </w:pPr>
      <w:r>
        <w:rPr>
          <w:rFonts w:ascii="Arial" w:cs="Arial" w:eastAsia="Arial" w:hAnsi="Arial"/>
          <w:sz w:val="17"/>
          <w:szCs w:val="17"/>
          <w:color w:val="auto"/>
        </w:rPr>
        <w:t>If the remaining conditions are not satisfied, the Merger will not be consummated unless such conditions are validly waived. Such conditions may jeopardize or delay consummation of the Merger or may reduce the anticipated benefits of the Merger. Further, no assurance can be given that the required approvals will be obtained or that the conditions to closing will be satisfied. Even if all such approvals are obtained, no assurance can be given as to the terms, conditions and timing of such approvals or that they will satisfy the terms of the Merger Agreement. If the Merger is not consummated by June 24, 2020 (as may be extended to a date no later than December 24, 2020 upon satisfaction of certain conditions to extension set forth in the Merger Agreement), either we or Caesars may terminate the Merger Agreement, and under certain circumstances as set forth in the Merger Agreement, we may be required to pay Caesars a termination fee as a result of such termination.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26" w:name="page27"/>
    <w:bookmarkEnd w:id="26"/>
    <w:p>
      <w:pPr>
        <w:spacing w:after="0" w:line="398" w:lineRule="auto"/>
        <w:rPr>
          <w:sz w:val="20"/>
          <w:szCs w:val="20"/>
          <w:color w:val="auto"/>
        </w:rPr>
      </w:pPr>
      <w:r>
        <w:rPr>
          <w:rFonts w:ascii="Arial" w:cs="Arial" w:eastAsia="Arial" w:hAnsi="Arial"/>
          <w:sz w:val="14"/>
          <w:szCs w:val="14"/>
          <w:b w:val="1"/>
          <w:bCs w:val="1"/>
          <w:i w:val="1"/>
          <w:iCs w:val="1"/>
          <w:color w:val="auto"/>
        </w:rPr>
        <w:t>The Merger is subject to the receipt of governmental approvals that may impose conditions that could have an adverse effect on us or, if not obtained, could prevent consummation of the Merger or, in some circumstances, require us to pay Caesars a termination fee of approximately $836.8 million.</w:t>
      </w:r>
    </w:p>
    <w:p>
      <w:pPr>
        <w:spacing w:after="0" w:line="1" w:lineRule="exact"/>
        <w:rPr>
          <w:sz w:val="20"/>
          <w:szCs w:val="20"/>
          <w:color w:val="auto"/>
        </w:rPr>
      </w:pPr>
    </w:p>
    <w:p>
      <w:pPr>
        <w:ind w:firstLine="555"/>
        <w:spacing w:after="0" w:line="283" w:lineRule="auto"/>
        <w:rPr>
          <w:sz w:val="20"/>
          <w:szCs w:val="20"/>
          <w:color w:val="auto"/>
        </w:rPr>
      </w:pPr>
      <w:r>
        <w:rPr>
          <w:rFonts w:ascii="Arial" w:cs="Arial" w:eastAsia="Arial" w:hAnsi="Arial"/>
          <w:sz w:val="16"/>
          <w:szCs w:val="16"/>
          <w:color w:val="auto"/>
        </w:rPr>
        <w:t>Consummation of the Merger is conditioned upon the receipt of certain governmental approvals, including, without limitation, antitrust and gaming regulatory approvals. Although we and Caesars have each agreed to use our reasonable best efforts to obtain the requisite governmental approvals, there can be no assurance that these approvals will be obtained and that the other conditions to consummating the Merger will be satisfied. In addition, the governmental authorities from which the regulatory approvals are required may impose conditions on the consummation of the Merger, including requirements to divest properties, or require changes to the terms of the Merger Agreement or other agreements to be entered into in connection with the Merger Agreement. Such conditions or changes and the process of obtaining regulatory approvals could have the effect of delaying or impeding consummation of the Merger, imposing additional costs or limitations on us following consummation of the Merger or materially limiting the revenue of the combined company after the consummation of the Merger, any of which might reduce the anticipated benefits to us of the Merger or have an adverse effect on our business, financial condition and results of operations. In addition, if the Merger Agreement is terminated (i) due to a law or order relating to gaming or antitrust laws that prohibits or permanently enjoins the consummation of the Merger, (ii) because the required regulatory approvals were not obtained prior to June 24, 2020 (as may be extended to a date no later than December 24, 2020 upon satisfaction of certain conditions to extension set forth in the Merger Agreement) or (iii) due to us willfully and materially breaching certain obligations with respect to the actions required to be taken by us to obtain required antitrust approvals, we will be required to pay Caesars a termination fee of approximately $836.8 million.</w:t>
      </w:r>
    </w:p>
    <w:p>
      <w:pPr>
        <w:spacing w:after="0" w:line="284" w:lineRule="exact"/>
        <w:rPr>
          <w:sz w:val="20"/>
          <w:szCs w:val="20"/>
          <w:color w:val="auto"/>
        </w:rPr>
      </w:pPr>
    </w:p>
    <w:p>
      <w:pPr>
        <w:ind w:right="140"/>
        <w:spacing w:after="0" w:line="301" w:lineRule="auto"/>
        <w:rPr>
          <w:sz w:val="20"/>
          <w:szCs w:val="20"/>
          <w:color w:val="auto"/>
        </w:rPr>
      </w:pPr>
      <w:r>
        <w:rPr>
          <w:rFonts w:ascii="Arial" w:cs="Arial" w:eastAsia="Arial" w:hAnsi="Arial"/>
          <w:sz w:val="17"/>
          <w:szCs w:val="17"/>
          <w:b w:val="1"/>
          <w:bCs w:val="1"/>
          <w:i w:val="1"/>
          <w:iCs w:val="1"/>
          <w:color w:val="auto"/>
        </w:rPr>
        <w:t>Antitrust approvals that are required to consummate the Merger may not be received, may take longer than expected or may impose conditions, including the requirement to divest assets, that could have an adverse effect on the combined company following the Merger.</w:t>
      </w:r>
    </w:p>
    <w:p>
      <w:pPr>
        <w:spacing w:after="0" w:line="45" w:lineRule="exact"/>
        <w:rPr>
          <w:sz w:val="20"/>
          <w:szCs w:val="20"/>
          <w:color w:val="auto"/>
        </w:rPr>
      </w:pPr>
    </w:p>
    <w:p>
      <w:pPr>
        <w:ind w:right="120" w:firstLine="555"/>
        <w:spacing w:after="0" w:line="268" w:lineRule="auto"/>
        <w:rPr>
          <w:sz w:val="20"/>
          <w:szCs w:val="20"/>
          <w:color w:val="auto"/>
        </w:rPr>
      </w:pPr>
      <w:r>
        <w:rPr>
          <w:rFonts w:ascii="Arial" w:cs="Arial" w:eastAsia="Arial" w:hAnsi="Arial"/>
          <w:sz w:val="17"/>
          <w:szCs w:val="17"/>
          <w:color w:val="auto"/>
        </w:rPr>
        <w:t>Under the provisions of the HSR Act, the Merger may not be consummated until filings are made with the Antitrust Division of the DOJ and the FTC and the expiration of a 30-calendar day waiting period, or the early termination of that waiting period, following the parties’ filings. We and Caesars filed our respective notification and report forms under the HSR Act on July 16, 2019. On August 15, 2019, we withdrew our notification and report form and re-filed the same on August 19, 2019, which began a new 30-day waiting period. On September 18, 2019, each of we and Caesars received a Request for Additional Information and Documentary Material (a “Second Request”) from the FTC in connection with the FTC’s review of the Merger, which extends the waiting period until 30 days after both parties have substantially complied with the Second Request, unless the FTC early terminates the additional waiting period or the parties otherwise agree not to consummate the Merger for a period of time after substantial compliance. We and Caesars are working with the FTC to complete its investigation as soon as practicable.</w:t>
      </w:r>
    </w:p>
    <w:p>
      <w:pPr>
        <w:spacing w:after="0" w:line="181"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In addition, private parties who may be adversely affected by the Merger and individual states may bring legal actions under the antitrust laws in certain circumstances. Although we and Caesars believe the consummation of the Merger will not likely be prevented by antitrust laws, there can be no assurance that a challenge to the Merger on antitrust grounds will not be made or, if a challenge is made, what the result will be. Under the Merger Agreement, we and Caesars have agreed to use our reasonable best efforts to obtain all regulatory clearances necessary to consummate the Merger at the earliest practicable date.</w:t>
      </w:r>
    </w:p>
    <w:p>
      <w:pPr>
        <w:spacing w:after="0" w:line="160" w:lineRule="exact"/>
        <w:rPr>
          <w:sz w:val="20"/>
          <w:szCs w:val="20"/>
          <w:color w:val="auto"/>
        </w:rPr>
      </w:pPr>
    </w:p>
    <w:p>
      <w:pPr>
        <w:ind w:right="40" w:firstLine="555"/>
        <w:spacing w:after="0" w:line="254" w:lineRule="auto"/>
        <w:rPr>
          <w:sz w:val="20"/>
          <w:szCs w:val="20"/>
          <w:color w:val="auto"/>
        </w:rPr>
      </w:pPr>
      <w:r>
        <w:rPr>
          <w:rFonts w:ascii="Arial" w:cs="Arial" w:eastAsia="Arial" w:hAnsi="Arial"/>
          <w:sz w:val="18"/>
          <w:szCs w:val="18"/>
          <w:color w:val="auto"/>
        </w:rPr>
        <w:t>In addition, in order to consummate the Merger, we and Caesars may be required to comply with conditions, terms, obligations or restrictions imposed by antitrust, gaming and other regulatory entities, including divestitures, and such conditions, terms, obligations or restrictions may have the effect of delaying consummation of the Merger, imposing additional material costs on or materially limiting the revenue of the combined company after the consummation of the Merger, or otherwise reducing the anticipated benefits to us of the Merger. Such conditions, terms, obligations or restrictions may result in the delay or abandonment of the Merger.</w:t>
      </w:r>
    </w:p>
    <w:p>
      <w:pPr>
        <w:spacing w:after="0" w:line="29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Gaming regulatory approvals may not be received, may take longer than expected or may impose conditions that are not presently anticipated or cannot be met.</w:t>
      </w:r>
    </w:p>
    <w:p>
      <w:pPr>
        <w:spacing w:after="0" w:line="68" w:lineRule="exact"/>
        <w:rPr>
          <w:sz w:val="20"/>
          <w:szCs w:val="20"/>
          <w:color w:val="auto"/>
        </w:rPr>
      </w:pPr>
    </w:p>
    <w:p>
      <w:pPr>
        <w:ind w:right="120" w:firstLine="555"/>
        <w:spacing w:after="0" w:line="269" w:lineRule="auto"/>
        <w:rPr>
          <w:sz w:val="20"/>
          <w:szCs w:val="20"/>
          <w:color w:val="auto"/>
        </w:rPr>
      </w:pPr>
      <w:r>
        <w:rPr>
          <w:rFonts w:ascii="Arial" w:cs="Arial" w:eastAsia="Arial" w:hAnsi="Arial"/>
          <w:sz w:val="17"/>
          <w:szCs w:val="17"/>
          <w:color w:val="auto"/>
        </w:rPr>
        <w:t>Consummation of the Merger is conditioned on the receipt of approvals from a number of gaming regulatory authorities, including, among others, the Ak Chin Community Tribal Gaming Commission, the Arizona Department of Gaming, the Cherokee Tribal Gaming Commission, the Colorado Division of Gaming, the Illinois Gaming Board, the Indiana Gaming Commission, the Indiana Horse Racing Commission, the Iowa Racing and Gaming Commission, the Kentucky Horse Racing Commission, the Louisiana Gaming Control Board, the Louisiana State Racing Commission, the Maryland Lottery and Gaming Control Agency, the Mississippi Gaming Commission, the Missouri Gaming Commission, the National Indian Gaming Commission, the Nevada Gaming Commission, the New Jersey Casino Control Commission, the New Jersey Division of Gaming Enforcement, the Pennsylvania Gaming Control Board, the Pennsylvania State Horse Racing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660" w:right="259" w:bottom="1440" w:gutter="0" w:footer="0" w:header="0"/>
        </w:sectPr>
      </w:pPr>
    </w:p>
    <w:bookmarkStart w:id="27" w:name="page28"/>
    <w:bookmarkEnd w:id="27"/>
    <w:p>
      <w:pPr>
        <w:spacing w:after="0" w:line="284" w:lineRule="auto"/>
        <w:rPr>
          <w:sz w:val="20"/>
          <w:szCs w:val="20"/>
          <w:color w:val="auto"/>
        </w:rPr>
      </w:pPr>
      <w:r>
        <w:rPr>
          <w:rFonts w:ascii="Arial" w:cs="Arial" w:eastAsia="Arial" w:hAnsi="Arial"/>
          <w:sz w:val="16"/>
          <w:szCs w:val="16"/>
          <w:color w:val="auto"/>
        </w:rPr>
        <w:t>Commission, the Ohio Lottery Commission, the Gauteng Gambling Board (South Africa), the Alcohol and Gaming Commission of Ontario, the Ministry of Culture, Sports and Tourism (Korea) and the Gambling Commission (United Kingdom). In some instances, these approvals include findings of suitability for our officers and continuing members of our Board of Directors. These approvals and findings may not be received at all, may not be received in a timely fashion and/or may contain conditions on the consummation of the Merger. In addition, these regulatory bodies may impose conditions on the granting of such approvals and findings, including a requirement to divest properties. Such conditions and the process of obtaining such regulatory approvals could have the effect of delaying or impeding consummation of the Merger, imposing additional costs or limitations on us following consummation of the Merger or materially limiting the revenue of the combined company after the consummation of the Merger, any of which might reduce the anticipated benefits to us of the Merger or have an adverse effect on our business, financial condition and results of operations. In addition, to the extent any officer of ours is found unsuitable, we would need to find a replacement, which may take time and could adversely impact our financial and operational performance, including our ability to successfully consummate the Merger and integrate Caesars into the Company. Any such finding of unsuitability by regulatory authorities and resulting resignation or removal of an officer of ours could also impact the governance structure of the combined company following the Merger.</w:t>
      </w:r>
    </w:p>
    <w:p>
      <w:pPr>
        <w:spacing w:after="0" w:line="2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There can be no assurance that we will be able to secure the financing in connection with the Merger, including, without limitation, the proceeds from the transactions with VICI contemplated by the MTA, and the transactions contemplated by the A&amp;R Commitment Letter on acceptable terms, in a timely manner, or at all.</w:t>
      </w:r>
    </w:p>
    <w:p>
      <w:pPr>
        <w:spacing w:after="0" w:line="79" w:lineRule="exact"/>
        <w:rPr>
          <w:sz w:val="20"/>
          <w:szCs w:val="20"/>
          <w:color w:val="auto"/>
        </w:rPr>
      </w:pPr>
    </w:p>
    <w:p>
      <w:pPr>
        <w:ind w:firstLine="555"/>
        <w:spacing w:after="0" w:line="280" w:lineRule="auto"/>
        <w:rPr>
          <w:sz w:val="20"/>
          <w:szCs w:val="20"/>
          <w:color w:val="auto"/>
        </w:rPr>
      </w:pPr>
      <w:r>
        <w:rPr>
          <w:rFonts w:ascii="Arial" w:cs="Arial" w:eastAsia="Arial" w:hAnsi="Arial"/>
          <w:sz w:val="16"/>
          <w:szCs w:val="16"/>
          <w:color w:val="auto"/>
        </w:rPr>
        <w:t>We intend to finance at least a portion of the cash required in connection with the Merger, including expenses in connection with the Merger, with the Debt Financing in accordance with the A&amp;R Commitment Letter. The A&amp;R Commitment Letter provides for funding to (i) us of (a) a $1,000.0 million senior secured revolving credit facility, (b) a $3,000.0 million senior secured term loan B facility, (c) a $3,250.0 million senior secured 364-day bridge facility and (d) a $1,800.0 million senior unsecured bridge loan facility and (ii) Caesars Resort Collection, LLC, a subsidiary of Caesars, of a $2,400.0 million senior secured incremental term loan B facility (collectively, the “Debt Financing”). The senior secured 364-day bridge facility will only be funded in accordance with the A&amp;R Commitment Letter to the extent that the net cash proceeds of certain asset sales and certain transactions contemplated with VICI as described in the next succeeding paragraph are not available on the closing date of the Merger to be applied to finance the Merger and expenses in connection therewith. In addition to the Debt Financing, we also entered into letter agreements with certain financial institutions which additional letter agreements provide (i) for commitments from such financial institutions to provide additional revolving credit facility commitments for us and (ii) the engagement of such financial institutions to act as arrangers for additional debt financing, in each case, in the event we elect to refinance certain existing indebtedness of Caesars Resort Collection, LLC and its subsidiaries and for working capital and general corporate purposes upon the consummation of the Merger. Additionally, we may continue to evaluate alternative financing structures and amounts based on our needs and capital markets conditions. The proceeds of the Debt Financing may be used (A) to pay all or a portion of the cash portion of the Merger Consideration, (B) to refinance all of our existing syndicated bank credit facilities and outstanding senior notes,</w:t>
      </w:r>
    </w:p>
    <w:p>
      <w:pPr>
        <w:spacing w:after="0" w:line="6" w:lineRule="exact"/>
        <w:rPr>
          <w:sz w:val="20"/>
          <w:szCs w:val="20"/>
          <w:color w:val="auto"/>
        </w:rPr>
      </w:pPr>
    </w:p>
    <w:p>
      <w:pPr>
        <w:ind w:right="100" w:firstLine="7"/>
        <w:spacing w:after="0" w:line="249" w:lineRule="auto"/>
        <w:tabs>
          <w:tab w:leader="none" w:pos="28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refinance certain of Caesars’ and its subsidiaries’ existing debt, (D) to pay transaction fees and expenses related to the Merger and related transactions and/or (E) for working capital and general corporate purposes. The availability of the borrowings under the Debt Financing is subject to the satisfaction of certain customary conditions, including the substantially concurrent consummation of the Merger. In the event some or all of the financing contemplated by the A&amp;R Commitment Letter is not available, we are obligated to use our reasonable best efforts to obtain alternative financing from alternative institutions in an amount at least equal to the amount of such unavailable portion of the financing contemplated by the A&amp;R Commitment Letter and in an amount sufficient to enable us to consummate the Merger.</w:t>
      </w:r>
    </w:p>
    <w:p>
      <w:pPr>
        <w:spacing w:after="0" w:line="197" w:lineRule="exact"/>
        <w:rPr>
          <w:sz w:val="20"/>
          <w:szCs w:val="20"/>
          <w:color w:val="auto"/>
        </w:rPr>
      </w:pPr>
    </w:p>
    <w:p>
      <w:pPr>
        <w:ind w:right="40" w:firstLine="555"/>
        <w:spacing w:after="0" w:line="284" w:lineRule="auto"/>
        <w:rPr>
          <w:sz w:val="20"/>
          <w:szCs w:val="20"/>
          <w:color w:val="auto"/>
        </w:rPr>
      </w:pPr>
      <w:r>
        <w:rPr>
          <w:rFonts w:ascii="Arial" w:cs="Arial" w:eastAsia="Arial" w:hAnsi="Arial"/>
          <w:sz w:val="16"/>
          <w:szCs w:val="16"/>
          <w:color w:val="auto"/>
        </w:rPr>
        <w:t>In connection with the execution of the Merger Agreement and the Initial Commitment Letter, we entered into the MTA with VICI. We intend to finance at least a portion of the cash required in connection with the Merger with the proceeds of transactions that are subject to the MTA, including approximately $1.8 billion of proceeds from the expected sale leaseback of certain properties expected to be acquired upon consummation of the Merger, including Harrah’s New Orleans, Harrah’s Laughlin and Harrah’s Atlantic City (or, under certain circumstances, if necessary, certain replacement properties specified in the MTA), and approximately $1.4 billion of proceeds expected to be received in consideration of the amendment of certain existing leases between subsidiaries of Caesars and VICI. Pursuant to the MTA, we have agreed, among other things and subject to the consummation of the Merger and the other applicable conditions set forth therein and in any related documents, to (i) through one or more of our subsidiaries (after giving effect to the Merger) to consummate one or more sale and leaseback transactions with VICI and/or its affiliates with respect to certain property described in the MTA, including Harrah’s New Orleans, Harrah’s Laughlin and Harrah’s Atlantic City, (ii) through one or more of our subsidiaries (after giving effect to the Merger) to amend the CPLV Lease, the Non-CPLV Lease and the Joliet Lease (each as defined in the MTA) in accordance with the terms of the MTA and receive certain consideration from VICI or its affiliates in respect thereof, (iii) to provide a guaranty in respect of each of the CPLV Lease, the Non-CPLV Lease and the Joliet Lease in accordance with the terms of the MTA, (iv) to enter into (or cause our subsidiaries (after giving effect to the Merger) to enter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446" w:right="259" w:bottom="1440" w:gutter="0" w:footer="0" w:header="0"/>
        </w:sectPr>
      </w:pPr>
    </w:p>
    <w:bookmarkStart w:id="28" w:name="page29"/>
    <w:bookmarkEnd w:id="28"/>
    <w:p>
      <w:pPr>
        <w:spacing w:after="0" w:line="266" w:lineRule="auto"/>
        <w:rPr>
          <w:sz w:val="20"/>
          <w:szCs w:val="20"/>
          <w:color w:val="auto"/>
        </w:rPr>
      </w:pPr>
      <w:r>
        <w:rPr>
          <w:rFonts w:ascii="Arial" w:cs="Arial" w:eastAsia="Arial" w:hAnsi="Arial"/>
          <w:sz w:val="17"/>
          <w:szCs w:val="17"/>
          <w:color w:val="auto"/>
        </w:rPr>
        <w:t>into) certain right of first refusal agreements and a put-call right agreement in accordance with the terms of the MTA and (v) to undertake certain related transactions in connection with or related to the foregoing. Consummation of the transactions contemplated by the MTA is subject to satisfaction of those obligations and certain other conditions, including execution of agreements, receipt of required regulatory approvals, the accuracy of the representations and warranties, compliance with covenants, delivery of certain closing deliverables and the absence of any governmental order or action seeking to prohibit the consummation of the transactions contemplated by the MTA. We are currently negotiating the sale leaseback documents, lease amendments and other agreements contemplated by the MTA and cannot assure you as to the timing or outcome of those negotiations with VICI. Although we expect the transactions contemplated by the MTA to be consummated substantially concurrently with the Merger, there can be no assurance as to the timing of the closing of such transactions or that the closings will occur on the terms set forth in the MTA or at all. In the event that the closings of some or all of the transactions contemplated by the MTA are delayed or do not occur, we may be required to incur the 364-day secured bridge facility under the Debt Financing or other additional indebtedness to pay the cash portion of the Merger Consideration, repay our, and certain of Caesars’ and its subsidiaries’, outstanding debt and/or pay transaction fees and expenses related thereto, which could have an adverse impact on the business, financial condition and results of operations of the combined company following the Merger.</w:t>
      </w:r>
    </w:p>
    <w:p>
      <w:pPr>
        <w:spacing w:after="0" w:line="183" w:lineRule="exact"/>
        <w:rPr>
          <w:sz w:val="20"/>
          <w:szCs w:val="20"/>
          <w:color w:val="auto"/>
        </w:rPr>
      </w:pPr>
    </w:p>
    <w:p>
      <w:pPr>
        <w:ind w:right="120" w:firstLine="555"/>
        <w:spacing w:after="0" w:line="255" w:lineRule="auto"/>
        <w:rPr>
          <w:sz w:val="20"/>
          <w:szCs w:val="20"/>
          <w:color w:val="auto"/>
        </w:rPr>
      </w:pPr>
      <w:r>
        <w:rPr>
          <w:rFonts w:ascii="Arial" w:cs="Arial" w:eastAsia="Arial" w:hAnsi="Arial"/>
          <w:sz w:val="18"/>
          <w:szCs w:val="18"/>
          <w:color w:val="auto"/>
        </w:rPr>
        <w:t>The consummation of the Merger is not conditioned on our ability to obtain financing or the consummation of the transactions contemplated by the MTA. If we are unable to obtain funding contemplated by the A&amp;R Commitment Letter from our financing sources for the cash required in connection with the Merger, we may be compelled to specifically perform our obligations to consummate the Merger or could otherwise be subject to claims under the Merger Agreement, each of which could have a material adverse effect on the Company.</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challenging the Merger could delay or prevent the consummation of the Merger.</w:t>
      </w:r>
    </w:p>
    <w:p>
      <w:pPr>
        <w:spacing w:after="0" w:line="114" w:lineRule="exact"/>
        <w:rPr>
          <w:sz w:val="20"/>
          <w:szCs w:val="20"/>
          <w:color w:val="auto"/>
        </w:rPr>
      </w:pPr>
    </w:p>
    <w:p>
      <w:pPr>
        <w:ind w:right="20" w:firstLine="555"/>
        <w:spacing w:after="0" w:line="283" w:lineRule="auto"/>
        <w:rPr>
          <w:sz w:val="20"/>
          <w:szCs w:val="20"/>
          <w:color w:val="auto"/>
        </w:rPr>
      </w:pPr>
      <w:r>
        <w:rPr>
          <w:rFonts w:ascii="Arial" w:cs="Arial" w:eastAsia="Arial" w:hAnsi="Arial"/>
          <w:sz w:val="16"/>
          <w:szCs w:val="16"/>
          <w:color w:val="auto"/>
        </w:rPr>
        <w:t>One of the conditions to the Merger is that no law, statute, rule, regulation, ordinance, code, ruling, subpoena, order, writ, injunction, decree, judgment, ruling, determination, directive, award or settlement issued by a governmental entity (including any gaming authority) shall have been adopted, promulgated or issued that would prohibit, restrain, enjoin or render unlawful the consummation of the Merger or the Share Issuance. Eight complaints have been filed challenging the Merger. Seven of the complaints generally assert claims under Sections 14(a) and 20(a) of the Exchange Act challenging the adequacy of certain disclosures made in the version of this joint proxy statement/prospectus filed with the SEC on September 3, 2019. Those complaints seek, among other relief, an injunction preventing consummation of the Merger, damages in the event that the Merger is consummated and attorneys’ fees. The eighth complaint, filed in Nevada state court, asserts claims for breach of fiduciary duty by, among other things, approving the Merger at an unfair price and disseminating materially misleading information in connection with the Merger. The parties to the litigation have an agreement in principle to settle the claims. However, there can be no assurances that the claims will be settled on the expected terms or at all. There can be no assurance that additional claims will not be filed by our stockholders, or stockholders of Caesars, seeking damages relating to, or otherwise challenging, the Merger. If the plaintiffs in any such action secure injunctive or other relief prohibiting, delaying or otherwise adversely affecting ours and Caesars’ ability to consummate the Merger, then such injunctive or other relief may prevent the Merger from becoming effective within the expected time frame or at all. If consummation of the Merger is prevented or delayed, it could result in substantial costs to us. In addition, whether or not any plaintiff’s claim is successful, we could incur significant costs in connection with any such litigation, including costs associated with the indemnification of ours and Caesars’ directors and officers, and the attention and resources of the respective management of ours and Caesars could be diverted from the consummation of the Merger and ongoing business activities, which could have an adverse effect on our business, financial condition and results of operations.</w:t>
      </w:r>
    </w:p>
    <w:p>
      <w:pPr>
        <w:spacing w:after="0" w:line="275" w:lineRule="exact"/>
        <w:rPr>
          <w:sz w:val="20"/>
          <w:szCs w:val="20"/>
          <w:color w:val="auto"/>
        </w:rPr>
      </w:pPr>
    </w:p>
    <w:p>
      <w:pPr>
        <w:ind w:right="180"/>
        <w:spacing w:after="0" w:line="398" w:lineRule="auto"/>
        <w:rPr>
          <w:sz w:val="20"/>
          <w:szCs w:val="20"/>
          <w:color w:val="auto"/>
        </w:rPr>
      </w:pPr>
      <w:r>
        <w:rPr>
          <w:rFonts w:ascii="Arial" w:cs="Arial" w:eastAsia="Arial" w:hAnsi="Arial"/>
          <w:sz w:val="14"/>
          <w:szCs w:val="14"/>
          <w:b w:val="1"/>
          <w:bCs w:val="1"/>
          <w:i w:val="1"/>
          <w:iCs w:val="1"/>
          <w:color w:val="auto"/>
        </w:rPr>
        <w:t>The Merger Agreement contains provisions that limit our ability to pursue alternatives to the Merger, could discourage a potential competing acquiror of ours from making a favorable alternative transaction proposal and, in specified circumstances, could require us to pay Caesars a termination fee.</w:t>
      </w:r>
    </w:p>
    <w:p>
      <w:pPr>
        <w:spacing w:after="0" w:line="1"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The Merger Agreement contains certain provisions that restrict our ability to solicit, initiate, knowingly facilitate or knowingly encourage any inquiries regarding, or the making of any proposal or offer that constitutes, or would reasonably be expected to lead to, a competing proposal, engage, continue or otherwise participate in any substantive discussions or negotiations regarding, or furnish any non-public information to any person in connection with or for the purpose of encouraging or facilitating, a competing proposal.</w:t>
      </w:r>
    </w:p>
    <w:p>
      <w:pPr>
        <w:spacing w:after="0" w:line="191" w:lineRule="exact"/>
        <w:rPr>
          <w:sz w:val="20"/>
          <w:szCs w:val="20"/>
          <w:color w:val="auto"/>
        </w:rPr>
      </w:pPr>
    </w:p>
    <w:p>
      <w:pPr>
        <w:ind w:right="100" w:firstLine="555"/>
        <w:spacing w:after="0" w:line="271" w:lineRule="auto"/>
        <w:rPr>
          <w:sz w:val="20"/>
          <w:szCs w:val="20"/>
          <w:color w:val="auto"/>
        </w:rPr>
      </w:pPr>
      <w:r>
        <w:rPr>
          <w:rFonts w:ascii="Arial" w:cs="Arial" w:eastAsia="Arial" w:hAnsi="Arial"/>
          <w:sz w:val="18"/>
          <w:szCs w:val="18"/>
          <w:color w:val="auto"/>
        </w:rPr>
        <w:t>These provisions could discourage a potential third-party acquiror or merger partner that might have an interest in acquiring all or a significant portion of the Company or pursuing an alternative transaction with the Company from considering or proposing such a transaction.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If the Merger is not consummated, the price of our common stock and our future businesses and operations could be harmed.</w:t>
      </w:r>
    </w:p>
    <w:p>
      <w:pPr>
        <w:spacing w:after="0" w:line="114" w:lineRule="exact"/>
        <w:rPr>
          <w:sz w:val="20"/>
          <w:szCs w:val="20"/>
          <w:color w:val="auto"/>
        </w:rPr>
      </w:pPr>
    </w:p>
    <w:p>
      <w:pPr>
        <w:ind w:right="140" w:firstLine="555"/>
        <w:spacing w:after="0" w:line="271" w:lineRule="auto"/>
        <w:rPr>
          <w:sz w:val="20"/>
          <w:szCs w:val="20"/>
          <w:color w:val="auto"/>
        </w:rPr>
      </w:pPr>
      <w:r>
        <w:rPr>
          <w:rFonts w:ascii="Arial" w:cs="Arial" w:eastAsia="Arial" w:hAnsi="Arial"/>
          <w:sz w:val="18"/>
          <w:szCs w:val="18"/>
          <w:color w:val="auto"/>
        </w:rPr>
        <w:t>If the Merger is not consummated, we will not have realized any of the potential benefits of the Merger having been consummated and may be subject to material risks, including:</w:t>
      </w:r>
    </w:p>
    <w:p>
      <w:pPr>
        <w:spacing w:after="0" w:line="68" w:lineRule="exact"/>
        <w:rPr>
          <w:sz w:val="20"/>
          <w:szCs w:val="20"/>
          <w:color w:val="auto"/>
        </w:rPr>
      </w:pPr>
    </w:p>
    <w:p>
      <w:pPr>
        <w:ind w:left="1100" w:hanging="544"/>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consummate the Merger may result in negative publicity and a negative impression of us in the investment community;</w:t>
      </w:r>
    </w:p>
    <w:p>
      <w:pPr>
        <w:spacing w:after="0" w:line="114" w:lineRule="exact"/>
        <w:rPr>
          <w:rFonts w:ascii="Arial" w:cs="Arial" w:eastAsia="Arial" w:hAnsi="Arial"/>
          <w:sz w:val="18"/>
          <w:szCs w:val="18"/>
          <w:color w:val="auto"/>
        </w:rPr>
      </w:pPr>
    </w:p>
    <w:p>
      <w:pPr>
        <w:ind w:left="1100" w:right="120" w:hanging="544"/>
        <w:spacing w:after="0" w:line="255"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diversion of management attention from day-to-day business and the unavoidable disruption to our employees and relationships with customers, vendors, joint venture partners and other third parties as a result of efforts and uncertainties relating to the Merger may detract from our ability to grow revenue and minimize costs, which, in turn, may lead to a loss of market position that we could be unable to regain if the Merger does not occur;</w:t>
      </w:r>
    </w:p>
    <w:p>
      <w:pPr>
        <w:spacing w:after="0" w:line="83" w:lineRule="exact"/>
        <w:rPr>
          <w:rFonts w:ascii="Arial" w:cs="Arial" w:eastAsia="Arial" w:hAnsi="Arial"/>
          <w:sz w:val="18"/>
          <w:szCs w:val="18"/>
          <w:color w:val="auto"/>
        </w:rPr>
      </w:pPr>
    </w:p>
    <w:p>
      <w:pPr>
        <w:ind w:left="1100" w:right="240" w:hanging="544"/>
        <w:spacing w:after="0" w:line="259"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 the Merger Agreement, we are subject to certain restrictions on the conduct of our business prior to consummating the Merger, which may affect our ability to execute certain of our business strategies or respond effectively to competitive pressures and industry developments; and</w:t>
      </w:r>
    </w:p>
    <w:p>
      <w:pPr>
        <w:spacing w:after="0" w:line="79" w:lineRule="exact"/>
        <w:rPr>
          <w:rFonts w:ascii="Arial" w:cs="Arial" w:eastAsia="Arial" w:hAnsi="Arial"/>
          <w:sz w:val="18"/>
          <w:szCs w:val="18"/>
          <w:color w:val="auto"/>
        </w:rPr>
      </w:pPr>
    </w:p>
    <w:p>
      <w:pPr>
        <w:ind w:left="1100" w:hanging="544"/>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certain circumstances, we may be required to pay a termination fee of approximately $836.8 million to Caesars;</w:t>
      </w:r>
    </w:p>
    <w:p>
      <w:pPr>
        <w:spacing w:after="0" w:line="114" w:lineRule="exact"/>
        <w:rPr>
          <w:rFonts w:ascii="Arial" w:cs="Arial" w:eastAsia="Arial" w:hAnsi="Arial"/>
          <w:sz w:val="18"/>
          <w:szCs w:val="18"/>
          <w:color w:val="auto"/>
        </w:rPr>
      </w:pPr>
    </w:p>
    <w:p>
      <w:pPr>
        <w:ind w:left="1100" w:right="120" w:hanging="544"/>
        <w:spacing w:after="0" w:line="271"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pay a $75.0 million termination fee to VICI pursuant to the terms of the MTA if the MTA is terminated as a result of the termination of the Merger Agreement;</w:t>
      </w:r>
    </w:p>
    <w:p>
      <w:pPr>
        <w:spacing w:after="0" w:line="67" w:lineRule="exact"/>
        <w:rPr>
          <w:rFonts w:ascii="Arial" w:cs="Arial" w:eastAsia="Arial" w:hAnsi="Arial"/>
          <w:sz w:val="18"/>
          <w:szCs w:val="18"/>
          <w:color w:val="auto"/>
        </w:rPr>
      </w:pPr>
    </w:p>
    <w:p>
      <w:pPr>
        <w:ind w:left="1100" w:right="200" w:hanging="544"/>
        <w:spacing w:after="0" w:line="271"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our board of directors seeks an alternative transaction to the Merger, a potential third-party acquiror or merger partner may propose to pay a lower price to our stockholders as a result of the applicable termination fee and expense reimbursement;</w:t>
      </w:r>
    </w:p>
    <w:p>
      <w:pPr>
        <w:spacing w:after="0" w:line="67" w:lineRule="exact"/>
        <w:rPr>
          <w:rFonts w:ascii="Arial" w:cs="Arial" w:eastAsia="Arial" w:hAnsi="Arial"/>
          <w:sz w:val="18"/>
          <w:szCs w:val="18"/>
          <w:color w:val="auto"/>
        </w:rPr>
      </w:pPr>
    </w:p>
    <w:p>
      <w:pPr>
        <w:ind w:left="1100" w:right="580" w:hanging="544"/>
        <w:spacing w:after="0" w:line="271"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of our common stock may decline to the extent that the current market price of our common stock reflects a higher price than it otherwise would have based on the assumption that the Merger will be consummated;</w:t>
      </w:r>
    </w:p>
    <w:p>
      <w:pPr>
        <w:spacing w:after="0" w:line="67" w:lineRule="exact"/>
        <w:rPr>
          <w:rFonts w:ascii="Arial" w:cs="Arial" w:eastAsia="Arial" w:hAnsi="Arial"/>
          <w:sz w:val="18"/>
          <w:szCs w:val="18"/>
          <w:color w:val="auto"/>
        </w:rPr>
      </w:pPr>
    </w:p>
    <w:p>
      <w:pPr>
        <w:ind w:left="1100" w:hanging="544"/>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would have incurred significant expenses relating to the Merger that we may be unable to recover; and</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be subject to litigation related to the failure to consummate the Merger or to perform our obligations under the Merger Agreement.</w:t>
      </w:r>
    </w:p>
    <w:p>
      <w:pPr>
        <w:spacing w:after="0" w:line="351"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The integration of the Company and Caesars following the Merger may present significant challenges. We cannot be sure that we will be able to realize the anticipated benefits of the Merger in the anticipated time frame or at all.</w:t>
      </w:r>
    </w:p>
    <w:p>
      <w:pPr>
        <w:spacing w:after="0" w:line="68" w:lineRule="exact"/>
        <w:rPr>
          <w:sz w:val="20"/>
          <w:szCs w:val="20"/>
          <w:color w:val="auto"/>
        </w:rPr>
      </w:pPr>
    </w:p>
    <w:p>
      <w:pPr>
        <w:ind w:right="80" w:firstLine="555"/>
        <w:spacing w:after="0" w:line="268" w:lineRule="auto"/>
        <w:rPr>
          <w:sz w:val="20"/>
          <w:szCs w:val="20"/>
          <w:color w:val="auto"/>
        </w:rPr>
      </w:pPr>
      <w:r>
        <w:rPr>
          <w:rFonts w:ascii="Arial" w:cs="Arial" w:eastAsia="Arial" w:hAnsi="Arial"/>
          <w:sz w:val="17"/>
          <w:szCs w:val="17"/>
          <w:color w:val="auto"/>
        </w:rPr>
        <w:t>Our ability to realize the anticipated benefits of the Merger will depend, to a large extent, on our ability to integrate Caesars’ businesses into the Company in the anticipated time frame or at all. We may face significant challenges in combining Caesars’ operations into our operations in a timely and efficient manner. The combination of two independent businesses is a complex, costly and time-consuming process. As a result, we will be required to devote significant management attention and resources to integrating the business practices and operations of Caesars into those of the Company. The integration process may disrupt the businesses and, if implemented ineffectively or inefficiently, would preclude realization of the full benefits expected by us and Caesars. The failure to successfully integrate Caesars into the Company and to manage the challenges presented by the integration process successfully may result in an interruption of, or loss of momentum in, the business of the Company, which may have the effect of depressing the market price of our common stock following the Merger.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realize anticipated synergies or may incur additional costs.</w:t>
      </w:r>
    </w:p>
    <w:p>
      <w:pPr>
        <w:spacing w:after="0" w:line="114" w:lineRule="exact"/>
        <w:rPr>
          <w:sz w:val="20"/>
          <w:szCs w:val="20"/>
          <w:color w:val="auto"/>
        </w:rPr>
      </w:pPr>
    </w:p>
    <w:p>
      <w:pPr>
        <w:ind w:right="20" w:firstLine="555"/>
        <w:spacing w:after="0" w:line="251" w:lineRule="auto"/>
        <w:rPr>
          <w:sz w:val="20"/>
          <w:szCs w:val="20"/>
          <w:color w:val="auto"/>
        </w:rPr>
      </w:pPr>
      <w:r>
        <w:rPr>
          <w:rFonts w:ascii="Arial" w:cs="Arial" w:eastAsia="Arial" w:hAnsi="Arial"/>
          <w:sz w:val="18"/>
          <w:szCs w:val="18"/>
          <w:color w:val="auto"/>
        </w:rPr>
        <w:t>We expect to realize cost synergies and savings from the elimination of overlapping functions of Caesars and the Company, reduction of third party professional services and consulting expenses, and other targeted efficiencies. We further anticipate to benefit from revenue synergies. However, we will be required to incur costs, including severance and related expenses, to realize the anticipated synergies. In addition, the amount of synergies realized after consummation of the Merger may be reduced from anticipated levels as a result of cost reduction programs that have been implemented, or may be implemented, by Caesars prior to consummation of the Merger, including Caesars’ previously announced cost saving initiatives which Caesars expects to result in annualized cost savings of at least $75 million. While our management believes the combined company will benefit from synergies, we may be unable to realize all of these synergies within the time frame expected or at all. In addition, we may incur additional or unexpected costs in order to realize these synergies.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Unanticipated costs relating to the Merger could reduce our future earnings per share.</w:t>
      </w:r>
    </w:p>
    <w:p>
      <w:pPr>
        <w:spacing w:after="0" w:line="114" w:lineRule="exact"/>
        <w:rPr>
          <w:sz w:val="20"/>
          <w:szCs w:val="20"/>
          <w:color w:val="auto"/>
        </w:rPr>
      </w:pPr>
    </w:p>
    <w:p>
      <w:pPr>
        <w:ind w:right="80" w:firstLine="555"/>
        <w:spacing w:after="0" w:line="272" w:lineRule="auto"/>
        <w:rPr>
          <w:sz w:val="20"/>
          <w:szCs w:val="20"/>
          <w:color w:val="auto"/>
        </w:rPr>
      </w:pPr>
      <w:r>
        <w:rPr>
          <w:rFonts w:ascii="Arial" w:cs="Arial" w:eastAsia="Arial" w:hAnsi="Arial"/>
          <w:sz w:val="17"/>
          <w:szCs w:val="17"/>
          <w:color w:val="auto"/>
        </w:rPr>
        <w:t>We believe that we have reasonably estimated the likely incremental costs of the combined operations of the Company and Caesars following the Merger. However, it is possible that unexpected transaction costs such as taxes, fees or professional expenses or unexpected future operating expenses such as unanticipated costs to integrate the two businesses or increased personnel costs, as well as other types of unanticipated adverse developments, could have an adverse effect on the business, financial condition and results of operations of the combined company following the Merger. In addition, if actual costs are materially different than expected costs, the Merger could have a significant dilutive effect on our earnings.</w:t>
      </w:r>
    </w:p>
    <w:p>
      <w:pPr>
        <w:spacing w:after="0" w:line="28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We will have a substantial amount of debt outstanding following the Merger and may incur additional indebtedness in the future, which could restrict our ability to pay dividends and fund working capital and planned capital expenditures.</w:t>
      </w:r>
    </w:p>
    <w:p>
      <w:pPr>
        <w:spacing w:after="0" w:line="68" w:lineRule="exact"/>
        <w:rPr>
          <w:sz w:val="20"/>
          <w:szCs w:val="20"/>
          <w:color w:val="auto"/>
        </w:rPr>
      </w:pPr>
    </w:p>
    <w:p>
      <w:pPr>
        <w:ind w:right="40" w:firstLine="555"/>
        <w:spacing w:after="0" w:line="287" w:lineRule="auto"/>
        <w:rPr>
          <w:sz w:val="20"/>
          <w:szCs w:val="20"/>
          <w:color w:val="auto"/>
        </w:rPr>
      </w:pPr>
      <w:r>
        <w:rPr>
          <w:rFonts w:ascii="Arial" w:cs="Arial" w:eastAsia="Arial" w:hAnsi="Arial"/>
          <w:sz w:val="16"/>
          <w:szCs w:val="16"/>
          <w:color w:val="auto"/>
        </w:rPr>
        <w:t>We expect to enter into the Debt Financing in order to consummate the Merger and refinance our existing syndicated bank credit facilities and senior notes, and a portion of Caesars’ and its subsidiaries’ outstanding indebtedness will remain outstanding following the consummation of the Merger. As a result, we will have a significant amount of additional indebtedness outstanding following the consummation of the Merger. In addition, we expect to have the ability to incur additional debt under our anticipated $1.0 billion revolving credit facility and Caesars Resorts Collection, LLC’s existing $1.0 billion revolving credit facility. We also continually evaluate alternative financing structures and amounts based on our needs and capital markets conditions. We may be required to incur indebtedness under the 364-day secured bridge facility provided under the Debt Financing or other additional indebtedness to finance the Merger Consideration if the transactions contemplated by the MTA or the previously announced sales of certain of our properties are not consummated prior to or in connection with the consummation of the Merger. This amount of leverage could have important consequences, including:</w:t>
      </w:r>
    </w:p>
    <w:p>
      <w:pPr>
        <w:spacing w:after="0" w:line="60" w:lineRule="exact"/>
        <w:rPr>
          <w:sz w:val="20"/>
          <w:szCs w:val="20"/>
          <w:color w:val="auto"/>
        </w:rPr>
      </w:pPr>
    </w:p>
    <w:p>
      <w:pPr>
        <w:ind w:left="1100" w:right="260" w:hanging="544"/>
        <w:spacing w:after="0" w:line="271"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use a substantial portion of our cash flow from operations to make interest and principal payments on our debt, which will reduce funds available for operations, future business opportunities and dividends;</w:t>
      </w:r>
    </w:p>
    <w:p>
      <w:pPr>
        <w:spacing w:after="0" w:line="67" w:lineRule="exact"/>
        <w:rPr>
          <w:rFonts w:ascii="Arial" w:cs="Arial" w:eastAsia="Arial" w:hAnsi="Arial"/>
          <w:sz w:val="18"/>
          <w:szCs w:val="18"/>
          <w:color w:val="auto"/>
        </w:rPr>
      </w:pPr>
    </w:p>
    <w:p>
      <w:pPr>
        <w:ind w:left="1100" w:hanging="544"/>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have limited flexibility to react to changes in our business and our industry;</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may be more difficult for us to satisfy our other obligations;</w:t>
      </w:r>
    </w:p>
    <w:p>
      <w:pPr>
        <w:spacing w:after="0" w:line="114" w:lineRule="exact"/>
        <w:rPr>
          <w:rFonts w:ascii="Arial" w:cs="Arial" w:eastAsia="Arial" w:hAnsi="Arial"/>
          <w:sz w:val="18"/>
          <w:szCs w:val="18"/>
          <w:color w:val="auto"/>
        </w:rPr>
      </w:pPr>
    </w:p>
    <w:p>
      <w:pPr>
        <w:ind w:left="1100" w:right="420" w:hanging="544"/>
        <w:spacing w:after="0" w:line="271"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have a limited ability to borrow additional funds or to sell assets to raise funds if needed for working capital, capital expenditures, acquisitions or other purposes;</w:t>
      </w:r>
    </w:p>
    <w:p>
      <w:pPr>
        <w:spacing w:after="0" w:line="67" w:lineRule="exact"/>
        <w:rPr>
          <w:rFonts w:ascii="Arial" w:cs="Arial" w:eastAsia="Arial" w:hAnsi="Arial"/>
          <w:sz w:val="18"/>
          <w:szCs w:val="18"/>
          <w:color w:val="auto"/>
        </w:rPr>
      </w:pPr>
    </w:p>
    <w:p>
      <w:pPr>
        <w:ind w:left="1100" w:right="500" w:hanging="544"/>
        <w:spacing w:after="0" w:line="271"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become more vulnerable to general adverse economic and industry conditions and changes in interest rates, including changes in interest rates resulting from the expected discontinuation of LIBOR; and</w:t>
      </w:r>
    </w:p>
    <w:p>
      <w:pPr>
        <w:spacing w:after="0" w:line="67" w:lineRule="exact"/>
        <w:rPr>
          <w:rFonts w:ascii="Arial" w:cs="Arial" w:eastAsia="Arial" w:hAnsi="Arial"/>
          <w:sz w:val="18"/>
          <w:szCs w:val="18"/>
          <w:color w:val="auto"/>
        </w:rPr>
      </w:pPr>
    </w:p>
    <w:p>
      <w:pPr>
        <w:ind w:left="1100" w:hanging="544"/>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at a disadvantage compared to our competitors that have less debt.</w:t>
      </w:r>
    </w:p>
    <w:p>
      <w:pPr>
        <w:spacing w:after="0" w:line="221" w:lineRule="exact"/>
        <w:rPr>
          <w:sz w:val="20"/>
          <w:szCs w:val="20"/>
          <w:color w:val="auto"/>
        </w:rPr>
      </w:pPr>
    </w:p>
    <w:p>
      <w:pPr>
        <w:ind w:firstLine="555"/>
        <w:spacing w:after="0" w:line="282" w:lineRule="auto"/>
        <w:rPr>
          <w:sz w:val="20"/>
          <w:szCs w:val="20"/>
          <w:color w:val="auto"/>
        </w:rPr>
      </w:pPr>
      <w:r>
        <w:rPr>
          <w:rFonts w:ascii="Arial" w:cs="Arial" w:eastAsia="Arial" w:hAnsi="Arial"/>
          <w:sz w:val="17"/>
          <w:szCs w:val="17"/>
          <w:color w:val="auto"/>
        </w:rPr>
        <w:t>Future interest expense will be significantly higher than historic interest expense as a result of higher levels of indebtedness incurred to consummate the Merger. Our ability to make payments on our debt and potential to pay dividends on our common stock, which we have not historically done, will depend on our ability to generate cash in the future, which will depend on many factors beyond our control. We cannot assure you that:</w:t>
      </w:r>
    </w:p>
    <w:p>
      <w:pPr>
        <w:spacing w:after="0" w:line="60" w:lineRule="exact"/>
        <w:rPr>
          <w:sz w:val="20"/>
          <w:szCs w:val="20"/>
          <w:color w:val="auto"/>
        </w:rPr>
      </w:pPr>
    </w:p>
    <w:p>
      <w:pPr>
        <w:ind w:left="1100" w:right="340" w:hanging="544"/>
        <w:spacing w:after="0" w:line="271"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will generate sufficient cash flow from operations to service and repay our debt, pay dividends on our common stock and fund working capital and planned capital expenditures;</w:t>
      </w:r>
    </w:p>
    <w:p>
      <w:pPr>
        <w:spacing w:after="0" w:line="67" w:lineRule="exact"/>
        <w:rPr>
          <w:rFonts w:ascii="Arial" w:cs="Arial" w:eastAsia="Arial" w:hAnsi="Arial"/>
          <w:sz w:val="18"/>
          <w:szCs w:val="18"/>
          <w:color w:val="auto"/>
        </w:rPr>
      </w:pPr>
    </w:p>
    <w:p>
      <w:pPr>
        <w:ind w:left="1100" w:right="40" w:hanging="544"/>
        <w:spacing w:after="0" w:line="271"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borrowings will be available under our credit facilities or any future credit facilities in an amount sufficient to enable it to repay our debt, pay dividends on our common stock and fund working capital and planned capital expenditures; or</w:t>
      </w:r>
    </w:p>
    <w:p>
      <w:pPr>
        <w:spacing w:after="0" w:line="67" w:lineRule="exact"/>
        <w:rPr>
          <w:rFonts w:ascii="Arial" w:cs="Arial" w:eastAsia="Arial" w:hAnsi="Arial"/>
          <w:sz w:val="18"/>
          <w:szCs w:val="18"/>
          <w:color w:val="auto"/>
        </w:rPr>
      </w:pPr>
    </w:p>
    <w:p>
      <w:pPr>
        <w:ind w:left="1100" w:hanging="544"/>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will be able to refinance any of our debt on commercially reasonable terms or at all.</w:t>
      </w:r>
    </w:p>
    <w:p>
      <w:pPr>
        <w:spacing w:after="0" w:line="221"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If we cannot generate sufficient cash from our operations to meet our debt service obligations, we may need to reduce or delay capital expenditures, the development of our business generally and any acquisitions. If we become unable to meet our debt service and repayment obligations (or those of our subsidiaries following the Merger), we (or our applicable subsidiaries) would be in default under the terms of the applicable credit agreement or indenture, which would allow our lenders or noteholders to declare all outstanding indebtedness thereunder to be due and payable and terminate any commitments to lend thereunder. If the amounts outstanding under our (or our subsidiaries’) credit facilities or indentures were to be accelerated, we cannot assure you that our (or our subsidiaries’) assets would be sufficient to repay in full the money owed.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31" w:name="page32"/>
    <w:bookmarkEnd w:id="31"/>
    <w:p>
      <w:pPr>
        <w:ind w:right="520"/>
        <w:spacing w:after="0" w:line="301" w:lineRule="auto"/>
        <w:rPr>
          <w:sz w:val="20"/>
          <w:szCs w:val="20"/>
          <w:color w:val="auto"/>
        </w:rPr>
      </w:pPr>
      <w:r>
        <w:rPr>
          <w:rFonts w:ascii="Arial" w:cs="Arial" w:eastAsia="Arial" w:hAnsi="Arial"/>
          <w:sz w:val="17"/>
          <w:szCs w:val="17"/>
          <w:b w:val="1"/>
          <w:bCs w:val="1"/>
          <w:i w:val="1"/>
          <w:iCs w:val="1"/>
          <w:color w:val="auto"/>
        </w:rPr>
        <w:t>Following consummation of the Merger and the transactions contemplated by the MTA, we and our subsidiaries will be required to pay a significant portion of our cash flow from operations to third parties pursuant to leasing and related arrangements.</w:t>
      </w:r>
    </w:p>
    <w:p>
      <w:pPr>
        <w:spacing w:after="0" w:line="45" w:lineRule="exact"/>
        <w:rPr>
          <w:sz w:val="20"/>
          <w:szCs w:val="20"/>
          <w:color w:val="auto"/>
        </w:rPr>
      </w:pPr>
    </w:p>
    <w:p>
      <w:pPr>
        <w:ind w:right="100" w:firstLine="555"/>
        <w:spacing w:after="0" w:line="268" w:lineRule="auto"/>
        <w:rPr>
          <w:sz w:val="20"/>
          <w:szCs w:val="20"/>
          <w:color w:val="auto"/>
        </w:rPr>
      </w:pPr>
      <w:r>
        <w:rPr>
          <w:rFonts w:ascii="Arial" w:cs="Arial" w:eastAsia="Arial" w:hAnsi="Arial"/>
          <w:sz w:val="17"/>
          <w:szCs w:val="17"/>
          <w:color w:val="auto"/>
        </w:rPr>
        <w:t>The Company and Caesars currently lease certain parcels of land on which several of their respective properties are located and, pursuant to the terms of MTA, are expected to enter into leases with VICI with respect to parcels of land on which Harrah’s New Orleans, Harrah’s Laughlin and Harrah’s Atlantic City are located and will increase the lease rate on an existing lease agreement between a subsidiary of Caesars and VICI, which will require our subsidiaries that are parties to such leases to apply a significant amount of their cash flow to required rental payments. These leases also are expected to require certain levels of capital expenditures to be made on the properties leased under these leases on an ongoing basis. As a result of the obligation to pay rent and make capital expenditures under the new and existing leases, the ability of the combined company to fund its operations or development projects, raise capital, make acquisitions and otherwise respond to competitive and economic changes may be adversely affected. For example, the obligations under these lease agreements may:</w:t>
      </w:r>
    </w:p>
    <w:p>
      <w:pPr>
        <w:spacing w:after="0" w:line="74" w:lineRule="exact"/>
        <w:rPr>
          <w:sz w:val="20"/>
          <w:szCs w:val="20"/>
          <w:color w:val="auto"/>
        </w:rPr>
      </w:pPr>
    </w:p>
    <w:p>
      <w:pPr>
        <w:ind w:left="1100" w:right="340" w:hanging="544"/>
        <w:spacing w:after="0" w:line="271"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it more difficult for the combined company to satisfy its obligations with respect to its (or its subsidiaries’) indebtedness and to obtain additional indebtedness;</w:t>
      </w:r>
    </w:p>
    <w:p>
      <w:pPr>
        <w:spacing w:after="0" w:line="67" w:lineRule="exact"/>
        <w:rPr>
          <w:rFonts w:ascii="Arial" w:cs="Arial" w:eastAsia="Arial" w:hAnsi="Arial"/>
          <w:sz w:val="18"/>
          <w:szCs w:val="18"/>
          <w:color w:val="auto"/>
        </w:rPr>
      </w:pPr>
    </w:p>
    <w:p>
      <w:pPr>
        <w:ind w:left="1100" w:hanging="544"/>
        <w:spacing w:after="0"/>
        <w:tabs>
          <w:tab w:leader="none" w:pos="11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increase vulnerability to general or regional adverse economic and industry conditions or a downturn in the combined company’s business;</w:t>
      </w:r>
    </w:p>
    <w:p>
      <w:pPr>
        <w:spacing w:after="0" w:line="137" w:lineRule="exact"/>
        <w:rPr>
          <w:rFonts w:ascii="Arial" w:cs="Arial" w:eastAsia="Arial" w:hAnsi="Arial"/>
          <w:sz w:val="16"/>
          <w:szCs w:val="16"/>
          <w:color w:val="auto"/>
        </w:rPr>
      </w:pPr>
    </w:p>
    <w:p>
      <w:pPr>
        <w:ind w:left="1100" w:right="500" w:hanging="544"/>
        <w:spacing w:after="0" w:line="259"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the combined company to dedicate a substantial portion of its cash flow from operations to making lease payments and capital expenditures associated with the leased assets, thereby reducing the availability of cash flow to fund working capital, capital expenditures associated with non-leased assets and other general corporate purposes and acquisitions;</w:t>
      </w:r>
    </w:p>
    <w:p>
      <w:pPr>
        <w:spacing w:after="0" w:line="79" w:lineRule="exact"/>
        <w:rPr>
          <w:rFonts w:ascii="Arial" w:cs="Arial" w:eastAsia="Arial" w:hAnsi="Arial"/>
          <w:sz w:val="18"/>
          <w:szCs w:val="18"/>
          <w:color w:val="auto"/>
        </w:rPr>
      </w:pPr>
    </w:p>
    <w:p>
      <w:pPr>
        <w:ind w:left="1100" w:hanging="544"/>
        <w:spacing w:after="0"/>
        <w:tabs>
          <w:tab w:leader="none" w:pos="11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limit flexibility in planning for, or reacting to, changes in the combined company’s business and the industry in which it operates; and</w:t>
      </w:r>
    </w:p>
    <w:p>
      <w:pPr>
        <w:spacing w:after="0" w:line="125" w:lineRule="exact"/>
        <w:rPr>
          <w:rFonts w:ascii="Arial" w:cs="Arial" w:eastAsia="Arial" w:hAnsi="Arial"/>
          <w:sz w:val="17"/>
          <w:szCs w:val="17"/>
          <w:color w:val="auto"/>
        </w:rPr>
      </w:pPr>
    </w:p>
    <w:p>
      <w:pPr>
        <w:ind w:left="1100" w:hanging="544"/>
        <w:spacing w:after="0"/>
        <w:tabs>
          <w:tab w:leader="none" w:pos="11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restrict the combined company’s ability to raise capital, make acquisitions and divestitures and engage in other significant transactions.</w:t>
      </w:r>
    </w:p>
    <w:p>
      <w:pPr>
        <w:spacing w:after="0" w:line="233" w:lineRule="exact"/>
        <w:rPr>
          <w:sz w:val="20"/>
          <w:szCs w:val="20"/>
          <w:color w:val="auto"/>
        </w:rPr>
      </w:pPr>
    </w:p>
    <w:p>
      <w:pPr>
        <w:ind w:right="40" w:firstLine="555"/>
        <w:spacing w:after="0" w:line="254" w:lineRule="auto"/>
        <w:rPr>
          <w:sz w:val="20"/>
          <w:szCs w:val="20"/>
          <w:color w:val="auto"/>
        </w:rPr>
      </w:pPr>
      <w:r>
        <w:rPr>
          <w:rFonts w:ascii="Arial" w:cs="Arial" w:eastAsia="Arial" w:hAnsi="Arial"/>
          <w:sz w:val="18"/>
          <w:szCs w:val="18"/>
          <w:color w:val="auto"/>
        </w:rPr>
        <w:t>In addition, the annual rent escalations under these lease agreements will continue to apply regardless of the amount of cash flows generated by the properties that are subject to these lease agreements. Accordingly, if the cash flows generated by such properties decrease, or do not increase at the same rate as the rent escalations, the rents payable under these lease agreements could comprise a higher percentage of the cash flows generated by the applicable entity, which could exacerbate, perhaps materially, the issues described above. Any of the above listed factors could have an adverse effect on the combined company’s business, financial condition and results of operations.</w:t>
      </w:r>
    </w:p>
    <w:p>
      <w:pPr>
        <w:spacing w:after="0" w:line="189"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Moreover, if the combined company were to default on any one or more of these lease agreements, the applicable lessors could terminate the affected leases and we could lose possession of the land leased under the affected leases and any improvements on that land, including the hotels and casinos. A termination of these lease agreements could result in a default under the Company’s (or its subsidiaries’) applicable credit agreements, which would allow its lenders to declare all outstanding borrowings to be due and payable and terminate any commitments thereunder, and could have a material adverse effect on the combined company’s business, financial condition and results of operations.</w:t>
      </w:r>
    </w:p>
    <w:p>
      <w:pPr>
        <w:spacing w:after="0" w:line="28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The guaranties to be entered into by us in connection with the existing and new leases with VICI will include covenants that may restrict our ability to pay dividends and repurchase our shares following the Merger.</w:t>
      </w:r>
    </w:p>
    <w:p>
      <w:pPr>
        <w:spacing w:after="0" w:line="68"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We will guaranty the obligations of our subsidiaries under the existing and new leases with VICI pursuant to which our subsidiaries will lease certain parcels of land on which several of their respective properties are located. These guaranties will include covenants, which, among other things, may restrict our ability to pay dividends or repurchase our shares if our market capitalization is less than $5.5 billion, and may restrict our ability to make non-cash dividends, in each case, following the Merger.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8"/>
          <w:szCs w:val="18"/>
          <w:b w:val="1"/>
          <w:bCs w:val="1"/>
          <w:i w:val="1"/>
          <w:iCs w:val="1"/>
          <w:color w:val="auto"/>
        </w:rPr>
        <w:t>Delay or failure to consummate the sale of our properties previously announced by us may require us to incur additional debt to pay the cash portion of the Merger Consideration or to repay our outstanding indebtedness or otherwise adversely impact the business, financial condition and results of operations of the combined company following the Merger.</w:t>
      </w:r>
    </w:p>
    <w:p>
      <w:pPr>
        <w:spacing w:after="0" w:line="79" w:lineRule="exact"/>
        <w:rPr>
          <w:sz w:val="20"/>
          <w:szCs w:val="20"/>
          <w:color w:val="auto"/>
        </w:rPr>
      </w:pPr>
    </w:p>
    <w:p>
      <w:pPr>
        <w:ind w:right="40" w:firstLine="555"/>
        <w:spacing w:after="0" w:line="286" w:lineRule="auto"/>
        <w:rPr>
          <w:sz w:val="20"/>
          <w:szCs w:val="20"/>
          <w:color w:val="auto"/>
        </w:rPr>
      </w:pPr>
      <w:r>
        <w:rPr>
          <w:rFonts w:ascii="Arial" w:cs="Arial" w:eastAsia="Arial" w:hAnsi="Arial"/>
          <w:sz w:val="16"/>
          <w:szCs w:val="16"/>
          <w:color w:val="auto"/>
        </w:rPr>
        <w:t>On July 10, 2019, we entered into an agreement to sell Isle of Capri Casino Kansas City and Lady Luck Casino Vicksburg for aggregate consideration of $230.0 million, subject to certain adjustments. The consummation of the transaction is subject to satisfaction of customary conditions, including receipt of required regulatory approvals, the accuracy of the parties’ representations and warranties, compliance with covenants, delivery of certain closing deliverables and the absence of any governmental order or action seeking to prohibit the consummation of the transaction. Although we expect such sale transaction to be consummated prior to consummation of the Merger, there can be no assurance as to the timing of the closing of such sales or that the closings will occur on the terms set forth in the purchase agreements relating to the sales, or at all. In the event that the closing of either sale is delayed or does not occur, we may be required to incur the 364-day secured bridge facility under the Debt Financing or other additional indebtedness to pay the cash portion of the Merger Consideration, to repay our, and certain of Caesars’ and its subsidiaries’, outstanding debt and/or to pay transaction fees and expenses related thereto, which could adversely impact the business, financial condition and results of operations of the combined company following the Merger.</w:t>
      </w:r>
    </w:p>
    <w:p>
      <w:pPr>
        <w:spacing w:after="0" w:line="168" w:lineRule="exact"/>
        <w:rPr>
          <w:sz w:val="20"/>
          <w:szCs w:val="20"/>
          <w:color w:val="auto"/>
        </w:rPr>
      </w:pPr>
    </w:p>
    <w:p>
      <w:pPr>
        <w:ind w:right="100" w:firstLine="555"/>
        <w:spacing w:after="0" w:line="270" w:lineRule="auto"/>
        <w:rPr>
          <w:sz w:val="20"/>
          <w:szCs w:val="20"/>
          <w:color w:val="auto"/>
        </w:rPr>
      </w:pPr>
      <w:r>
        <w:rPr>
          <w:rFonts w:ascii="Arial" w:cs="Arial" w:eastAsia="Arial" w:hAnsi="Arial"/>
          <w:sz w:val="17"/>
          <w:szCs w:val="17"/>
          <w:color w:val="auto"/>
        </w:rPr>
        <w:t>On September 26, 2019, ERI and VICI entered into the Real Estate Purchase Agreements for the sale of Harrah’s New Orleans, Harrah’s Laughlin and Harrah’s Atlantic City for aggregate consideration of approximately $1.8 billion, subject to satisfaction of customary conditions, including receipt of required regulatory approvals. In the event that the closing of any of the sales is delayed or does not occur within a certain timeframe, we may be required to incur the 364-day secured bridge facility under the Debt Financing or other additional indebtedness to pay the cash portion of the Merger Consideration, to repay our, and certain of Caesars’ and its subsidiaries, outstanding debt and/or to pay transaction fees and expenses related thereto, which could adversely impact the business, financial condition and results of operations of the combined company following the Merger.</w:t>
      </w:r>
    </w:p>
    <w:p>
      <w:pPr>
        <w:spacing w:after="0" w:line="219"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On January 13, 2020, we entered into a definitive agreement to sell Eldorado Resort Casino Shreveport for cash consideration of approximately $230 million, subject to certain adjustments. The consummation of the transaction is subject to receipt of required regulatory approvals, the prior or concurrent closing of the Merger and other customary conditions.</w:t>
      </w:r>
    </w:p>
    <w:p>
      <w:pPr>
        <w:spacing w:after="0" w:line="29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A substantial amount of Caesars’ net operating loss carryforwards may be used as a result of transactions relating to the Merger, and ERI’s ability to use any remaining net operating loss carryforwards may become limited as a result of the Merger.</w:t>
      </w:r>
    </w:p>
    <w:p>
      <w:pPr>
        <w:spacing w:after="0" w:line="68" w:lineRule="exact"/>
        <w:rPr>
          <w:sz w:val="20"/>
          <w:szCs w:val="20"/>
          <w:color w:val="auto"/>
        </w:rPr>
      </w:pPr>
    </w:p>
    <w:p>
      <w:pPr>
        <w:ind w:right="60" w:firstLine="555"/>
        <w:spacing w:after="0" w:line="266" w:lineRule="auto"/>
        <w:rPr>
          <w:sz w:val="20"/>
          <w:szCs w:val="20"/>
          <w:color w:val="auto"/>
        </w:rPr>
      </w:pPr>
      <w:r>
        <w:rPr>
          <w:rFonts w:ascii="Arial" w:cs="Arial" w:eastAsia="Arial" w:hAnsi="Arial"/>
          <w:sz w:val="17"/>
          <w:szCs w:val="17"/>
          <w:color w:val="auto"/>
        </w:rPr>
        <w:t>As of December 31, 2018, Caesars reported approximately $2.6 billion of net operating loss (“NOL”) carryforwards for U.S. federal income tax purposes. Certain transactions relating to the Merger will give rise to taxable income for Caesars and, depending on the tax treatment of certain of those transactions, such taxable income may be substantial. While we expect that any such taxable income would be offset by the NOL carryforwards, if taxable income is greater than expected, the associated reduction in Caesars’ NOL carryforwards may result in the U.S. federal income taxes payable by the combined company following the Merger being greater than expected. Additionally, under Section 382 of the Code, if a corporation undergoes an “ownership change,” the corporation’s ability to use its pre-change NOLs (and certain other tax attributes) to offset its post-change income may be limited. In the event the Merger causes an ownership change with respect to Caesars on the effective date of the Merger, Section 382 of the Code would apply to limit ERI’s use of any NOLs remaining after the effective date of the Merger. In addition, if there is an ownership change of Caesars as a result of the Merger and recently proposed regulations are applicable to that ownership change, the combined company’s ability to utilize Caesars’ NOLs may be more severely limited than would be the case under existing rules. If certain updates to the proposed regulations apply, it is not expected that the proposed regulations would be applicable to the Merger.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660"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Risks Related to our Capital Structure and Equity Ownership</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obligations under our indebtedness and Master Lease are significant.</w:t>
      </w:r>
    </w:p>
    <w:p>
      <w:pPr>
        <w:spacing w:after="0" w:line="114" w:lineRule="exact"/>
        <w:rPr>
          <w:sz w:val="20"/>
          <w:szCs w:val="20"/>
          <w:color w:val="auto"/>
        </w:rPr>
      </w:pPr>
    </w:p>
    <w:p>
      <w:pPr>
        <w:ind w:right="60" w:firstLine="555"/>
        <w:spacing w:after="0" w:line="251" w:lineRule="auto"/>
        <w:rPr>
          <w:sz w:val="20"/>
          <w:szCs w:val="20"/>
          <w:color w:val="auto"/>
        </w:rPr>
      </w:pPr>
      <w:r>
        <w:rPr>
          <w:rFonts w:ascii="Arial" w:cs="Arial" w:eastAsia="Arial" w:hAnsi="Arial"/>
          <w:sz w:val="18"/>
          <w:szCs w:val="18"/>
          <w:color w:val="auto"/>
        </w:rPr>
        <w:t>As of December 31, 2019, we had $2.6 billion of total indebtedness outstanding consisting of $498.8 million outstanding under our term loan facility (the “Term Loan Facility” or “Term Loan”), $600 million in aggregate principal amount of outstanding 6.0% senior notes due 2026 (the “6% Senior Notes due 2026”), $875.0 million in aggregate principal amount of outstanding 6.0% senior notes due 2025 (the “6% Senior Notes due 2025”), $375.0 million in aggregate principal amount of outstanding 7.0% senior notes due 2023 (the “7% Senior Notes due 2023”) and $246.0 million of principal outstanding under our loan to fund the $246 million purchase of the real estate underlying Lumière (“Lumière Loan”). As of December 31, 2019, we had no outstanding balance under our $500.0 million revolving credit facility (the “Revolving Credit Facility” and, together with the Term Loan, the “Credit Facility”). In addition, our annual rent payment under the Master Lease is at least $88.9 million and is subject to annual escalation. These financial obligations may have important negative consequences for us, including:</w:t>
      </w:r>
    </w:p>
    <w:p>
      <w:pPr>
        <w:spacing w:after="0" w:line="88" w:lineRule="exact"/>
        <w:rPr>
          <w:sz w:val="20"/>
          <w:szCs w:val="20"/>
          <w:color w:val="auto"/>
        </w:rPr>
      </w:pPr>
    </w:p>
    <w:p>
      <w:pPr>
        <w:ind w:left="1100" w:hanging="544"/>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ability to satisfy our obligations;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the markets in which we operate;</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competitors that have less debt;</w:t>
      </w:r>
    </w:p>
    <w:p>
      <w:pPr>
        <w:spacing w:after="0" w:line="114" w:lineRule="exact"/>
        <w:rPr>
          <w:rFonts w:ascii="Arial" w:cs="Arial" w:eastAsia="Arial" w:hAnsi="Arial"/>
          <w:sz w:val="18"/>
          <w:szCs w:val="18"/>
          <w:color w:val="auto"/>
        </w:rPr>
      </w:pPr>
    </w:p>
    <w:p>
      <w:pPr>
        <w:ind w:left="1100" w:right="780" w:hanging="544"/>
        <w:spacing w:after="0" w:line="271"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our vulnerability to, and limiting our ability to react to, changing market conditions, changes in our industry and economic downturns;</w:t>
      </w:r>
    </w:p>
    <w:p>
      <w:pPr>
        <w:spacing w:after="0" w:line="67" w:lineRule="exact"/>
        <w:rPr>
          <w:rFonts w:ascii="Arial" w:cs="Arial" w:eastAsia="Arial" w:hAnsi="Arial"/>
          <w:sz w:val="18"/>
          <w:szCs w:val="18"/>
          <w:color w:val="auto"/>
        </w:rPr>
      </w:pPr>
    </w:p>
    <w:p>
      <w:pPr>
        <w:ind w:left="1100" w:right="80" w:hanging="544"/>
        <w:spacing w:after="0" w:line="271"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working capital requirements, capital expenditures, debt service, acquisitions, general corporate or other obligations;</w:t>
      </w:r>
    </w:p>
    <w:p>
      <w:pPr>
        <w:spacing w:after="0" w:line="67" w:lineRule="exact"/>
        <w:rPr>
          <w:rFonts w:ascii="Arial" w:cs="Arial" w:eastAsia="Arial" w:hAnsi="Arial"/>
          <w:sz w:val="18"/>
          <w:szCs w:val="18"/>
          <w:color w:val="auto"/>
        </w:rPr>
      </w:pPr>
    </w:p>
    <w:p>
      <w:pPr>
        <w:ind w:left="1100" w:right="840" w:hanging="544"/>
        <w:spacing w:after="0" w:line="301" w:lineRule="auto"/>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subjecting us to a number of restrictive covenants that, among other things, limit our ability to pay dividends and distributions, make acquisitions and dispositions, borrow additional funds and make capital expenditures and other investments;</w:t>
      </w:r>
    </w:p>
    <w:p>
      <w:pPr>
        <w:spacing w:after="0" w:line="44" w:lineRule="exact"/>
        <w:rPr>
          <w:rFonts w:ascii="Arial" w:cs="Arial" w:eastAsia="Arial" w:hAnsi="Arial"/>
          <w:sz w:val="17"/>
          <w:szCs w:val="17"/>
          <w:color w:val="auto"/>
        </w:rPr>
      </w:pPr>
    </w:p>
    <w:p>
      <w:pPr>
        <w:ind w:left="1100" w:hanging="544"/>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restricting our and our wholly-owned subsidiaries ability to make dividend payments and other payments;</w:t>
      </w:r>
    </w:p>
    <w:p>
      <w:pPr>
        <w:spacing w:after="0" w:line="114" w:lineRule="exact"/>
        <w:rPr>
          <w:rFonts w:ascii="Arial" w:cs="Arial" w:eastAsia="Arial" w:hAnsi="Arial"/>
          <w:sz w:val="18"/>
          <w:szCs w:val="18"/>
          <w:color w:val="auto"/>
        </w:rPr>
      </w:pPr>
    </w:p>
    <w:p>
      <w:pPr>
        <w:ind w:left="1100" w:right="300" w:hanging="544"/>
        <w:spacing w:after="0" w:line="271"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ability to use operating cash flow in other areas of our business because we must dedicate a significant portion of these funds to make principal and/or interest payments on our outstanding debt;</w:t>
      </w:r>
    </w:p>
    <w:p>
      <w:pPr>
        <w:spacing w:after="0" w:line="67" w:lineRule="exact"/>
        <w:rPr>
          <w:rFonts w:ascii="Arial" w:cs="Arial" w:eastAsia="Arial" w:hAnsi="Arial"/>
          <w:sz w:val="18"/>
          <w:szCs w:val="18"/>
          <w:color w:val="auto"/>
        </w:rPr>
      </w:pPr>
    </w:p>
    <w:p>
      <w:pPr>
        <w:ind w:left="1100" w:hanging="544"/>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exposing us to interest rate risk due to the variable interest rate on borrowings under our Credit Facility;</w:t>
      </w:r>
    </w:p>
    <w:p>
      <w:pPr>
        <w:spacing w:after="0" w:line="114" w:lineRule="exact"/>
        <w:rPr>
          <w:rFonts w:ascii="Arial" w:cs="Arial" w:eastAsia="Arial" w:hAnsi="Arial"/>
          <w:sz w:val="18"/>
          <w:szCs w:val="18"/>
          <w:color w:val="auto"/>
        </w:rPr>
      </w:pPr>
    </w:p>
    <w:p>
      <w:pPr>
        <w:ind w:left="1100" w:right="180" w:hanging="544"/>
        <w:spacing w:after="0" w:line="301" w:lineRule="auto"/>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causing our failure to comply with the financial and restrictive covenants contained in our current or future indebtedness, which could cause a default under such indebtedness and which, if not cured or waived, could have a material adverse effect on us; and</w:t>
      </w:r>
    </w:p>
    <w:p>
      <w:pPr>
        <w:spacing w:after="0" w:line="44" w:lineRule="exact"/>
        <w:rPr>
          <w:rFonts w:ascii="Arial" w:cs="Arial" w:eastAsia="Arial" w:hAnsi="Arial"/>
          <w:sz w:val="17"/>
          <w:szCs w:val="17"/>
          <w:color w:val="auto"/>
        </w:rPr>
      </w:pPr>
    </w:p>
    <w:p>
      <w:pPr>
        <w:ind w:left="1100" w:hanging="544"/>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affecting our ability to renew gaming and other licenses necessary to conduct our business.</w:t>
      </w:r>
    </w:p>
    <w:p>
      <w:pPr>
        <w:spacing w:after="0" w:line="221"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In addition, the Master Lease requires us to make specific minimum investments in capital expenditures and, subject to certain caps, the rent escalations under the Master Lease will continue to apply regardless of the cash flows generated by the properties subject to the Master Lease and the obligations under the Master Lease are guaranteed by ERI. If the cash flows generated by the leased properties decrease, or do not increase at the same rate as the rent escalations, the rent payable under the Master Lease and required capital expenditures could constitute a higher percentage of cash flows generated by the leased properties, which could materially exacerbate the consequences described above.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656" w:right="259" w:bottom="1440" w:gutter="0" w:footer="0" w:header="0"/>
        </w:sectPr>
      </w:pPr>
    </w:p>
    <w:bookmarkStart w:id="34" w:name="page35"/>
    <w:bookmarkEnd w:id="34"/>
    <w:p>
      <w:pPr>
        <w:ind w:right="400"/>
        <w:spacing w:after="0" w:line="271" w:lineRule="auto"/>
        <w:rPr>
          <w:sz w:val="20"/>
          <w:szCs w:val="20"/>
          <w:color w:val="auto"/>
        </w:rPr>
      </w:pPr>
      <w:r>
        <w:rPr>
          <w:rFonts w:ascii="Arial" w:cs="Arial" w:eastAsia="Arial" w:hAnsi="Arial"/>
          <w:sz w:val="18"/>
          <w:szCs w:val="18"/>
          <w:b w:val="1"/>
          <w:bCs w:val="1"/>
          <w:i w:val="1"/>
          <w:iCs w:val="1"/>
          <w:color w:val="auto"/>
        </w:rPr>
        <w:t>Our debt obligations will substantially increase following the Merger and we may incur additional indebtedness in the future, which could restrict our ability to pay dividends and fund working capital and planned capital expenditures.</w:t>
      </w:r>
    </w:p>
    <w:p>
      <w:pPr>
        <w:spacing w:after="0" w:line="68" w:lineRule="exact"/>
        <w:rPr>
          <w:sz w:val="20"/>
          <w:szCs w:val="20"/>
          <w:color w:val="auto"/>
        </w:rPr>
      </w:pPr>
    </w:p>
    <w:p>
      <w:pPr>
        <w:ind w:right="40" w:firstLine="555"/>
        <w:spacing w:after="0" w:line="287" w:lineRule="auto"/>
        <w:rPr>
          <w:sz w:val="20"/>
          <w:szCs w:val="20"/>
          <w:color w:val="auto"/>
        </w:rPr>
      </w:pPr>
      <w:r>
        <w:rPr>
          <w:rFonts w:ascii="Arial" w:cs="Arial" w:eastAsia="Arial" w:hAnsi="Arial"/>
          <w:sz w:val="16"/>
          <w:szCs w:val="16"/>
          <w:color w:val="auto"/>
        </w:rPr>
        <w:t>We expect to enter into the Debt Financing in order to consummate the Merger and refinance our existing syndicated bank credit facilities and senior notes, and a portion of Caesars’ and its subsidiaries’ outstanding indebtedness will remain outstanding following the consummation of the Merger. As a result, we will have a significant amount of additional indebtedness outstanding following the consummation of the Merger. In addition, we expect to have the ability to incur additional debt under its anticipated $1.0 billion revolving credit facility and Caesars Resorts Collection, LLC’s existing $1.0 billion revolving credit facility. We also continually evaluate alternative financing structures and amounts based on our needs and capital markets conditions. We may be required to incur indebtedness under the 364-day secured bridge facility provided under the Debt Financing or other additional indebtedness to finance the Merger Consideration if the transactions contemplated by the MTA or the previously announced sales of certain of our properties are not consummated prior to or in connection with the consummation of the Merger. This amount of leverage could have important consequences, including:</w:t>
      </w:r>
    </w:p>
    <w:p>
      <w:pPr>
        <w:spacing w:after="0" w:line="60" w:lineRule="exact"/>
        <w:rPr>
          <w:sz w:val="20"/>
          <w:szCs w:val="20"/>
          <w:color w:val="auto"/>
        </w:rPr>
      </w:pPr>
    </w:p>
    <w:p>
      <w:pPr>
        <w:ind w:left="1100" w:right="240" w:hanging="544"/>
        <w:spacing w:after="0" w:line="271"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use a substantial portion of our cash flow from operations to make interest and principal payments on our debt, which will reduce funds available for operations, future business opportunities and dividends;</w:t>
      </w:r>
    </w:p>
    <w:p>
      <w:pPr>
        <w:spacing w:after="0" w:line="67" w:lineRule="exact"/>
        <w:rPr>
          <w:rFonts w:ascii="Arial" w:cs="Arial" w:eastAsia="Arial" w:hAnsi="Arial"/>
          <w:sz w:val="18"/>
          <w:szCs w:val="18"/>
          <w:color w:val="auto"/>
        </w:rPr>
      </w:pPr>
    </w:p>
    <w:p>
      <w:pPr>
        <w:ind w:left="1100" w:hanging="544"/>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have limited flexibility to react to changes in our business and our industry;</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may be more difficult for us to satisfy our other obligations;</w:t>
      </w:r>
    </w:p>
    <w:p>
      <w:pPr>
        <w:spacing w:after="0" w:line="114" w:lineRule="exact"/>
        <w:rPr>
          <w:rFonts w:ascii="Arial" w:cs="Arial" w:eastAsia="Arial" w:hAnsi="Arial"/>
          <w:sz w:val="18"/>
          <w:szCs w:val="18"/>
          <w:color w:val="auto"/>
        </w:rPr>
      </w:pPr>
    </w:p>
    <w:p>
      <w:pPr>
        <w:ind w:left="1100" w:right="400" w:hanging="544"/>
        <w:spacing w:after="0" w:line="271"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have a limited ability to borrow additional funds or to sell assets to raise funds if needed for working capital, capital expenditures, acquisitions or other purposes;</w:t>
      </w:r>
    </w:p>
    <w:p>
      <w:pPr>
        <w:spacing w:after="0" w:line="67" w:lineRule="exact"/>
        <w:rPr>
          <w:rFonts w:ascii="Arial" w:cs="Arial" w:eastAsia="Arial" w:hAnsi="Arial"/>
          <w:sz w:val="18"/>
          <w:szCs w:val="18"/>
          <w:color w:val="auto"/>
        </w:rPr>
      </w:pPr>
    </w:p>
    <w:p>
      <w:pPr>
        <w:ind w:left="1100" w:right="480" w:hanging="544"/>
        <w:spacing w:after="0" w:line="271"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become more vulnerable to general adverse economic and industry conditions and changes in interest rates, including changes in interest rates resulting from the expected discontinuation of LIBOR; and</w:t>
      </w:r>
    </w:p>
    <w:p>
      <w:pPr>
        <w:spacing w:after="0" w:line="67" w:lineRule="exact"/>
        <w:rPr>
          <w:rFonts w:ascii="Arial" w:cs="Arial" w:eastAsia="Arial" w:hAnsi="Arial"/>
          <w:sz w:val="18"/>
          <w:szCs w:val="18"/>
          <w:color w:val="auto"/>
        </w:rPr>
      </w:pPr>
    </w:p>
    <w:p>
      <w:pPr>
        <w:ind w:left="1100" w:hanging="544"/>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at a disadvantage compared to our competitors that have less debt.</w:t>
      </w:r>
    </w:p>
    <w:p>
      <w:pPr>
        <w:spacing w:after="0" w:line="221" w:lineRule="exact"/>
        <w:rPr>
          <w:sz w:val="20"/>
          <w:szCs w:val="20"/>
          <w:color w:val="auto"/>
        </w:rPr>
      </w:pPr>
    </w:p>
    <w:p>
      <w:pPr>
        <w:ind w:firstLine="555"/>
        <w:spacing w:after="0" w:line="282" w:lineRule="auto"/>
        <w:rPr>
          <w:sz w:val="20"/>
          <w:szCs w:val="20"/>
          <w:color w:val="auto"/>
        </w:rPr>
      </w:pPr>
      <w:r>
        <w:rPr>
          <w:rFonts w:ascii="Arial" w:cs="Arial" w:eastAsia="Arial" w:hAnsi="Arial"/>
          <w:sz w:val="17"/>
          <w:szCs w:val="17"/>
          <w:color w:val="auto"/>
        </w:rPr>
        <w:t>Future interest expense will be significantly higher than historic interest expense as a result of higher levels of indebtedness incurred to consummate the Merger. Our ability to make payments on our debt and potential to pay dividends on our common stock, which we have not historically done, will depend on our ability to generate cash in the future, which will depend on many factors beyond our control. We cannot assure you that:</w:t>
      </w:r>
    </w:p>
    <w:p>
      <w:pPr>
        <w:spacing w:after="0" w:line="60" w:lineRule="exact"/>
        <w:rPr>
          <w:sz w:val="20"/>
          <w:szCs w:val="20"/>
          <w:color w:val="auto"/>
        </w:rPr>
      </w:pPr>
    </w:p>
    <w:p>
      <w:pPr>
        <w:ind w:left="1100" w:right="340" w:hanging="544"/>
        <w:spacing w:after="0" w:line="271" w:lineRule="auto"/>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business will generate sufficient cash flow from operations to service and repay our debt, pay dividends on our common stock and fund working capital and planned capital expenditures;</w:t>
      </w:r>
    </w:p>
    <w:p>
      <w:pPr>
        <w:spacing w:after="0" w:line="67" w:lineRule="exact"/>
        <w:rPr>
          <w:rFonts w:ascii="Arial" w:cs="Arial" w:eastAsia="Arial" w:hAnsi="Arial"/>
          <w:sz w:val="18"/>
          <w:szCs w:val="18"/>
          <w:color w:val="auto"/>
        </w:rPr>
      </w:pPr>
    </w:p>
    <w:p>
      <w:pPr>
        <w:ind w:left="1100" w:right="40" w:hanging="544"/>
        <w:spacing w:after="0" w:line="271" w:lineRule="auto"/>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borrowings will be available under our credit facilities or any future credit facilities in an amount sufficient to enable it to repay our debt, pay dividends on our common stock and fund working capital and planned capital expenditures; or</w:t>
      </w:r>
    </w:p>
    <w:p>
      <w:pPr>
        <w:spacing w:after="0" w:line="67" w:lineRule="exact"/>
        <w:rPr>
          <w:rFonts w:ascii="Arial" w:cs="Arial" w:eastAsia="Arial" w:hAnsi="Arial"/>
          <w:sz w:val="18"/>
          <w:szCs w:val="18"/>
          <w:color w:val="auto"/>
        </w:rPr>
      </w:pPr>
    </w:p>
    <w:p>
      <w:pPr>
        <w:ind w:left="1100" w:hanging="544"/>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be able to refinance any of our debt on commercially reasonable terms or at all.</w:t>
      </w:r>
    </w:p>
    <w:p>
      <w:pPr>
        <w:spacing w:after="0" w:line="221"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If we cannot generate sufficient cash from our operations to meet our debt service obligations, we may need to reduce or delay capital expenditures, the development of our business generally and any acquisitions. If we become unable to meet our debt service and repayment obligations (or those of our subsidiaries following the Merger), we (or our applicable subsidiaries) would be in default under the terms of the applicable credit agreement or indenture, which would allow our lenders or noteholders to declare all outstanding indebtedness thereunder to be due and payable and terminate any commitments to lend thereunder. If the amounts outstanding under our (or our subsidiaries’) credit facilities or indentures were to be accelerated, we cannot assure you that our (or our subsidiaries’) assets would be sufficient to repay in full the money owed.</w:t>
      </w:r>
    </w:p>
    <w:p>
      <w:pPr>
        <w:spacing w:after="0" w:line="286"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Despite our current indebtedness levels, we and our subsidiaries may still incur significant additional indebtedness. Incurring more indebtedness could increase the risks associated with our substantial indebtedness.</w:t>
      </w:r>
    </w:p>
    <w:p>
      <w:pPr>
        <w:spacing w:after="0" w:line="68" w:lineRule="exact"/>
        <w:rPr>
          <w:sz w:val="20"/>
          <w:szCs w:val="20"/>
          <w:color w:val="auto"/>
        </w:rPr>
      </w:pPr>
    </w:p>
    <w:p>
      <w:pPr>
        <w:ind w:firstLine="555"/>
        <w:spacing w:after="0" w:line="252" w:lineRule="auto"/>
        <w:rPr>
          <w:sz w:val="20"/>
          <w:szCs w:val="20"/>
          <w:color w:val="auto"/>
        </w:rPr>
      </w:pPr>
      <w:r>
        <w:rPr>
          <w:rFonts w:ascii="Arial" w:cs="Arial" w:eastAsia="Arial" w:hAnsi="Arial"/>
          <w:sz w:val="18"/>
          <w:szCs w:val="18"/>
          <w:color w:val="auto"/>
        </w:rPr>
        <w:t>We and our subsidiaries may be able to incur substantial additional indebtedness, including additional secured indebtedness, and may enter into financing obligations similar to the Master Lease in the future. As of December 31, 2019, we had $482.0 million of borrowing capacity, after consideration of $18.0 million in outstanding letters of credit, under our Credit Facility. Our existing debt agreements currently permit, and we expect that agreements governing debt that we incur in the future will permit, us to incur certain other additional secured and unsecured debt. Further, we may incur other liabilities that do not constitute indebtedness. The risks that we face based on our outstanding indebtedness may intensify if we incur additional indebtedness or financing obligations in the future.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660"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The LIBOR calculation method may change and LIBOR is expected to be phased out after 2021.</w:t>
      </w:r>
    </w:p>
    <w:p>
      <w:pPr>
        <w:spacing w:after="0" w:line="114" w:lineRule="exact"/>
        <w:rPr>
          <w:sz w:val="20"/>
          <w:szCs w:val="20"/>
          <w:color w:val="auto"/>
        </w:rPr>
      </w:pPr>
    </w:p>
    <w:p>
      <w:pPr>
        <w:ind w:right="60" w:firstLine="555"/>
        <w:spacing w:after="0" w:line="297" w:lineRule="auto"/>
        <w:rPr>
          <w:sz w:val="20"/>
          <w:szCs w:val="20"/>
          <w:color w:val="auto"/>
        </w:rPr>
      </w:pPr>
      <w:r>
        <w:rPr>
          <w:rFonts w:ascii="Arial" w:cs="Arial" w:eastAsia="Arial" w:hAnsi="Arial"/>
          <w:sz w:val="16"/>
          <w:szCs w:val="16"/>
          <w:color w:val="auto"/>
        </w:rPr>
        <w:t>Our credit facility calculates interest on the outstanding principal balance using LIBOR. On July 27, 2017, the United Kingdom Financial Conduct Authority (the “FCA”) announced it would phase out LIBOR as a benchmark by the end of 2021. In the meantime, actions by the FCA, other regulators or law enforcement agencies may result in changes to the method by which LIBOR is calculated. At this time, it is not possible to predict the effect on our financial condition, results of operations and cash flows of any such changes or any other reforms to LIBOR that may be enacted in the United Kingdom or elsewhere.</w:t>
      </w:r>
    </w:p>
    <w:p>
      <w:pPr>
        <w:spacing w:after="0" w:line="267"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pay rent under the Master Lease and may be forced to take other actions to satisfy our obligations under our indebtedness, which may not be successful.</w:t>
      </w:r>
    </w:p>
    <w:p>
      <w:pPr>
        <w:spacing w:after="0" w:line="68" w:lineRule="exact"/>
        <w:rPr>
          <w:sz w:val="20"/>
          <w:szCs w:val="20"/>
          <w:color w:val="auto"/>
        </w:rPr>
      </w:pPr>
    </w:p>
    <w:p>
      <w:pPr>
        <w:ind w:right="80" w:firstLine="555"/>
        <w:spacing w:after="0" w:line="275" w:lineRule="auto"/>
        <w:rPr>
          <w:sz w:val="20"/>
          <w:szCs w:val="20"/>
          <w:color w:val="auto"/>
        </w:rPr>
      </w:pPr>
      <w:r>
        <w:rPr>
          <w:rFonts w:ascii="Arial" w:cs="Arial" w:eastAsia="Arial" w:hAnsi="Arial"/>
          <w:sz w:val="17"/>
          <w:szCs w:val="17"/>
          <w:color w:val="auto"/>
        </w:rPr>
        <w:t>Our ability to satisfy our rent obligations under the Master Lease and make scheduled payments on or to refinance our debt obligations depends on our financial condition and operating performance, which is subject to prevailing economic and competitive conditions and to certain financial, business, legislative, regulatory and other factors beyond our control. We cannot assure you that we will maintain a level of cash flows from operating activities sufficient to permit us to pay rent under the Master Lease and the principal, premium, if any, and interest on our indebtedness.</w:t>
      </w:r>
    </w:p>
    <w:p>
      <w:pPr>
        <w:spacing w:after="0" w:line="175" w:lineRule="exact"/>
        <w:rPr>
          <w:sz w:val="20"/>
          <w:szCs w:val="20"/>
          <w:color w:val="auto"/>
        </w:rPr>
      </w:pPr>
    </w:p>
    <w:p>
      <w:pPr>
        <w:ind w:right="20" w:firstLine="555"/>
        <w:spacing w:after="0" w:line="287" w:lineRule="auto"/>
        <w:rPr>
          <w:sz w:val="20"/>
          <w:szCs w:val="20"/>
          <w:color w:val="auto"/>
        </w:rPr>
      </w:pPr>
      <w:r>
        <w:rPr>
          <w:rFonts w:ascii="Arial" w:cs="Arial" w:eastAsia="Arial" w:hAnsi="Arial"/>
          <w:sz w:val="16"/>
          <w:szCs w:val="16"/>
          <w:color w:val="auto"/>
        </w:rPr>
        <w:t>If our cash flows and capital resources are insufficient to fund our debt service and rent obligations, we may be forced to reduce or delay investments and capital expenditures, or to sell assets, seek additional capital or restructure or refinance our indebtedness. These alternative measures may not be successful and may not permit us to meet our scheduled debt service and rent obligations. If our operating results and available cash are insufficient to meet our debt service and rent obligations,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 Additionally, the agreements governing our existing debt restrict sales of assets and limit the use of the proceeds from any disposition and our Master Lease limits our ability to dispose of leased properties; as a result, we may not be allowed, under these documents, to dispose of certain of our properties and use proceeds from such dispositions to satisfy all current debt service obligations.</w:t>
      </w:r>
    </w:p>
    <w:p>
      <w:pPr>
        <w:spacing w:after="0" w:line="27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The agreements governing our debt and the Master Lease impose significant operating and financial restrictions on us and our subsidiaries, which may prevent us from capitalizing on business opportunities.</w:t>
      </w:r>
    </w:p>
    <w:p>
      <w:pPr>
        <w:spacing w:after="0" w:line="68" w:lineRule="exact"/>
        <w:rPr>
          <w:sz w:val="20"/>
          <w:szCs w:val="20"/>
          <w:color w:val="auto"/>
        </w:rPr>
      </w:pPr>
    </w:p>
    <w:p>
      <w:pPr>
        <w:ind w:right="300" w:firstLine="555"/>
        <w:spacing w:after="0" w:line="271" w:lineRule="auto"/>
        <w:rPr>
          <w:sz w:val="20"/>
          <w:szCs w:val="20"/>
          <w:color w:val="auto"/>
        </w:rPr>
      </w:pPr>
      <w:r>
        <w:rPr>
          <w:rFonts w:ascii="Arial" w:cs="Arial" w:eastAsia="Arial" w:hAnsi="Arial"/>
          <w:sz w:val="18"/>
          <w:szCs w:val="18"/>
          <w:color w:val="auto"/>
        </w:rPr>
        <w:t>The agreements governing our existing debt impose significant operating and financial restrictions on us. These restrictions limit our ability, among other things, to:</w:t>
      </w:r>
    </w:p>
    <w:p>
      <w:pPr>
        <w:spacing w:after="0" w:line="68" w:lineRule="exact"/>
        <w:rPr>
          <w:sz w:val="20"/>
          <w:szCs w:val="20"/>
          <w:color w:val="auto"/>
        </w:rPr>
      </w:pPr>
    </w:p>
    <w:p>
      <w:pPr>
        <w:ind w:left="1100" w:hanging="544"/>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liens or other encumbrances;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or make other restricted payments;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agree to payment restrictions affecting our restricted subsidiaries;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prepay subordinated indebtedness;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investments, loans or other guarantees;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 or otherwise dispose of a portion of our assets; or</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acquisitions or merge or consolidate with another entity.</w:t>
      </w:r>
    </w:p>
    <w:p>
      <w:pPr>
        <w:spacing w:after="0" w:line="221" w:lineRule="exact"/>
        <w:rPr>
          <w:sz w:val="20"/>
          <w:szCs w:val="20"/>
          <w:color w:val="auto"/>
        </w:rPr>
      </w:pPr>
    </w:p>
    <w:p>
      <w:pPr>
        <w:ind w:right="380" w:firstLine="555"/>
        <w:spacing w:after="0" w:line="271" w:lineRule="auto"/>
        <w:rPr>
          <w:sz w:val="20"/>
          <w:szCs w:val="20"/>
          <w:color w:val="auto"/>
        </w:rPr>
      </w:pPr>
      <w:r>
        <w:rPr>
          <w:rFonts w:ascii="Arial" w:cs="Arial" w:eastAsia="Arial" w:hAnsi="Arial"/>
          <w:sz w:val="18"/>
          <w:szCs w:val="18"/>
          <w:color w:val="auto"/>
        </w:rPr>
        <w:t>In addition, the credit agreement governing the Credit Facility contains certain financial covenants, including minimum interest coverage ratio and maximum total leverage ratio covenants.</w:t>
      </w:r>
    </w:p>
    <w:p>
      <w:pPr>
        <w:spacing w:after="0" w:line="175"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A failure to comply with the covenants contained in the agreements governing our existing or future indebtedness could result in an event of default, which, if not cured or waived, could result in the acceleration of the indebtedness and have a material adverse effect on our business, financial condition and results of operations. If our indebtedness were to be accelerated, there can be no assurance that our assets would be sufficient to repay such indebtedness in full. Moreover, in the event that such indebtedness is accelerated, there can be no assurance that we will be able to refinance it on acceptable terms, or at all.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660" w:right="259" w:bottom="1440" w:gutter="0" w:footer="0" w:header="0"/>
        </w:sectPr>
      </w:pPr>
    </w:p>
    <w:bookmarkStart w:id="36" w:name="page37"/>
    <w:bookmarkEnd w:id="36"/>
    <w:p>
      <w:pPr>
        <w:jc w:val="both"/>
        <w:ind w:right="420" w:firstLine="555"/>
        <w:spacing w:after="0" w:line="282" w:lineRule="auto"/>
        <w:rPr>
          <w:sz w:val="20"/>
          <w:szCs w:val="20"/>
          <w:color w:val="auto"/>
        </w:rPr>
      </w:pPr>
      <w:r>
        <w:rPr>
          <w:rFonts w:ascii="Arial" w:cs="Arial" w:eastAsia="Arial" w:hAnsi="Arial"/>
          <w:sz w:val="17"/>
          <w:szCs w:val="17"/>
          <w:color w:val="auto"/>
        </w:rPr>
        <w:t>In addition, our Master Lease imposes restrictions on the business activities of the tenant, including restrictions on transfers of leased properties, requirements to make minimum specified levels of capital expenditures and limitations on the operation of the leased properties. The Master Lease also restricts payments of dividends if the tenant does not meet the specified minimum adjusted revenue to rent ratio.</w:t>
      </w:r>
    </w:p>
    <w:p>
      <w:pPr>
        <w:spacing w:after="0" w:line="167"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As a result of these covenants and restrictions, we are limited in how we conduct our business and we may be unable to raise additional debt or equity financing to compete effectively or to take advantage of new business opportunities. The restrictions caused by such covenants could also place us at a competitive disadvantage to our competitors.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could fluctuate significantly.</w:t>
      </w:r>
    </w:p>
    <w:p>
      <w:pPr>
        <w:spacing w:after="0" w:line="114" w:lineRule="exact"/>
        <w:rPr>
          <w:sz w:val="20"/>
          <w:szCs w:val="20"/>
          <w:color w:val="auto"/>
        </w:rPr>
      </w:pPr>
    </w:p>
    <w:p>
      <w:pPr>
        <w:jc w:val="both"/>
        <w:ind w:right="100" w:firstLine="555"/>
        <w:spacing w:after="0" w:line="307" w:lineRule="auto"/>
        <w:rPr>
          <w:sz w:val="20"/>
          <w:szCs w:val="20"/>
          <w:color w:val="auto"/>
        </w:rPr>
      </w:pPr>
      <w:r>
        <w:rPr>
          <w:rFonts w:ascii="Arial" w:cs="Arial" w:eastAsia="Arial" w:hAnsi="Arial"/>
          <w:sz w:val="16"/>
          <w:szCs w:val="16"/>
          <w:color w:val="auto"/>
        </w:rPr>
        <w:t>The U.S. securities markets in general have experienced significant price fluctuations in recent years. The market price of our common stock may be volatile and subject to wide fluctuations. In addition, the trading volume of our common stock may fluctuate and cause significant price variations to occur. Some of the factors that could cause fluctuations in, or have a material adverse effect on, the stock price or trading volume of our common stock include:</w:t>
      </w:r>
    </w:p>
    <w:p>
      <w:pPr>
        <w:spacing w:after="0" w:line="43" w:lineRule="exact"/>
        <w:rPr>
          <w:sz w:val="20"/>
          <w:szCs w:val="20"/>
          <w:color w:val="auto"/>
        </w:rPr>
      </w:pPr>
    </w:p>
    <w:p>
      <w:pPr>
        <w:ind w:left="1100" w:hanging="544"/>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market and economic conditions, including market conditions in the hotel and casino industries;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expected variations in operating results;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differences between actual operating results and those expected by investors and analysts;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recommendations by securities analysts;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operations and stock performance of competitors;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accounting charges, including charges relating to the impairment of goodwill;</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acquisitions or strategic alliances by us or by competitors;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our common stock or other securities in the future, including sales by our directors and officers or significant investors;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conditions and trends in the gaming and entertainment industries;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estimate of the future size and growth of our markets; and</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reserves for professional liability claims.</w:t>
      </w:r>
    </w:p>
    <w:p>
      <w:pPr>
        <w:spacing w:after="0" w:line="221"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We cannot assure you that the stock price of our common stock will not fluctuate or decline significantly in the future. In addition, the stock market in general can experience considerable price and volume fluctuations that may be unrelated to our performance. If the market price of our common stock fluctuates significantly, we may become the subject of securities class action litigation which may result in substantial costs and a diversion of management’s attention and resources.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historically paid dividends and may not pay dividends in the future.</w:t>
      </w:r>
    </w:p>
    <w:p>
      <w:pPr>
        <w:spacing w:after="0" w:line="114"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We do not currently expect to pay dividends on our common stock. Any determination to pay dividends in the future will be at the discretion of our board of directors and will depend upon among other factors, our earnings, cash requirements, financial condition, requirements to comply with the covenants under our debt instruments, legal considerations, and other factors that our board of directors deems relevant. In addition, the agreements governing our indebtedness restrict its ability to pay dividends. If we do not pay dividends, then the return on an investment in our common stock will depend entirely upon any future appreciation in our stock price. There is no guarantee that our common stock will appreciate in value or maintain its value.</w:t>
      </w:r>
    </w:p>
    <w:p>
      <w:pPr>
        <w:spacing w:after="0" w:line="26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4"/>
          <w:szCs w:val="14"/>
          <w:b w:val="1"/>
          <w:bCs w:val="1"/>
          <w:color w:val="auto"/>
        </w:rPr>
        <w:t>Unresolved Staff Comments.</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relating to the location and general characteristics of our properties is provided in Part I, Item I, Business, Properties.</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280"/>
          </w:cols>
          <w:pgMar w:left="240" w:top="553" w:right="379" w:bottom="1440" w:gutter="0" w:footer="0" w:header="0"/>
        </w:sectPr>
      </w:pPr>
    </w:p>
    <w:bookmarkStart w:id="37" w:name="page38"/>
    <w:bookmarkEnd w:id="37"/>
    <w:p>
      <w:pPr>
        <w:ind w:left="4"/>
        <w:spacing w:after="0"/>
        <w:rPr>
          <w:sz w:val="20"/>
          <w:szCs w:val="20"/>
          <w:color w:val="auto"/>
        </w:rPr>
      </w:pPr>
      <w:r>
        <w:rPr>
          <w:rFonts w:ascii="Arial" w:cs="Arial" w:eastAsia="Arial" w:hAnsi="Arial"/>
          <w:sz w:val="18"/>
          <w:szCs w:val="18"/>
          <w:color w:val="auto"/>
        </w:rPr>
        <w:t>As of December 31, 2019, our facilities located on property that we own or lease, were as follows:</w:t>
      </w:r>
    </w:p>
    <w:p>
      <w:pPr>
        <w:spacing w:after="0" w:line="114" w:lineRule="exact"/>
        <w:rPr>
          <w:sz w:val="20"/>
          <w:szCs w:val="20"/>
          <w:color w:val="auto"/>
        </w:rPr>
      </w:pPr>
    </w:p>
    <w:p>
      <w:pPr>
        <w:ind w:left="544" w:right="500" w:hanging="544"/>
        <w:spacing w:after="0" w:line="271" w:lineRule="auto"/>
        <w:tabs>
          <w:tab w:leader="none" w:pos="5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lease approximately 30,000 square feet on the approximately 159,000 square foot parcel on which Eldorado Reno is located, in Reno, Nevada.</w:t>
      </w:r>
    </w:p>
    <w:p>
      <w:pPr>
        <w:spacing w:after="0" w:line="67" w:lineRule="exact"/>
        <w:rPr>
          <w:rFonts w:ascii="Arial" w:cs="Arial" w:eastAsia="Arial" w:hAnsi="Arial"/>
          <w:sz w:val="18"/>
          <w:szCs w:val="18"/>
          <w:color w:val="auto"/>
        </w:rPr>
      </w:pPr>
    </w:p>
    <w:p>
      <w:pPr>
        <w:ind w:left="544" w:hanging="544"/>
        <w:spacing w:after="0"/>
        <w:tabs>
          <w:tab w:leader="none" w:pos="5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own approximately 15 acres in downtown Reno, Nevada.</w:t>
      </w:r>
    </w:p>
    <w:p>
      <w:pPr>
        <w:spacing w:after="0" w:line="114" w:lineRule="exact"/>
        <w:rPr>
          <w:rFonts w:ascii="Arial" w:cs="Arial" w:eastAsia="Arial" w:hAnsi="Arial"/>
          <w:sz w:val="18"/>
          <w:szCs w:val="18"/>
          <w:color w:val="auto"/>
        </w:rPr>
      </w:pPr>
    </w:p>
    <w:p>
      <w:pPr>
        <w:ind w:left="544" w:hanging="544"/>
        <w:spacing w:after="0"/>
        <w:tabs>
          <w:tab w:leader="none" w:pos="5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own five acres of land in Reno, Nevada where the Silver Legacy is located.</w:t>
      </w:r>
    </w:p>
    <w:p>
      <w:pPr>
        <w:spacing w:after="0" w:line="114" w:lineRule="exact"/>
        <w:rPr>
          <w:rFonts w:ascii="Arial" w:cs="Arial" w:eastAsia="Arial" w:hAnsi="Arial"/>
          <w:sz w:val="18"/>
          <w:szCs w:val="18"/>
          <w:color w:val="auto"/>
        </w:rPr>
      </w:pPr>
    </w:p>
    <w:p>
      <w:pPr>
        <w:ind w:left="544" w:hanging="544"/>
        <w:spacing w:after="0"/>
        <w:tabs>
          <w:tab w:leader="none" w:pos="544" w:val="left"/>
        </w:tabs>
        <w:numPr>
          <w:ilvl w:val="0"/>
          <w:numId w:val="25"/>
        </w:numPr>
        <w:rPr>
          <w:rFonts w:ascii="Arial" w:cs="Arial" w:eastAsia="Arial" w:hAnsi="Arial"/>
          <w:sz w:val="17"/>
          <w:szCs w:val="17"/>
          <w:color w:val="auto"/>
        </w:rPr>
      </w:pPr>
      <w:r>
        <w:rPr>
          <w:rFonts w:ascii="Arial" w:cs="Arial" w:eastAsia="Arial" w:hAnsi="Arial"/>
          <w:sz w:val="17"/>
          <w:szCs w:val="17"/>
          <w:color w:val="auto"/>
        </w:rPr>
        <w:t>Circus Reno leases approximately 36,000 square feet on the approximately 10 acres on which Circus Reno is located, in Reno, Nevada.</w:t>
      </w:r>
    </w:p>
    <w:p>
      <w:pPr>
        <w:spacing w:after="0" w:line="125" w:lineRule="exact"/>
        <w:rPr>
          <w:rFonts w:ascii="Arial" w:cs="Arial" w:eastAsia="Arial" w:hAnsi="Arial"/>
          <w:sz w:val="17"/>
          <w:szCs w:val="17"/>
          <w:color w:val="auto"/>
        </w:rPr>
      </w:pPr>
    </w:p>
    <w:p>
      <w:pPr>
        <w:ind w:left="544" w:hanging="544"/>
        <w:spacing w:after="0"/>
        <w:tabs>
          <w:tab w:leader="none" w:pos="5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lease approximately nine acres of land in Shreveport, Louisiana on which Eldorado Shreveport is located.</w:t>
      </w:r>
    </w:p>
    <w:p>
      <w:pPr>
        <w:spacing w:after="0" w:line="114" w:lineRule="exact"/>
        <w:rPr>
          <w:rFonts w:ascii="Arial" w:cs="Arial" w:eastAsia="Arial" w:hAnsi="Arial"/>
          <w:sz w:val="18"/>
          <w:szCs w:val="18"/>
          <w:color w:val="auto"/>
        </w:rPr>
      </w:pPr>
    </w:p>
    <w:p>
      <w:pPr>
        <w:ind w:left="544" w:hanging="544"/>
        <w:spacing w:after="0"/>
        <w:tabs>
          <w:tab w:leader="none" w:pos="5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Scioto Downs is located on approximately 208 acres of land that we own in Columbus, Ohio.</w:t>
      </w:r>
    </w:p>
    <w:p>
      <w:pPr>
        <w:spacing w:after="0" w:line="114" w:lineRule="exact"/>
        <w:rPr>
          <w:rFonts w:ascii="Arial" w:cs="Arial" w:eastAsia="Arial" w:hAnsi="Arial"/>
          <w:sz w:val="18"/>
          <w:szCs w:val="18"/>
          <w:color w:val="auto"/>
        </w:rPr>
      </w:pPr>
    </w:p>
    <w:p>
      <w:pPr>
        <w:ind w:left="544" w:right="960" w:hanging="544"/>
        <w:spacing w:after="0" w:line="220" w:lineRule="exact"/>
        <w:tabs>
          <w:tab w:leader="none" w:pos="5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own a six-acre site in Summit Township, Pennsylvania that formerly housed an off</w:t>
      </w:r>
      <w:r>
        <w:rPr>
          <w:rFonts w:ascii="MS PGothic" w:cs="MS PGothic" w:eastAsia="MS PGothic" w:hAnsi="MS PGothic"/>
          <w:sz w:val="18"/>
          <w:szCs w:val="18"/>
          <w:color w:val="auto"/>
        </w:rPr>
        <w:t>‑</w:t>
      </w:r>
      <w:r>
        <w:rPr>
          <w:rFonts w:ascii="Arial" w:cs="Arial" w:eastAsia="Arial" w:hAnsi="Arial"/>
          <w:sz w:val="18"/>
          <w:szCs w:val="18"/>
          <w:color w:val="auto"/>
        </w:rPr>
        <w:t>track wagering facility, which is considered non</w:t>
      </w:r>
      <w:r>
        <w:rPr>
          <w:rFonts w:ascii="MS PGothic" w:cs="MS PGothic" w:eastAsia="MS PGothic" w:hAnsi="MS PGothic"/>
          <w:sz w:val="18"/>
          <w:szCs w:val="18"/>
          <w:color w:val="auto"/>
        </w:rPr>
        <w:t>‑</w:t>
      </w:r>
      <w:r>
        <w:rPr>
          <w:rFonts w:ascii="Arial" w:cs="Arial" w:eastAsia="Arial" w:hAnsi="Arial"/>
          <w:sz w:val="18"/>
          <w:szCs w:val="18"/>
          <w:color w:val="auto"/>
        </w:rPr>
        <w:t>operating real property.</w:t>
      </w:r>
    </w:p>
    <w:p>
      <w:pPr>
        <w:spacing w:after="0" w:line="95" w:lineRule="exact"/>
        <w:rPr>
          <w:rFonts w:ascii="Arial" w:cs="Arial" w:eastAsia="Arial" w:hAnsi="Arial"/>
          <w:sz w:val="18"/>
          <w:szCs w:val="18"/>
          <w:color w:val="auto"/>
        </w:rPr>
      </w:pPr>
    </w:p>
    <w:p>
      <w:pPr>
        <w:ind w:left="544" w:hanging="544"/>
        <w:spacing w:after="0" w:line="255" w:lineRule="auto"/>
        <w:tabs>
          <w:tab w:leader="none" w:pos="5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own approximately 10 acres of land in Black Hawk, Colorado for use in connection with our Black Hawk operations. The property leases an additional parcel of land adjoining the Isle Black Hawk where the Lady Luck Hotel and parking lot are located. We own or lease approximately seven acres of land in Black Hawk, Colorado for use in connection with the Lady Luck Black Hawk. The property leases an additional parcel of land near the Lady Luck Black Hawk for parking as described above.</w:t>
      </w:r>
    </w:p>
    <w:p>
      <w:pPr>
        <w:spacing w:after="0" w:line="83" w:lineRule="exact"/>
        <w:rPr>
          <w:rFonts w:ascii="Arial" w:cs="Arial" w:eastAsia="Arial" w:hAnsi="Arial"/>
          <w:sz w:val="18"/>
          <w:szCs w:val="18"/>
          <w:color w:val="auto"/>
        </w:rPr>
      </w:pPr>
    </w:p>
    <w:p>
      <w:pPr>
        <w:ind w:left="544" w:right="480" w:hanging="544"/>
        <w:spacing w:after="0" w:line="271" w:lineRule="auto"/>
        <w:tabs>
          <w:tab w:leader="none" w:pos="5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own approximately 200 acres of land at Pompano. We have agreed to contribute a portion of this land to our joint venture project with Cordish.</w:t>
      </w:r>
    </w:p>
    <w:p>
      <w:pPr>
        <w:spacing w:after="0" w:line="67" w:lineRule="exact"/>
        <w:rPr>
          <w:rFonts w:ascii="Arial" w:cs="Arial" w:eastAsia="Arial" w:hAnsi="Arial"/>
          <w:sz w:val="18"/>
          <w:szCs w:val="18"/>
          <w:color w:val="auto"/>
        </w:rPr>
      </w:pPr>
    </w:p>
    <w:p>
      <w:pPr>
        <w:ind w:left="544" w:right="100" w:hanging="544"/>
        <w:spacing w:after="0" w:line="271" w:lineRule="auto"/>
        <w:tabs>
          <w:tab w:leader="none" w:pos="5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own approximately 2.7 acres and lease approximately 16.2 acres of land in Calcasieu Parish, Louisiana for use in connection with our Lake Charles operations.</w:t>
      </w:r>
    </w:p>
    <w:p>
      <w:pPr>
        <w:spacing w:after="0" w:line="67" w:lineRule="exact"/>
        <w:rPr>
          <w:rFonts w:ascii="Arial" w:cs="Arial" w:eastAsia="Arial" w:hAnsi="Arial"/>
          <w:sz w:val="18"/>
          <w:szCs w:val="18"/>
          <w:color w:val="auto"/>
        </w:rPr>
      </w:pPr>
    </w:p>
    <w:p>
      <w:pPr>
        <w:ind w:left="544" w:right="300" w:hanging="544"/>
        <w:spacing w:after="0" w:line="259" w:lineRule="auto"/>
        <w:tabs>
          <w:tab w:leader="none" w:pos="5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own approximately 24.6 acres of land in Bettendorf, Iowa used in connection with the operations of our Bettendorf property. We also operate under a long-term lease with the City of Bettendorf, the QC Waterfront Convention Center that is adjacent to our northernmost hotel tower. We also lease approximately eight acres of land on a month-to-month basis.</w:t>
      </w:r>
    </w:p>
    <w:p>
      <w:pPr>
        <w:spacing w:after="0" w:line="79" w:lineRule="exact"/>
        <w:rPr>
          <w:rFonts w:ascii="Arial" w:cs="Arial" w:eastAsia="Arial" w:hAnsi="Arial"/>
          <w:sz w:val="18"/>
          <w:szCs w:val="18"/>
          <w:color w:val="auto"/>
        </w:rPr>
      </w:pPr>
    </w:p>
    <w:p>
      <w:pPr>
        <w:ind w:left="544" w:hanging="544"/>
        <w:spacing w:after="0"/>
        <w:tabs>
          <w:tab w:leader="none" w:pos="5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own approximately 54 acres of land in Waterloo, Iowa used in connection with the operation of our Waterloo property.</w:t>
      </w:r>
    </w:p>
    <w:p>
      <w:pPr>
        <w:spacing w:after="0" w:line="114" w:lineRule="exact"/>
        <w:rPr>
          <w:rFonts w:ascii="Arial" w:cs="Arial" w:eastAsia="Arial" w:hAnsi="Arial"/>
          <w:sz w:val="18"/>
          <w:szCs w:val="18"/>
          <w:color w:val="auto"/>
        </w:rPr>
      </w:pPr>
    </w:p>
    <w:p>
      <w:pPr>
        <w:ind w:left="544" w:right="440" w:hanging="544"/>
        <w:spacing w:after="0" w:line="335" w:lineRule="auto"/>
        <w:tabs>
          <w:tab w:leader="none" w:pos="54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lease approximately 1,000 acres of land in Coahoma County, Mississippi and utilize approximately 50 acres in connection with the operations in Lula, Mississippi. We also own approximately 100 acres in Coahoma County, which may be utilized for future development.</w:t>
      </w:r>
    </w:p>
    <w:p>
      <w:pPr>
        <w:spacing w:after="0" w:line="21" w:lineRule="exact"/>
        <w:rPr>
          <w:rFonts w:ascii="Arial" w:cs="Arial" w:eastAsia="Arial" w:hAnsi="Arial"/>
          <w:sz w:val="16"/>
          <w:szCs w:val="16"/>
          <w:color w:val="auto"/>
        </w:rPr>
      </w:pPr>
    </w:p>
    <w:p>
      <w:pPr>
        <w:ind w:left="544" w:hanging="544"/>
        <w:spacing w:after="0"/>
        <w:tabs>
          <w:tab w:leader="none" w:pos="544"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own approximately 60 acres in Vicksburg, Mississippi which are used in connection with the operations of our Vicksburg property.</w:t>
      </w:r>
    </w:p>
    <w:p>
      <w:pPr>
        <w:spacing w:after="0" w:line="125" w:lineRule="exact"/>
        <w:rPr>
          <w:rFonts w:ascii="Arial" w:cs="Arial" w:eastAsia="Arial" w:hAnsi="Arial"/>
          <w:sz w:val="17"/>
          <w:szCs w:val="17"/>
          <w:color w:val="auto"/>
        </w:rPr>
      </w:pPr>
    </w:p>
    <w:p>
      <w:pPr>
        <w:ind w:left="544" w:hanging="544"/>
        <w:spacing w:after="0"/>
        <w:tabs>
          <w:tab w:leader="none" w:pos="5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lease our 27-acre casino site in Boonville, Missouri.</w:t>
      </w:r>
    </w:p>
    <w:p>
      <w:pPr>
        <w:spacing w:after="0" w:line="114" w:lineRule="exact"/>
        <w:rPr>
          <w:rFonts w:ascii="Arial" w:cs="Arial" w:eastAsia="Arial" w:hAnsi="Arial"/>
          <w:sz w:val="18"/>
          <w:szCs w:val="18"/>
          <w:color w:val="auto"/>
        </w:rPr>
      </w:pPr>
    </w:p>
    <w:p>
      <w:pPr>
        <w:ind w:left="544" w:hanging="544"/>
        <w:spacing w:after="0"/>
        <w:tabs>
          <w:tab w:leader="none" w:pos="5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lease approximately 28 acres of land in connection with the operation of our Kansas City property.</w:t>
      </w:r>
    </w:p>
    <w:p>
      <w:pPr>
        <w:spacing w:after="0" w:line="114" w:lineRule="exact"/>
        <w:rPr>
          <w:rFonts w:ascii="Arial" w:cs="Arial" w:eastAsia="Arial" w:hAnsi="Arial"/>
          <w:sz w:val="18"/>
          <w:szCs w:val="18"/>
          <w:color w:val="auto"/>
        </w:rPr>
      </w:pPr>
    </w:p>
    <w:p>
      <w:pPr>
        <w:ind w:left="544" w:hanging="544"/>
        <w:spacing w:after="0"/>
        <w:tabs>
          <w:tab w:leader="none" w:pos="5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lease approximately 18 acres of land and our casino and hotel in Atlantic City under the Master Lease.</w:t>
      </w:r>
    </w:p>
    <w:p>
      <w:pPr>
        <w:spacing w:after="0" w:line="114" w:lineRule="exact"/>
        <w:rPr>
          <w:rFonts w:ascii="Arial" w:cs="Arial" w:eastAsia="Arial" w:hAnsi="Arial"/>
          <w:sz w:val="18"/>
          <w:szCs w:val="18"/>
          <w:color w:val="auto"/>
        </w:rPr>
      </w:pPr>
    </w:p>
    <w:p>
      <w:pPr>
        <w:ind w:left="544" w:hanging="544"/>
        <w:spacing w:after="0"/>
        <w:tabs>
          <w:tab w:leader="none" w:pos="5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lease approximately 29 acres of land and our casino and two hotels in Evansville, Indiana under the Master Lease.</w:t>
      </w:r>
    </w:p>
    <w:p>
      <w:pPr>
        <w:spacing w:after="0" w:line="114" w:lineRule="exact"/>
        <w:rPr>
          <w:rFonts w:ascii="Arial" w:cs="Arial" w:eastAsia="Arial" w:hAnsi="Arial"/>
          <w:sz w:val="18"/>
          <w:szCs w:val="18"/>
          <w:color w:val="auto"/>
        </w:rPr>
      </w:pPr>
    </w:p>
    <w:p>
      <w:pPr>
        <w:ind w:left="544" w:hanging="544"/>
        <w:spacing w:after="0"/>
        <w:tabs>
          <w:tab w:leader="none" w:pos="5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lease approximately 94 acres of land, our casino and hotel in Laughlin, Nevada under the Master Lease.</w:t>
      </w:r>
    </w:p>
    <w:p>
      <w:pPr>
        <w:spacing w:after="0" w:line="114" w:lineRule="exact"/>
        <w:rPr>
          <w:rFonts w:ascii="Arial" w:cs="Arial" w:eastAsia="Arial" w:hAnsi="Arial"/>
          <w:sz w:val="18"/>
          <w:szCs w:val="18"/>
          <w:color w:val="auto"/>
        </w:rPr>
      </w:pPr>
    </w:p>
    <w:p>
      <w:pPr>
        <w:ind w:left="544" w:hanging="544"/>
        <w:spacing w:after="0"/>
        <w:tabs>
          <w:tab w:leader="none" w:pos="544"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lease approximately seven acres, our riverboat and land side casino and hotel in Greenville, Mississippi under the Master Lease.</w:t>
      </w:r>
    </w:p>
    <w:p>
      <w:pPr>
        <w:spacing w:after="0" w:line="125" w:lineRule="exact"/>
        <w:rPr>
          <w:rFonts w:ascii="Arial" w:cs="Arial" w:eastAsia="Arial" w:hAnsi="Arial"/>
          <w:sz w:val="17"/>
          <w:szCs w:val="17"/>
          <w:color w:val="auto"/>
        </w:rPr>
      </w:pPr>
    </w:p>
    <w:p>
      <w:pPr>
        <w:ind w:left="544" w:right="100" w:hanging="544"/>
        <w:spacing w:after="0" w:line="271" w:lineRule="auto"/>
        <w:tabs>
          <w:tab w:leader="none" w:pos="5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lease approximate 18 acres of land, our dockside gaming facility and a hotel in Baton Rouge, Louisiana. Approximately 14 acres are leased under the Master Lease, while the remainder are leased from unrelated third parties.</w:t>
      </w:r>
    </w:p>
    <w:p>
      <w:pPr>
        <w:spacing w:after="0" w:line="67" w:lineRule="exact"/>
        <w:rPr>
          <w:rFonts w:ascii="Arial" w:cs="Arial" w:eastAsia="Arial" w:hAnsi="Arial"/>
          <w:sz w:val="18"/>
          <w:szCs w:val="18"/>
          <w:color w:val="auto"/>
        </w:rPr>
      </w:pPr>
    </w:p>
    <w:p>
      <w:pPr>
        <w:ind w:left="544" w:right="20" w:hanging="544"/>
        <w:spacing w:after="0" w:line="271" w:lineRule="auto"/>
        <w:tabs>
          <w:tab w:leader="none" w:pos="5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own approximately 19 acres of land and our gaming facility and hotels in St. Louis, Missouri related to our Lumière casino. The purchase of this real property was financed under the Lumière Loan.</w:t>
      </w:r>
    </w:p>
    <w:p>
      <w:pPr>
        <w:spacing w:after="0" w:line="67" w:lineRule="exact"/>
        <w:rPr>
          <w:rFonts w:ascii="Arial" w:cs="Arial" w:eastAsia="Arial" w:hAnsi="Arial"/>
          <w:sz w:val="18"/>
          <w:szCs w:val="18"/>
          <w:color w:val="auto"/>
        </w:rPr>
      </w:pPr>
    </w:p>
    <w:p>
      <w:pPr>
        <w:ind w:left="544" w:right="460" w:hanging="544"/>
        <w:spacing w:after="0" w:line="271" w:lineRule="auto"/>
        <w:tabs>
          <w:tab w:leader="none" w:pos="5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lease approximately 21 acres of land in South Lake Tahoe, Nevada, on which our casino and hotel facilities and related parking lot are located.</w:t>
      </w:r>
    </w:p>
    <w:p>
      <w:pPr>
        <w:spacing w:after="0" w:line="67" w:lineRule="exact"/>
        <w:rPr>
          <w:rFonts w:ascii="Arial" w:cs="Arial" w:eastAsia="Arial" w:hAnsi="Arial"/>
          <w:sz w:val="18"/>
          <w:szCs w:val="18"/>
          <w:color w:val="auto"/>
        </w:rPr>
      </w:pPr>
    </w:p>
    <w:p>
      <w:pPr>
        <w:ind w:left="544" w:hanging="544"/>
        <w:spacing w:after="0"/>
        <w:tabs>
          <w:tab w:leader="none" w:pos="5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lease our corporate offices in Reno, Nevada, Creve Coeur, Missouri and Las Vegas, Nevada.</w:t>
      </w:r>
    </w:p>
    <w:p>
      <w:pPr>
        <w:spacing w:after="0" w:line="221" w:lineRule="exact"/>
        <w:rPr>
          <w:sz w:val="20"/>
          <w:szCs w:val="20"/>
          <w:color w:val="auto"/>
        </w:rPr>
      </w:pPr>
    </w:p>
    <w:p>
      <w:pPr>
        <w:jc w:val="center"/>
        <w:ind w:right="536"/>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69215</wp:posOffset>
            </wp:positionV>
            <wp:extent cx="7273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0864"/>
          </w:cols>
          <w:pgMar w:left="796" w:top="553" w:right="239" w:bottom="1440" w:gutter="0" w:footer="0" w:header="0"/>
        </w:sectPr>
      </w:pPr>
    </w:p>
    <w:bookmarkStart w:id="38" w:name="page39"/>
    <w:bookmarkEnd w:id="38"/>
    <w:p>
      <w:pPr>
        <w:ind w:right="20" w:firstLine="555"/>
        <w:spacing w:after="0" w:line="301" w:lineRule="auto"/>
        <w:rPr>
          <w:sz w:val="20"/>
          <w:szCs w:val="20"/>
          <w:color w:val="auto"/>
        </w:rPr>
      </w:pPr>
      <w:r>
        <w:rPr>
          <w:rFonts w:ascii="Arial" w:cs="Arial" w:eastAsia="Arial" w:hAnsi="Arial"/>
          <w:sz w:val="17"/>
          <w:szCs w:val="17"/>
          <w:color w:val="auto"/>
        </w:rPr>
        <w:t>We own additional property and have various property leases and options to either lease or purchase property that are not directly related to our existing operations and that may be utilized in the future in connection with expansion projects at our existing facilities or development of new projects.</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Substantially all of our assets are pledged to secure our outstanding indebtedness under the senior notes and credit obligations.</w:t>
      </w:r>
    </w:p>
    <w:p>
      <w:pPr>
        <w:spacing w:after="0" w:line="32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118" w:lineRule="exact"/>
        <w:rPr>
          <w:sz w:val="20"/>
          <w:szCs w:val="20"/>
          <w:color w:val="auto"/>
        </w:rPr>
      </w:pPr>
    </w:p>
    <w:p>
      <w:pPr>
        <w:ind w:right="300" w:firstLine="555"/>
        <w:spacing w:after="0" w:line="255" w:lineRule="auto"/>
        <w:rPr>
          <w:sz w:val="20"/>
          <w:szCs w:val="20"/>
          <w:color w:val="auto"/>
        </w:rPr>
      </w:pPr>
      <w:r>
        <w:rPr>
          <w:rFonts w:ascii="Arial" w:cs="Arial" w:eastAsia="Arial" w:hAnsi="Arial"/>
          <w:sz w:val="18"/>
          <w:szCs w:val="18"/>
          <w:color w:val="auto"/>
        </w:rPr>
        <w:t>We are parties to various legal proceedings. Such proceedings can be costly, time consuming and unpredictable and, therefore, no assurance can be given that the final outcome of such proceedings will not materially impact our consolidated financial condition or results of operations. While we maintain insurance coverage that we believe is adequate to mitigate the risks of such proceedings, no assurance can be given that the amount or scope of existing insurance coverage will be sufficient to cover losses arising from such matters.</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Merger Litigation</w:t>
      </w:r>
    </w:p>
    <w:p>
      <w:pPr>
        <w:spacing w:after="0" w:line="114" w:lineRule="exact"/>
        <w:rPr>
          <w:sz w:val="20"/>
          <w:szCs w:val="20"/>
          <w:color w:val="auto"/>
        </w:rPr>
      </w:pPr>
    </w:p>
    <w:p>
      <w:pPr>
        <w:ind w:right="40" w:firstLine="555"/>
        <w:spacing w:after="0" w:line="267" w:lineRule="auto"/>
        <w:rPr>
          <w:sz w:val="20"/>
          <w:szCs w:val="20"/>
          <w:color w:val="auto"/>
        </w:rPr>
      </w:pPr>
      <w:r>
        <w:rPr>
          <w:rFonts w:ascii="Arial" w:cs="Arial" w:eastAsia="Arial" w:hAnsi="Arial"/>
          <w:sz w:val="17"/>
          <w:szCs w:val="17"/>
          <w:color w:val="auto"/>
        </w:rPr>
        <w:t xml:space="preserve">Eight putative class action lawsuits have been filed in connection with the Merger. The Company has been named as a party in three of such actions: </w:t>
      </w:r>
      <w:r>
        <w:rPr>
          <w:rFonts w:ascii="Arial" w:cs="Arial" w:eastAsia="Arial" w:hAnsi="Arial"/>
          <w:sz w:val="17"/>
          <w:szCs w:val="17"/>
          <w:i w:val="1"/>
          <w:iCs w:val="1"/>
          <w:color w:val="auto"/>
        </w:rPr>
        <w:t>Cazer v. Caesars Entertainment Corp., et al</w:t>
      </w:r>
      <w:r>
        <w:rPr>
          <w:rFonts w:ascii="Arial" w:cs="Arial" w:eastAsia="Arial" w:hAnsi="Arial"/>
          <w:sz w:val="17"/>
          <w:szCs w:val="17"/>
          <w:color w:val="auto"/>
        </w:rPr>
        <w:t>, Civil Action No. A-19-801900-C, Eighth Judicial District Court Clark County, Nevada (9/13/2019),</w:t>
      </w:r>
      <w:r>
        <w:rPr>
          <w:rFonts w:ascii="Arial" w:cs="Arial" w:eastAsia="Arial" w:hAnsi="Arial"/>
          <w:sz w:val="17"/>
          <w:szCs w:val="17"/>
          <w:i w:val="1"/>
          <w:iCs w:val="1"/>
          <w:color w:val="auto"/>
        </w:rPr>
        <w:t xml:space="preserve"> Gershman v. Caesars Entertainment Corp., et al</w:t>
      </w:r>
      <w:r>
        <w:rPr>
          <w:rFonts w:ascii="Arial" w:cs="Arial" w:eastAsia="Arial" w:hAnsi="Arial"/>
          <w:sz w:val="17"/>
          <w:szCs w:val="17"/>
          <w:color w:val="auto"/>
        </w:rPr>
        <w:t>, Civil Action No 1:19-cv-01720-UNA, United States District Court for the District of Delaware (9/12/2019), and</w:t>
      </w:r>
      <w:r>
        <w:rPr>
          <w:rFonts w:ascii="Arial" w:cs="Arial" w:eastAsia="Arial" w:hAnsi="Arial"/>
          <w:sz w:val="17"/>
          <w:szCs w:val="17"/>
          <w:i w:val="1"/>
          <w:iCs w:val="1"/>
          <w:color w:val="auto"/>
        </w:rPr>
        <w:t xml:space="preserve"> Palkon v. Caesars Entertainment Corp., et al</w:t>
      </w:r>
      <w:r>
        <w:rPr>
          <w:rFonts w:ascii="Arial" w:cs="Arial" w:eastAsia="Arial" w:hAnsi="Arial"/>
          <w:sz w:val="17"/>
          <w:szCs w:val="17"/>
          <w:color w:val="auto"/>
        </w:rPr>
        <w:t>, Civil Action No. 1:19-cv-01679-UNA, United States District Court for the District of Delaware (9/9/2019). In general,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complaints assert claims under sections 14(a), 20(a) and Rule 14a-9 of the Securities Exchange Act of 1934 challenging the adequacy of certain disclosures in the joint proxy statement/prospectus filed in connection with the Merger. In addition, one of the complaints alleges state law breach of fiduciary duty claims against the Caesars directors. The complaints seek, among other relief, an injunction preventing consummation of the Merger, damages in the event that the Merger is consummated and attorneys’ fees. The parties to the litigation have an agreement in principle to settle the claims. However, there can be no assurances that the claims will be settled on the expected terms or at all.</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Securities Action</w:t>
      </w:r>
    </w:p>
    <w:p>
      <w:pPr>
        <w:spacing w:after="0" w:line="114" w:lineRule="exact"/>
        <w:rPr>
          <w:sz w:val="20"/>
          <w:szCs w:val="20"/>
          <w:color w:val="auto"/>
        </w:rPr>
      </w:pPr>
    </w:p>
    <w:p>
      <w:pPr>
        <w:ind w:firstLine="555"/>
        <w:spacing w:after="0" w:line="283" w:lineRule="auto"/>
        <w:rPr>
          <w:sz w:val="20"/>
          <w:szCs w:val="20"/>
          <w:color w:val="auto"/>
        </w:rPr>
      </w:pPr>
      <w:r>
        <w:rPr>
          <w:rFonts w:ascii="Arial" w:cs="Arial" w:eastAsia="Arial" w:hAnsi="Arial"/>
          <w:sz w:val="16"/>
          <w:szCs w:val="16"/>
          <w:color w:val="auto"/>
        </w:rPr>
        <w:t xml:space="preserve">On September 23, 2019, the Company and certain of its officers were named as defendants in a putative class action complaint filed in the United States District Court for the District of New Jersey and captioned as </w:t>
      </w:r>
      <w:r>
        <w:rPr>
          <w:rFonts w:ascii="Arial" w:cs="Arial" w:eastAsia="Arial" w:hAnsi="Arial"/>
          <w:sz w:val="16"/>
          <w:szCs w:val="16"/>
          <w:i w:val="1"/>
          <w:iCs w:val="1"/>
          <w:color w:val="auto"/>
        </w:rPr>
        <w:t>Elberts v. Eldorado Resorts, Inc.</w:t>
      </w:r>
      <w:r>
        <w:rPr>
          <w:rFonts w:ascii="Arial" w:cs="Arial" w:eastAsia="Arial" w:hAnsi="Arial"/>
          <w:sz w:val="16"/>
          <w:szCs w:val="16"/>
          <w:color w:val="auto"/>
        </w:rPr>
        <w:t>, Case No. 2:19-cv-18230-SRC-CLW. The complaint asserts violations of Sections 10(b) and 20(a) of the Securities Exchange Act of 1934 and SEC Rule 10b-5 promulgated under the Securities Exchange Act of 1934. The complaint alleges that the Company made material misstatements and/or omissions during the period from March 1, 2019 through September 2,</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2019. The allegations relate to disclosure concerning the subpoenas that certain of the Company’s directors and officers received from the SEC, which have been previously disclosed in the proxy statement/prospectus filed by the Company relating to the pending transaction with Caesars. The SEC investigation is ongoing. The complaint seeks unspecified damages on behalf of all persons and entities who purchased the Company’s securities during the period from March 1, 2019 through September 2, 2019. The Boston Retirement System has been named as the lead plaintiff. The Company intends to vigorously defend itself against these claims.</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w:t>
      </w:r>
    </w:p>
    <w:p>
      <w:pPr>
        <w:spacing w:after="0" w:line="114" w:lineRule="exact"/>
        <w:rPr>
          <w:sz w:val="20"/>
          <w:szCs w:val="20"/>
          <w:color w:val="auto"/>
        </w:rPr>
      </w:pPr>
    </w:p>
    <w:p>
      <w:pPr>
        <w:jc w:val="both"/>
        <w:ind w:right="20" w:firstLine="555"/>
        <w:spacing w:after="0" w:line="307" w:lineRule="auto"/>
        <w:rPr>
          <w:sz w:val="20"/>
          <w:szCs w:val="20"/>
          <w:color w:val="auto"/>
        </w:rPr>
      </w:pPr>
      <w:r>
        <w:rPr>
          <w:rFonts w:ascii="Arial" w:cs="Arial" w:eastAsia="Arial" w:hAnsi="Arial"/>
          <w:sz w:val="16"/>
          <w:szCs w:val="16"/>
          <w:color w:val="auto"/>
        </w:rPr>
        <w:t>In addition, we are a party to various legal and administrative proceedings, which have arisen in the normal course of our business. Estimated losses are accrued for these proceedings when the loss is probable and can be estimated. The current liability for the estimated losses associated with these proceedings is not material to our consolidated financial condition and those estimated losses are not expected to have a material impact on our results of operations.</w:t>
      </w:r>
    </w:p>
    <w:p>
      <w:pPr>
        <w:spacing w:after="0" w:line="25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and Related Stockholder Matters and Issuer Purchases of Equity Securities.</w:t>
      </w:r>
    </w:p>
    <w:p>
      <w:pPr>
        <w:spacing w:after="0" w:line="118" w:lineRule="exact"/>
        <w:rPr>
          <w:sz w:val="20"/>
          <w:szCs w:val="20"/>
          <w:color w:val="auto"/>
        </w:rPr>
      </w:pPr>
    </w:p>
    <w:p>
      <w:pPr>
        <w:ind w:right="140" w:firstLine="555"/>
        <w:spacing w:after="0" w:line="301" w:lineRule="auto"/>
        <w:rPr>
          <w:sz w:val="20"/>
          <w:szCs w:val="20"/>
          <w:color w:val="auto"/>
        </w:rPr>
      </w:pPr>
      <w:r>
        <w:rPr>
          <w:rFonts w:ascii="Arial" w:cs="Arial" w:eastAsia="Arial" w:hAnsi="Arial"/>
          <w:sz w:val="17"/>
          <w:szCs w:val="17"/>
          <w:color w:val="auto"/>
        </w:rPr>
        <w:t>Our Common Stock is quoted on the NASDAQ Global Select Market under the symbol “ERI”. On February 24, 2020, the NASDAQ Official Closing Price for our common stock was $62.99. As of February 24, 2020, there were approximately 267 holders of record of our common stock.</w:t>
      </w:r>
    </w:p>
    <w:p>
      <w:pPr>
        <w:spacing w:after="0" w:line="152" w:lineRule="exact"/>
        <w:rPr>
          <w:sz w:val="20"/>
          <w:szCs w:val="20"/>
          <w:color w:val="auto"/>
        </w:rPr>
      </w:pPr>
    </w:p>
    <w:p>
      <w:pPr>
        <w:ind w:right="140" w:firstLine="555"/>
        <w:spacing w:after="0" w:line="290" w:lineRule="auto"/>
        <w:rPr>
          <w:sz w:val="20"/>
          <w:szCs w:val="20"/>
          <w:color w:val="auto"/>
        </w:rPr>
      </w:pPr>
      <w:r>
        <w:rPr>
          <w:rFonts w:ascii="Arial" w:cs="Arial" w:eastAsia="Arial" w:hAnsi="Arial"/>
          <w:sz w:val="16"/>
          <w:szCs w:val="16"/>
          <w:color w:val="auto"/>
        </w:rPr>
        <w:t xml:space="preserve">We have not paid any cash dividends on our common stock. We intend to retain all of our earnings to finance the development of our business, and thus, do not anticipate paying cash dividends on our common stock for the foreseeable future. Payment of any cash dividends in the future will be at the discretion of our Board of Directors and will depend upon, among other things, our future earnings, operations and capital requirements, our general financial condition and general business conditions. In addition, our senior secured credit facility and senior notes restrict, among other things, our ability to pay dividends. In addition, the Master Lease prohibits, and future financing arrangements may prohibit, the payment of dividends under certain conditions. For further information relating to our and our subsidiaries’ dividend policies, see Part II, Item 7,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included in this report.</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18" w:lineRule="exact"/>
        <w:rPr>
          <w:sz w:val="20"/>
          <w:szCs w:val="20"/>
          <w:color w:val="auto"/>
        </w:rPr>
      </w:pPr>
    </w:p>
    <w:p>
      <w:pPr>
        <w:ind w:right="320" w:firstLine="555"/>
        <w:spacing w:after="0" w:line="271" w:lineRule="auto"/>
        <w:rPr>
          <w:sz w:val="20"/>
          <w:szCs w:val="20"/>
          <w:color w:val="auto"/>
        </w:rPr>
      </w:pPr>
      <w:r>
        <w:rPr>
          <w:rFonts w:ascii="Arial" w:cs="Arial" w:eastAsia="Arial" w:hAnsi="Arial"/>
          <w:sz w:val="18"/>
          <w:szCs w:val="18"/>
          <w:color w:val="auto"/>
        </w:rPr>
        <w:t>The following table sets forth information as of December 31, 2019, with respect to compensation plans under which equity securities that we have authorized for issuance.</w:t>
      </w: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Number of securities to</w:t>
            </w:r>
          </w:p>
        </w:tc>
        <w:tc>
          <w:tcPr>
            <w:tcW w:w="1300" w:type="dxa"/>
            <w:vAlign w:val="bottom"/>
            <w:gridSpan w:val="3"/>
            <w:vMerge w:val="continue"/>
          </w:tcPr>
          <w:p>
            <w:pPr>
              <w:spacing w:after="0"/>
              <w:rPr>
                <w:sz w:val="12"/>
                <w:szCs w:val="12"/>
                <w:color w:val="auto"/>
              </w:rPr>
            </w:pPr>
          </w:p>
        </w:tc>
        <w:tc>
          <w:tcPr>
            <w:tcW w:w="13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30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w w:val="88"/>
              </w:rPr>
              <w:t>exercise price of</w:t>
            </w:r>
          </w:p>
        </w:tc>
        <w:tc>
          <w:tcPr>
            <w:tcW w:w="13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6"/>
              </w:rPr>
              <w:t>be issued upon exercise</w:t>
            </w:r>
          </w:p>
        </w:tc>
        <w:tc>
          <w:tcPr>
            <w:tcW w:w="130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89"/>
              </w:rPr>
              <w:t>outstanding</w:t>
            </w:r>
          </w:p>
        </w:tc>
        <w:tc>
          <w:tcPr>
            <w:tcW w:w="13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7"/>
              </w:rPr>
              <w:t>(excluding securities</w:t>
            </w:r>
          </w:p>
        </w:tc>
        <w:tc>
          <w:tcPr>
            <w:tcW w:w="0" w:type="dxa"/>
            <w:vAlign w:val="bottom"/>
          </w:tcPr>
          <w:p>
            <w:pPr>
              <w:spacing w:after="0"/>
              <w:rPr>
                <w:sz w:val="1"/>
                <w:szCs w:val="1"/>
                <w:color w:val="auto"/>
              </w:rPr>
            </w:pPr>
          </w:p>
        </w:tc>
      </w:tr>
      <w:tr>
        <w:trPr>
          <w:trHeight w:val="147"/>
        </w:trPr>
        <w:tc>
          <w:tcPr>
            <w:tcW w:w="5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7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9"/>
              </w:rPr>
              <w:t>of outstanding options,</w:t>
            </w:r>
          </w:p>
        </w:tc>
        <w:tc>
          <w:tcPr>
            <w:tcW w:w="130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92"/>
              </w:rPr>
              <w:t>options, warrants</w:t>
            </w:r>
          </w:p>
        </w:tc>
        <w:tc>
          <w:tcPr>
            <w:tcW w:w="13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1"/>
              </w:rPr>
              <w:t>reflected in column</w:t>
            </w:r>
          </w:p>
        </w:tc>
        <w:tc>
          <w:tcPr>
            <w:tcW w:w="0" w:type="dxa"/>
            <w:vAlign w:val="bottom"/>
          </w:tcPr>
          <w:p>
            <w:pPr>
              <w:spacing w:after="0"/>
              <w:rPr>
                <w:sz w:val="1"/>
                <w:szCs w:val="1"/>
                <w:color w:val="auto"/>
              </w:rPr>
            </w:pPr>
          </w:p>
        </w:tc>
      </w:tr>
      <w:tr>
        <w:trPr>
          <w:trHeight w:val="170"/>
        </w:trPr>
        <w:tc>
          <w:tcPr>
            <w:tcW w:w="5860" w:type="dxa"/>
            <w:vAlign w:val="bottom"/>
            <w:gridSpan w:val="3"/>
            <w:vMerge w:val="continue"/>
          </w:tcPr>
          <w:p>
            <w:pPr>
              <w:spacing w:after="0"/>
              <w:rPr>
                <w:sz w:val="14"/>
                <w:szCs w:val="14"/>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warrants and rights</w:t>
            </w: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and rights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275"/>
              <w:spacing w:after="0" w:line="154" w:lineRule="exact"/>
              <w:rPr>
                <w:sz w:val="20"/>
                <w:szCs w:val="20"/>
                <w:color w:val="auto"/>
              </w:rPr>
            </w:pPr>
            <w:r>
              <w:rPr>
                <w:rFonts w:ascii="Arial" w:cs="Arial" w:eastAsia="Arial" w:hAnsi="Arial"/>
                <w:sz w:val="14"/>
                <w:szCs w:val="14"/>
                <w:b w:val="1"/>
                <w:bCs w:val="1"/>
                <w:color w:val="auto"/>
                <w:w w:val="89"/>
              </w:rPr>
              <w:t>(b)</w:t>
            </w:r>
          </w:p>
        </w:tc>
        <w:tc>
          <w:tcPr>
            <w:tcW w:w="220" w:type="dxa"/>
            <w:vAlign w:val="bottom"/>
          </w:tcPr>
          <w:p>
            <w:pPr>
              <w:spacing w:after="0"/>
              <w:rPr>
                <w:sz w:val="13"/>
                <w:szCs w:val="13"/>
                <w:color w:val="auto"/>
              </w:rPr>
            </w:pPr>
          </w:p>
        </w:tc>
        <w:tc>
          <w:tcPr>
            <w:tcW w:w="1280" w:type="dxa"/>
            <w:vAlign w:val="bottom"/>
            <w:tcBorders>
              <w:top w:val="single" w:sz="8" w:color="auto"/>
            </w:tcBorders>
          </w:tcPr>
          <w:p>
            <w:pPr>
              <w:jc w:val="right"/>
              <w:ind w:right="284"/>
              <w:spacing w:after="0" w:line="154" w:lineRule="exact"/>
              <w:rPr>
                <w:sz w:val="20"/>
                <w:szCs w:val="20"/>
                <w:color w:val="auto"/>
              </w:rPr>
            </w:pPr>
            <w:r>
              <w:rPr>
                <w:rFonts w:ascii="Arial" w:cs="Arial" w:eastAsia="Arial" w:hAnsi="Arial"/>
                <w:sz w:val="14"/>
                <w:szCs w:val="14"/>
                <w:b w:val="1"/>
                <w:bCs w:val="1"/>
                <w:color w:val="auto"/>
              </w:rPr>
              <w:t>(c)</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MTR Gaming Group, Inc. 2010 Long Term</w:t>
            </w:r>
          </w:p>
        </w:tc>
        <w:tc>
          <w:tcPr>
            <w:tcW w:w="1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Incentive Plan</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30,600</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5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Isle of Capri Casinos, Inc. Second Amended and</w:t>
            </w:r>
          </w:p>
        </w:tc>
        <w:tc>
          <w:tcPr>
            <w:tcW w:w="1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Restated 2009 Long Term Stock Incentive Plan</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112,082</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5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Eldorado Resorts, Inc. 2015 Equity Incentive Plan</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1,423,149</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37.05</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3,997,287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firstLine="555"/>
        <w:spacing w:after="0" w:line="275" w:lineRule="auto"/>
        <w:rPr>
          <w:sz w:val="20"/>
          <w:szCs w:val="20"/>
          <w:color w:val="auto"/>
        </w:rPr>
      </w:pPr>
      <w:r>
        <w:rPr>
          <w:rFonts w:ascii="Arial" w:cs="Arial" w:eastAsia="Arial" w:hAnsi="Arial"/>
          <w:sz w:val="17"/>
          <w:szCs w:val="17"/>
          <w:color w:val="auto"/>
        </w:rPr>
        <w:t>The Eldorado Resorts, Inc. 2015 Equity Incentive Plan, as amended on June 24, 2019, the Isle of Capri Casinos, Inc. Second Amended and Restated 2009 Long Term Incentive Plan and the MTR Gaming Group, Inc. 2010 Long Term Incentive Plan were approved by stockholders. No future equity awards will be made pursuant to the Isle of Capri Casinos, Inc. Second Amended and Restated 2009 Long Term Incentive Plan and the MTR Gaming Group, Inc. 2010 Long Term Incentive Plan. However, outstanding awards granted under the acquired plans will continue unaffected.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18" w:lineRule="exact"/>
        <w:rPr>
          <w:sz w:val="20"/>
          <w:szCs w:val="20"/>
          <w:color w:val="auto"/>
        </w:rPr>
      </w:pPr>
    </w:p>
    <w:p>
      <w:pPr>
        <w:ind w:right="60" w:firstLine="555"/>
        <w:spacing w:after="0" w:line="254" w:lineRule="auto"/>
        <w:rPr>
          <w:sz w:val="20"/>
          <w:szCs w:val="20"/>
          <w:color w:val="auto"/>
        </w:rPr>
      </w:pPr>
      <w:r>
        <w:rPr>
          <w:rFonts w:ascii="Arial" w:cs="Arial" w:eastAsia="Arial" w:hAnsi="Arial"/>
          <w:sz w:val="18"/>
          <w:szCs w:val="18"/>
          <w:color w:val="auto"/>
        </w:rPr>
        <w:t>In November 2018, the Company’s board of directors authorized a common stock repurchase program of up to $150 million of stock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spacing w:after="0" w:line="189" w:lineRule="exact"/>
        <w:rPr>
          <w:sz w:val="20"/>
          <w:szCs w:val="20"/>
          <w:color w:val="auto"/>
        </w:rPr>
      </w:pPr>
    </w:p>
    <w:p>
      <w:pPr>
        <w:ind w:right="320" w:firstLine="555"/>
        <w:spacing w:after="0" w:line="271" w:lineRule="auto"/>
        <w:rPr>
          <w:sz w:val="20"/>
          <w:szCs w:val="20"/>
          <w:color w:val="auto"/>
        </w:rPr>
      </w:pPr>
      <w:r>
        <w:rPr>
          <w:rFonts w:ascii="Arial" w:cs="Arial" w:eastAsia="Arial" w:hAnsi="Arial"/>
          <w:sz w:val="18"/>
          <w:szCs w:val="18"/>
          <w:color w:val="auto"/>
        </w:rPr>
        <w:t>The Company acquired 223,823 shares of common stock at an aggregate value of $9.1 million and an average of $40.80 per share during the fourth quarter of 2018. No shares were acquired in 2019.</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18"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The following graph demonstrates a comparison of cumulative total returns of the Company, the NASDAQ Market Index (which is considered to be a broad index) and the Dow Jones US Gambling Index for the period since our common stock began trading on September 22, 2014. The following graph assumes $100 invested in each of the above groups and the reinvestment of dividends,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127635</wp:posOffset>
            </wp:positionV>
            <wp:extent cx="5701665" cy="30251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01665" cy="302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Past stock price performance is not necessarily indicative of future results. The performance graph should not be deemed filed or incorporated by reference into any other of our filings under the Securities Act of 1933 or the Exchange Act of 1934, unless we specifically incorporate the performance graph by reference therein.</w:t>
      </w:r>
    </w:p>
    <w:p>
      <w:pPr>
        <w:spacing w:after="0" w:line="28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18" w:lineRule="exact"/>
        <w:rPr>
          <w:sz w:val="20"/>
          <w:szCs w:val="20"/>
          <w:color w:val="auto"/>
        </w:rPr>
      </w:pPr>
    </w:p>
    <w:p>
      <w:pPr>
        <w:ind w:right="20" w:firstLine="555"/>
        <w:spacing w:after="0" w:line="275" w:lineRule="auto"/>
        <w:rPr>
          <w:sz w:val="20"/>
          <w:szCs w:val="20"/>
          <w:color w:val="auto"/>
        </w:rPr>
      </w:pPr>
      <w:r>
        <w:rPr>
          <w:rFonts w:ascii="Arial" w:cs="Arial" w:eastAsia="Arial" w:hAnsi="Arial"/>
          <w:sz w:val="17"/>
          <w:szCs w:val="17"/>
          <w:color w:val="auto"/>
        </w:rPr>
        <w:t>The following table sets forth selected consolidated financial data of the Company as of and for each of the five years ended December 31, 2019. This information should be read in conjunction with “</w:t>
      </w:r>
      <w:r>
        <w:rPr>
          <w:rFonts w:ascii="Arial" w:cs="Arial" w:eastAsia="Arial" w:hAnsi="Arial"/>
          <w:sz w:val="17"/>
          <w:szCs w:val="17"/>
          <w:i w:val="1"/>
          <w:iCs w:val="1"/>
          <w:color w:val="auto"/>
        </w:rPr>
        <w:t>Item 7 – Management’s Discussion and Analysis of Financial Condition and Results of Operations</w:t>
      </w:r>
      <w:r>
        <w:rPr>
          <w:rFonts w:ascii="Arial" w:cs="Arial" w:eastAsia="Arial" w:hAnsi="Arial"/>
          <w:sz w:val="17"/>
          <w:szCs w:val="17"/>
          <w:color w:val="auto"/>
        </w:rPr>
        <w:t>” and the audited consolidated financial statements and notes thereto contained elsewhere in this Annual Report on Form 10-K. The historical operating results for the periods presented below are not necessarily indicative of the results of operations to be expected in future years.</w:t>
      </w:r>
    </w:p>
    <w:p>
      <w:pPr>
        <w:spacing w:after="0" w:line="175" w:lineRule="exact"/>
        <w:rPr>
          <w:sz w:val="20"/>
          <w:szCs w:val="20"/>
          <w:color w:val="auto"/>
        </w:rPr>
      </w:pPr>
    </w:p>
    <w:p>
      <w:pPr>
        <w:ind w:right="80" w:firstLine="555"/>
        <w:spacing w:after="0" w:line="282" w:lineRule="auto"/>
        <w:rPr>
          <w:sz w:val="20"/>
          <w:szCs w:val="20"/>
          <w:color w:val="auto"/>
        </w:rPr>
      </w:pPr>
      <w:r>
        <w:rPr>
          <w:rFonts w:ascii="Arial" w:cs="Arial" w:eastAsia="Arial" w:hAnsi="Arial"/>
          <w:sz w:val="17"/>
          <w:szCs w:val="17"/>
          <w:color w:val="auto"/>
        </w:rPr>
        <w:t>The presentation of information herein is not fully comparable because (1) periods prior to our acquisitions of Circus Reno, Silver Legacy, Isle, Elgin and Tropicana are not included for periods prior to the respective acquisition dates and (2) periods subsequent to our divestitures of Presque, Nemacolin, Mountaineer, Cape Girardeau and Caruthersville are not included for periods subsequent to the respective divestiture dates.</w:t>
      </w:r>
    </w:p>
    <w:p>
      <w:pPr>
        <w:spacing w:after="0" w:line="3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300"/>
          </w:cols>
          <w:pgMar w:left="240" w:top="656" w:right="35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43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1"/>
              <w:spacing w:after="0" w:line="154" w:lineRule="exact"/>
              <w:rPr>
                <w:sz w:val="20"/>
                <w:szCs w:val="20"/>
                <w:color w:val="auto"/>
              </w:rPr>
            </w:pPr>
            <w:r>
              <w:rPr>
                <w:rFonts w:ascii="Arial" w:cs="Arial" w:eastAsia="Arial" w:hAnsi="Arial"/>
                <w:sz w:val="14"/>
                <w:szCs w:val="14"/>
                <w:b w:val="1"/>
                <w:bCs w:val="1"/>
                <w:color w:val="auto"/>
                <w:w w:val="99"/>
              </w:rPr>
              <w:t>2019 (2)</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1"/>
              <w:spacing w:after="0" w:line="154" w:lineRule="exact"/>
              <w:rPr>
                <w:sz w:val="20"/>
                <w:szCs w:val="20"/>
                <w:color w:val="auto"/>
              </w:rPr>
            </w:pPr>
            <w:r>
              <w:rPr>
                <w:rFonts w:ascii="Arial" w:cs="Arial" w:eastAsia="Arial" w:hAnsi="Arial"/>
                <w:sz w:val="14"/>
                <w:szCs w:val="14"/>
                <w:b w:val="1"/>
                <w:bCs w:val="1"/>
                <w:color w:val="auto"/>
                <w:w w:val="99"/>
              </w:rPr>
              <w:t>2018 (2)</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01"/>
              <w:spacing w:after="0" w:line="154" w:lineRule="exact"/>
              <w:rPr>
                <w:sz w:val="20"/>
                <w:szCs w:val="20"/>
                <w:color w:val="auto"/>
              </w:rPr>
            </w:pPr>
            <w:r>
              <w:rPr>
                <w:rFonts w:ascii="Arial" w:cs="Arial" w:eastAsia="Arial" w:hAnsi="Arial"/>
                <w:sz w:val="14"/>
                <w:szCs w:val="14"/>
                <w:b w:val="1"/>
                <w:bCs w:val="1"/>
                <w:color w:val="auto"/>
                <w:w w:val="99"/>
              </w:rPr>
              <w:t>2017 (2)</w:t>
            </w:r>
          </w:p>
        </w:tc>
        <w:tc>
          <w:tcPr>
            <w:tcW w:w="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81"/>
              <w:spacing w:after="0" w:line="154" w:lineRule="exact"/>
              <w:rPr>
                <w:sz w:val="20"/>
                <w:szCs w:val="20"/>
                <w:color w:val="auto"/>
              </w:rPr>
            </w:pPr>
            <w:r>
              <w:rPr>
                <w:rFonts w:ascii="Arial" w:cs="Arial" w:eastAsia="Arial" w:hAnsi="Arial"/>
                <w:sz w:val="14"/>
                <w:szCs w:val="14"/>
                <w:b w:val="1"/>
                <w:bCs w:val="1"/>
                <w:color w:val="auto"/>
              </w:rPr>
              <w:t>2016 (2)</w:t>
            </w:r>
          </w:p>
        </w:tc>
        <w:tc>
          <w:tcPr>
            <w:tcW w:w="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01"/>
              <w:spacing w:after="0" w:line="154" w:lineRule="exact"/>
              <w:rPr>
                <w:sz w:val="20"/>
                <w:szCs w:val="20"/>
                <w:color w:val="auto"/>
              </w:rPr>
            </w:pPr>
            <w:r>
              <w:rPr>
                <w:rFonts w:ascii="Arial" w:cs="Arial" w:eastAsia="Arial" w:hAnsi="Arial"/>
                <w:sz w:val="14"/>
                <w:szCs w:val="14"/>
                <w:b w:val="1"/>
                <w:bCs w:val="1"/>
                <w:color w:val="auto"/>
              </w:rPr>
              <w:t>2015 (2)</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07"/>
        </w:trPr>
        <w:tc>
          <w:tcPr>
            <w:tcW w:w="43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Consolidated Statement of Operations Data:</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1"/>
        </w:trPr>
        <w:tc>
          <w:tcPr>
            <w:tcW w:w="4300" w:type="dxa"/>
            <w:vAlign w:val="bottom"/>
          </w:tcPr>
          <w:p>
            <w:pPr>
              <w:spacing w:after="0"/>
              <w:rPr>
                <w:sz w:val="20"/>
                <w:szCs w:val="20"/>
                <w:color w:val="auto"/>
              </w:rPr>
            </w:pPr>
            <w:r>
              <w:rPr>
                <w:rFonts w:ascii="Arial" w:cs="Arial" w:eastAsia="Arial" w:hAnsi="Arial"/>
                <w:sz w:val="16"/>
                <w:szCs w:val="16"/>
                <w:color w:val="auto"/>
              </w:rPr>
              <w:t>Net operating revenues</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2,528,249</w:t>
            </w:r>
          </w:p>
        </w:tc>
        <w:tc>
          <w:tcPr>
            <w:tcW w:w="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2,056,007</w:t>
            </w:r>
          </w:p>
        </w:tc>
        <w:tc>
          <w:tcPr>
            <w:tcW w:w="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1,480,798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900,465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724,345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1"/>
        </w:trPr>
        <w:tc>
          <w:tcPr>
            <w:tcW w:w="4300" w:type="dxa"/>
            <w:vAlign w:val="bottom"/>
          </w:tcPr>
          <w:p>
            <w:pPr>
              <w:spacing w:after="0"/>
              <w:rPr>
                <w:sz w:val="20"/>
                <w:szCs w:val="20"/>
                <w:color w:val="auto"/>
              </w:rPr>
            </w:pPr>
            <w:r>
              <w:rPr>
                <w:rFonts w:ascii="Arial" w:cs="Arial" w:eastAsia="Arial" w:hAnsi="Arial"/>
                <w:sz w:val="16"/>
                <w:szCs w:val="16"/>
                <w:color w:val="auto"/>
              </w:rPr>
              <w:t>Operating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409,973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310,103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94,810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88,700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72,621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1"/>
        </w:trPr>
        <w:tc>
          <w:tcPr>
            <w:tcW w:w="4300" w:type="dxa"/>
            <w:vAlign w:val="bottom"/>
          </w:tcPr>
          <w:p>
            <w:pPr>
              <w:spacing w:after="0"/>
              <w:rPr>
                <w:sz w:val="20"/>
                <w:szCs w:val="20"/>
                <w:color w:val="auto"/>
              </w:rPr>
            </w:pPr>
            <w:r>
              <w:rPr>
                <w:rFonts w:ascii="Arial" w:cs="Arial" w:eastAsia="Arial" w:hAnsi="Arial"/>
                <w:sz w:val="16"/>
                <w:szCs w:val="16"/>
                <w:color w:val="auto"/>
              </w:rPr>
              <w:t>Net income (loss) before income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124,978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135,622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(43,389)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37,628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44,708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1"/>
        </w:trPr>
        <w:tc>
          <w:tcPr>
            <w:tcW w:w="4300" w:type="dxa"/>
            <w:vAlign w:val="bottom"/>
          </w:tcPr>
          <w:p>
            <w:pPr>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81,001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95,235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73,380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24,527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114,246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1"/>
        </w:trPr>
        <w:tc>
          <w:tcPr>
            <w:tcW w:w="4300" w:type="dxa"/>
            <w:vAlign w:val="bottom"/>
          </w:tcPr>
          <w:p>
            <w:pPr>
              <w:spacing w:after="0"/>
              <w:rPr>
                <w:sz w:val="20"/>
                <w:szCs w:val="20"/>
                <w:color w:val="auto"/>
              </w:rPr>
            </w:pPr>
            <w:r>
              <w:rPr>
                <w:rFonts w:ascii="Arial" w:cs="Arial" w:eastAsia="Arial" w:hAnsi="Arial"/>
                <w:sz w:val="16"/>
                <w:szCs w:val="16"/>
                <w:color w:val="auto"/>
              </w:rPr>
              <w:t>Basic net income per common share</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0.52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Diluted net income per common share</w:t>
            </w:r>
          </w:p>
        </w:tc>
        <w:tc>
          <w:tcPr>
            <w:tcW w:w="160" w:type="dxa"/>
            <w:vAlign w:val="bottom"/>
            <w:shd w:val="clear" w:color="auto" w:fill="CFF0FC"/>
          </w:tcPr>
          <w:p>
            <w:pPr>
              <w:jc w:val="right"/>
              <w:ind w:right="1"/>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0.51</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589"/>
        </w:trPr>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At December 31,</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4"/>
        </w:trPr>
        <w:tc>
          <w:tcPr>
            <w:tcW w:w="43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61"/>
              <w:spacing w:after="0" w:line="154" w:lineRule="exact"/>
              <w:rPr>
                <w:sz w:val="20"/>
                <w:szCs w:val="20"/>
                <w:color w:val="auto"/>
              </w:rPr>
            </w:pPr>
            <w:r>
              <w:rPr>
                <w:rFonts w:ascii="Arial" w:cs="Arial" w:eastAsia="Arial" w:hAnsi="Arial"/>
                <w:sz w:val="14"/>
                <w:szCs w:val="14"/>
                <w:b w:val="1"/>
                <w:bCs w:val="1"/>
                <w:color w:val="auto"/>
              </w:rPr>
              <w:t>2019 (2)</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61"/>
              <w:spacing w:after="0" w:line="154" w:lineRule="exact"/>
              <w:rPr>
                <w:sz w:val="20"/>
                <w:szCs w:val="20"/>
                <w:color w:val="auto"/>
              </w:rPr>
            </w:pPr>
            <w:r>
              <w:rPr>
                <w:rFonts w:ascii="Arial" w:cs="Arial" w:eastAsia="Arial" w:hAnsi="Arial"/>
                <w:sz w:val="14"/>
                <w:szCs w:val="14"/>
                <w:b w:val="1"/>
                <w:bCs w:val="1"/>
                <w:color w:val="auto"/>
              </w:rPr>
              <w:t>2018 (2)</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01"/>
              <w:spacing w:after="0" w:line="154" w:lineRule="exact"/>
              <w:rPr>
                <w:sz w:val="20"/>
                <w:szCs w:val="20"/>
                <w:color w:val="auto"/>
              </w:rPr>
            </w:pPr>
            <w:r>
              <w:rPr>
                <w:rFonts w:ascii="Arial" w:cs="Arial" w:eastAsia="Arial" w:hAnsi="Arial"/>
                <w:sz w:val="14"/>
                <w:szCs w:val="14"/>
                <w:b w:val="1"/>
                <w:bCs w:val="1"/>
                <w:color w:val="auto"/>
              </w:rPr>
              <w:t>2017 (2)</w:t>
            </w: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01"/>
              <w:spacing w:after="0" w:line="154" w:lineRule="exact"/>
              <w:rPr>
                <w:sz w:val="20"/>
                <w:szCs w:val="20"/>
                <w:color w:val="auto"/>
              </w:rPr>
            </w:pPr>
            <w:r>
              <w:rPr>
                <w:rFonts w:ascii="Arial" w:cs="Arial" w:eastAsia="Arial" w:hAnsi="Arial"/>
                <w:sz w:val="14"/>
                <w:szCs w:val="14"/>
                <w:b w:val="1"/>
                <w:bCs w:val="1"/>
                <w:color w:val="auto"/>
              </w:rPr>
              <w:t>2016 (2)</w:t>
            </w: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41"/>
              <w:spacing w:after="0" w:line="154" w:lineRule="exact"/>
              <w:rPr>
                <w:sz w:val="20"/>
                <w:szCs w:val="20"/>
                <w:color w:val="auto"/>
              </w:rPr>
            </w:pPr>
            <w:r>
              <w:rPr>
                <w:rFonts w:ascii="Arial" w:cs="Arial" w:eastAsia="Arial" w:hAnsi="Arial"/>
                <w:sz w:val="14"/>
                <w:szCs w:val="14"/>
                <w:b w:val="1"/>
                <w:bCs w:val="1"/>
                <w:color w:val="auto"/>
              </w:rPr>
              <w:t>2015 (2)</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1"/>
        </w:trPr>
        <w:tc>
          <w:tcPr>
            <w:tcW w:w="4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206,317</w:t>
            </w: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230,752</w:t>
            </w:r>
          </w:p>
        </w:tc>
        <w:tc>
          <w:tcPr>
            <w:tcW w:w="460" w:type="dxa"/>
            <w:vAlign w:val="bottom"/>
            <w:gridSpan w:val="3"/>
          </w:tcPr>
          <w:p>
            <w:pPr>
              <w:jc w:val="right"/>
              <w:ind w:right="9"/>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134,596</w:t>
            </w:r>
          </w:p>
        </w:tc>
        <w:tc>
          <w:tcPr>
            <w:tcW w:w="20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61,029</w:t>
            </w:r>
          </w:p>
        </w:tc>
        <w:tc>
          <w:tcPr>
            <w:tcW w:w="20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78,278</w:t>
            </w:r>
          </w:p>
        </w:tc>
        <w:tc>
          <w:tcPr>
            <w:tcW w:w="100" w:type="dxa"/>
            <w:vAlign w:val="bottom"/>
          </w:tcPr>
          <w:p>
            <w:pPr>
              <w:spacing w:after="0"/>
              <w:rPr>
                <w:sz w:val="19"/>
                <w:szCs w:val="19"/>
                <w:color w:val="auto"/>
              </w:rPr>
            </w:pPr>
          </w:p>
        </w:tc>
      </w:tr>
      <w:tr>
        <w:trPr>
          <w:trHeight w:val="228"/>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5,640,553</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5,911,462</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3,546,472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1,294,044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1,325,008</w:t>
            </w:r>
          </w:p>
        </w:tc>
        <w:tc>
          <w:tcPr>
            <w:tcW w:w="100" w:type="dxa"/>
            <w:vAlign w:val="bottom"/>
            <w:shd w:val="clear" w:color="auto" w:fill="CFF0FC"/>
          </w:tcPr>
          <w:p>
            <w:pPr>
              <w:spacing w:after="0"/>
              <w:rPr>
                <w:sz w:val="19"/>
                <w:szCs w:val="19"/>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8"/>
                <w:szCs w:val="18"/>
                <w:color w:val="auto"/>
              </w:rPr>
              <w:t>Total debt (1)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2,570,716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3,261,735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2,190,193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800,426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866,237</w:t>
            </w:r>
          </w:p>
        </w:tc>
        <w:tc>
          <w:tcPr>
            <w:tcW w:w="100" w:type="dxa"/>
            <w:vAlign w:val="bottom"/>
          </w:tcPr>
          <w:p>
            <w:pPr>
              <w:spacing w:after="0"/>
              <w:rPr>
                <w:sz w:val="19"/>
                <w:szCs w:val="19"/>
                <w:color w:val="auto"/>
              </w:rPr>
            </w:pPr>
          </w:p>
        </w:tc>
      </w:tr>
      <w:tr>
        <w:trPr>
          <w:trHeight w:val="228"/>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1,117,257</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1,029,153</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941,597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295,969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268,460</w:t>
            </w:r>
          </w:p>
        </w:tc>
        <w:tc>
          <w:tcPr>
            <w:tcW w:w="100" w:type="dxa"/>
            <w:vAlign w:val="bottom"/>
            <w:shd w:val="clear" w:color="auto" w:fill="CFF0FC"/>
          </w:tcPr>
          <w:p>
            <w:pPr>
              <w:spacing w:after="0"/>
              <w:rPr>
                <w:sz w:val="19"/>
                <w:szCs w:val="19"/>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 to Selected Consolidated Financial Data:</w:t>
      </w:r>
    </w:p>
    <w:p>
      <w:pPr>
        <w:spacing w:after="0" w:line="118" w:lineRule="exact"/>
        <w:rPr>
          <w:sz w:val="20"/>
          <w:szCs w:val="20"/>
          <w:color w:val="auto"/>
        </w:rPr>
      </w:pPr>
    </w:p>
    <w:p>
      <w:pPr>
        <w:ind w:left="560" w:hanging="553"/>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debt, including the current portion, is reported net of unamortized discounts and premiums.</w:t>
      </w:r>
    </w:p>
    <w:p>
      <w:pPr>
        <w:spacing w:after="0" w:line="114" w:lineRule="exact"/>
        <w:rPr>
          <w:rFonts w:ascii="Arial" w:cs="Arial" w:eastAsia="Arial" w:hAnsi="Arial"/>
          <w:sz w:val="18"/>
          <w:szCs w:val="18"/>
          <w:color w:val="auto"/>
        </w:rPr>
      </w:pPr>
    </w:p>
    <w:p>
      <w:pPr>
        <w:ind w:left="560" w:right="60" w:hanging="553"/>
        <w:spacing w:after="0" w:line="254" w:lineRule="auto"/>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reflect the adoption of ASC 606. The Company adopted this standard effective January 1, 2018, and elected to apply the full retrospective adoption method. See the Company’s Current Report on Form 8-K filed with the SEC on September 5, 2018, which recast certain financial information contained in the Company’s Annual Report on Form 10-K for the year ended December 31, 2017. The Company adopted ASC 842 on January 1, 2019 using the prospective approach, and therefore, comparative periods will continue to be reported under prior lease accounting guidance consistent with previously issued financial statements.</w:t>
      </w:r>
    </w:p>
    <w:p>
      <w:pPr>
        <w:spacing w:after="0" w:line="216"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following events and transactions affect the year-to-year comparability of the selected financial data presented above:</w:t>
      </w:r>
    </w:p>
    <w:p>
      <w:pPr>
        <w:spacing w:after="0" w:line="114" w:lineRule="exact"/>
        <w:rPr>
          <w:rFonts w:ascii="Arial" w:cs="Arial" w:eastAsia="Arial" w:hAnsi="Arial"/>
          <w:sz w:val="18"/>
          <w:szCs w:val="18"/>
          <w:color w:val="auto"/>
        </w:rPr>
      </w:pPr>
    </w:p>
    <w:p>
      <w:pPr>
        <w:ind w:left="1100" w:right="20" w:hanging="544"/>
        <w:spacing w:after="0" w:line="217" w:lineRule="exact"/>
        <w:tabs>
          <w:tab w:leader="none" w:pos="11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In November 2015, we consummated the purchase of Circus Reno and the interest in the Silver Legacy that we did not previously own. Prior to our acquisition of the Silver Legacy, non</w:t>
      </w:r>
      <w:r>
        <w:rPr>
          <w:rFonts w:ascii="MS PGothic" w:cs="MS PGothic" w:eastAsia="MS PGothic" w:hAnsi="MS PGothic"/>
          <w:sz w:val="16"/>
          <w:szCs w:val="16"/>
          <w:color w:val="auto"/>
        </w:rPr>
        <w:t>‑</w:t>
      </w:r>
      <w:r>
        <w:rPr>
          <w:rFonts w:ascii="Arial" w:cs="Arial" w:eastAsia="Arial" w:hAnsi="Arial"/>
          <w:sz w:val="16"/>
          <w:szCs w:val="16"/>
          <w:color w:val="auto"/>
        </w:rPr>
        <w:t>controlling interest represented the minority partners’ share of our subsidiary’s 50% joint venture interest in the Silver Legacy. The non</w:t>
      </w:r>
      <w:r>
        <w:rPr>
          <w:rFonts w:ascii="MS PGothic" w:cs="MS PGothic" w:eastAsia="MS PGothic" w:hAnsi="MS PGothic"/>
          <w:sz w:val="16"/>
          <w:szCs w:val="16"/>
          <w:color w:val="auto"/>
        </w:rPr>
        <w:t>‑</w:t>
      </w:r>
      <w:r>
        <w:rPr>
          <w:rFonts w:ascii="Arial" w:cs="Arial" w:eastAsia="Arial" w:hAnsi="Arial"/>
          <w:sz w:val="16"/>
          <w:szCs w:val="16"/>
          <w:color w:val="auto"/>
        </w:rPr>
        <w:t>controlling interest was owned by certain of our affiliates and was an approximately 4% interest in our subsidiary, representing an approximately 1.9% indirect interest in the Silver Legacy. We acquired the remaining 50% joint venture interest pursuant to our acquisition of the Silver Legacy and, in connection therewith, exercised our right to acquire such non</w:t>
      </w:r>
      <w:r>
        <w:rPr>
          <w:rFonts w:ascii="MS PGothic" w:cs="MS PGothic" w:eastAsia="MS PGothic" w:hAnsi="MS PGothic"/>
          <w:sz w:val="16"/>
          <w:szCs w:val="16"/>
          <w:color w:val="auto"/>
        </w:rPr>
        <w:t>‑</w:t>
      </w:r>
      <w:r>
        <w:rPr>
          <w:rFonts w:ascii="Arial" w:cs="Arial" w:eastAsia="Arial" w:hAnsi="Arial"/>
          <w:sz w:val="16"/>
          <w:szCs w:val="16"/>
          <w:color w:val="auto"/>
        </w:rPr>
        <w:t>controlling interest.</w:t>
      </w:r>
    </w:p>
    <w:p>
      <w:pPr>
        <w:spacing w:after="0" w:line="96" w:lineRule="exact"/>
        <w:rPr>
          <w:rFonts w:ascii="Arial" w:cs="Arial" w:eastAsia="Arial" w:hAnsi="Arial"/>
          <w:sz w:val="16"/>
          <w:szCs w:val="16"/>
          <w:color w:val="auto"/>
        </w:rPr>
      </w:pPr>
    </w:p>
    <w:p>
      <w:pPr>
        <w:ind w:left="1100" w:right="360" w:hanging="544"/>
        <w:spacing w:after="0" w:line="271" w:lineRule="auto"/>
        <w:tabs>
          <w:tab w:leader="none" w:pos="11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2015, in conjunction with the acquisition of Silver Legacy and Circus Reno, we incurred costs totaling $2.5 million and recorded a $35.6 million gain related to the valuation of our pre-acquisition investment in the Silver Legacy.</w:t>
      </w:r>
    </w:p>
    <w:p>
      <w:pPr>
        <w:spacing w:after="0" w:line="67" w:lineRule="exact"/>
        <w:rPr>
          <w:rFonts w:ascii="Arial" w:cs="Arial" w:eastAsia="Arial" w:hAnsi="Arial"/>
          <w:sz w:val="18"/>
          <w:szCs w:val="18"/>
          <w:color w:val="auto"/>
        </w:rPr>
      </w:pPr>
    </w:p>
    <w:p>
      <w:pPr>
        <w:ind w:left="1100" w:right="40" w:hanging="544"/>
        <w:spacing w:after="0" w:line="259" w:lineRule="auto"/>
        <w:tabs>
          <w:tab w:leader="none" w:pos="11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2015, in connection with the refinancing of all of our then outstanding indebtedness, we issued $375 million of senior notes and entered into a new $425 million term loan and a new $150 million revolving credit facility. As a result of the 2015 refinancing, we recognized a $1.9 million net loss on the early retirement of debt.</w:t>
      </w:r>
    </w:p>
    <w:p>
      <w:pPr>
        <w:spacing w:after="0" w:line="79" w:lineRule="exact"/>
        <w:rPr>
          <w:rFonts w:ascii="Arial" w:cs="Arial" w:eastAsia="Arial" w:hAnsi="Arial"/>
          <w:sz w:val="18"/>
          <w:szCs w:val="18"/>
          <w:color w:val="auto"/>
        </w:rPr>
      </w:pPr>
    </w:p>
    <w:p>
      <w:pPr>
        <w:ind w:left="1100" w:hanging="544"/>
        <w:spacing w:after="0"/>
        <w:tabs>
          <w:tab w:leader="none" w:pos="11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2015, we recorded a $69.6 million net benefit for income taxes resulting from an adjustment to our valuation allowance.</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2016, transaction expenses related to our acquisition of Isle totaled $8.6 million.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42" w:name="page43"/>
    <w:bookmarkEnd w:id="42"/>
    <w:p>
      <w:pPr>
        <w:ind w:left="544" w:hanging="544"/>
        <w:spacing w:after="0"/>
        <w:tabs>
          <w:tab w:leader="none" w:pos="5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May 2017, we completed our acquisition of Isle, adding 13 gaming properties to our portfolio.</w:t>
      </w:r>
    </w:p>
    <w:p>
      <w:pPr>
        <w:spacing w:after="0" w:line="114" w:lineRule="exact"/>
        <w:rPr>
          <w:rFonts w:ascii="Arial" w:cs="Arial" w:eastAsia="Arial" w:hAnsi="Arial"/>
          <w:sz w:val="18"/>
          <w:szCs w:val="18"/>
          <w:color w:val="auto"/>
        </w:rPr>
      </w:pPr>
    </w:p>
    <w:p>
      <w:pPr>
        <w:ind w:left="544" w:right="240" w:hanging="544"/>
        <w:spacing w:after="0" w:line="271" w:lineRule="auto"/>
        <w:tabs>
          <w:tab w:leader="none" w:pos="5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2017, legal, accounting, financial advisory services, severance, stock awards and other costs related to our acquisition of Isle totaled $92.8 million.</w:t>
      </w:r>
    </w:p>
    <w:p>
      <w:pPr>
        <w:spacing w:after="0" w:line="67" w:lineRule="exact"/>
        <w:rPr>
          <w:rFonts w:ascii="Arial" w:cs="Arial" w:eastAsia="Arial" w:hAnsi="Arial"/>
          <w:sz w:val="18"/>
          <w:szCs w:val="18"/>
          <w:color w:val="auto"/>
        </w:rPr>
      </w:pPr>
    </w:p>
    <w:p>
      <w:pPr>
        <w:ind w:left="544" w:hanging="544"/>
        <w:spacing w:after="0"/>
        <w:tabs>
          <w:tab w:leader="none" w:pos="5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2017, we recorded a $20.0 million forfeited deposit as income related to the terminated sale of Lake Charles.</w:t>
      </w:r>
    </w:p>
    <w:p>
      <w:pPr>
        <w:spacing w:after="0" w:line="114" w:lineRule="exact"/>
        <w:rPr>
          <w:rFonts w:ascii="Arial" w:cs="Arial" w:eastAsia="Arial" w:hAnsi="Arial"/>
          <w:sz w:val="18"/>
          <w:szCs w:val="18"/>
          <w:color w:val="auto"/>
        </w:rPr>
      </w:pPr>
    </w:p>
    <w:p>
      <w:pPr>
        <w:ind w:left="544" w:right="280" w:hanging="544"/>
        <w:spacing w:after="0" w:line="259" w:lineRule="auto"/>
        <w:tabs>
          <w:tab w:leader="none" w:pos="5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2017, the U.S. government enacted comprehensive tax legislation commonly referred to as the Tax Cuts and Jobs Act. In connection with these changes, for certain of our net deferred tax liabilities, we recorded a decrease of $111.9 million, net of the related change in valuation allowance, with a corresponding net adjustment to deferred income tax benefit.</w:t>
      </w:r>
    </w:p>
    <w:p>
      <w:pPr>
        <w:spacing w:after="0" w:line="79" w:lineRule="exact"/>
        <w:rPr>
          <w:rFonts w:ascii="Arial" w:cs="Arial" w:eastAsia="Arial" w:hAnsi="Arial"/>
          <w:sz w:val="18"/>
          <w:szCs w:val="18"/>
          <w:color w:val="auto"/>
        </w:rPr>
      </w:pPr>
    </w:p>
    <w:p>
      <w:pPr>
        <w:ind w:left="544" w:right="480" w:hanging="544"/>
        <w:spacing w:after="0" w:line="271" w:lineRule="auto"/>
        <w:tabs>
          <w:tab w:leader="none" w:pos="5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2017, we recorded impairment charges totaling $38.0 million related to goodwill and/or trade names associated with our Lake Charles, Vicksburg and Lula reporting units.</w:t>
      </w:r>
    </w:p>
    <w:p>
      <w:pPr>
        <w:spacing w:after="0" w:line="67" w:lineRule="exact"/>
        <w:rPr>
          <w:rFonts w:ascii="Arial" w:cs="Arial" w:eastAsia="Arial" w:hAnsi="Arial"/>
          <w:sz w:val="18"/>
          <w:szCs w:val="18"/>
          <w:color w:val="auto"/>
        </w:rPr>
      </w:pPr>
    </w:p>
    <w:p>
      <w:pPr>
        <w:ind w:left="544" w:right="20" w:hanging="544"/>
        <w:spacing w:after="0" w:line="255" w:lineRule="auto"/>
        <w:tabs>
          <w:tab w:leader="none" w:pos="5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2017, we recognized a loss totaling $27.3 million as a result of the debt refinancing transaction related to our acquisition of Isle. In connection with such acquisition, we issued an additional $500.0 million of senior notes and used the proceeds of the offering to repay all of the outstanding borrowings under our revolving credit facility and repay a portion of the outstanding borrowings under our term loan. We recognized a loss of $11.1 million on the retirement of existing debt.</w:t>
      </w:r>
    </w:p>
    <w:p>
      <w:pPr>
        <w:spacing w:after="0" w:line="83" w:lineRule="exact"/>
        <w:rPr>
          <w:rFonts w:ascii="Arial" w:cs="Arial" w:eastAsia="Arial" w:hAnsi="Arial"/>
          <w:sz w:val="18"/>
          <w:szCs w:val="18"/>
          <w:color w:val="auto"/>
        </w:rPr>
      </w:pPr>
    </w:p>
    <w:p>
      <w:pPr>
        <w:ind w:left="544" w:hanging="544"/>
        <w:spacing w:after="0"/>
        <w:tabs>
          <w:tab w:leader="none" w:pos="5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August 2018, we acquired Elgin.</w:t>
      </w:r>
    </w:p>
    <w:p>
      <w:pPr>
        <w:spacing w:after="0" w:line="114" w:lineRule="exact"/>
        <w:rPr>
          <w:rFonts w:ascii="Arial" w:cs="Arial" w:eastAsia="Arial" w:hAnsi="Arial"/>
          <w:sz w:val="18"/>
          <w:szCs w:val="18"/>
          <w:color w:val="auto"/>
        </w:rPr>
      </w:pPr>
    </w:p>
    <w:p>
      <w:pPr>
        <w:ind w:left="544" w:hanging="544"/>
        <w:spacing w:after="0"/>
        <w:tabs>
          <w:tab w:leader="none" w:pos="5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October 2018, we completed our acquisition of Tropicana, adding seven additional properties to our portfolio.</w:t>
      </w:r>
    </w:p>
    <w:p>
      <w:pPr>
        <w:spacing w:after="0" w:line="114" w:lineRule="exact"/>
        <w:rPr>
          <w:rFonts w:ascii="Arial" w:cs="Arial" w:eastAsia="Arial" w:hAnsi="Arial"/>
          <w:sz w:val="18"/>
          <w:szCs w:val="18"/>
          <w:color w:val="auto"/>
        </w:rPr>
      </w:pPr>
    </w:p>
    <w:p>
      <w:pPr>
        <w:ind w:left="544" w:hanging="544"/>
        <w:spacing w:after="0" w:line="301" w:lineRule="auto"/>
        <w:tabs>
          <w:tab w:leader="none" w:pos="544"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2018, we recorded impairment charges totaling $13.6 million related to the pending sale of our Nemacolin property and Vicksburg operations as assets held for sale. Upon the termination of the sale of Vicksburg, we recognized a $5.0 million termination fee as income.</w:t>
      </w:r>
    </w:p>
    <w:p>
      <w:pPr>
        <w:spacing w:after="0" w:line="44" w:lineRule="exact"/>
        <w:rPr>
          <w:rFonts w:ascii="Arial" w:cs="Arial" w:eastAsia="Arial" w:hAnsi="Arial"/>
          <w:sz w:val="17"/>
          <w:szCs w:val="17"/>
          <w:color w:val="auto"/>
        </w:rPr>
      </w:pPr>
    </w:p>
    <w:p>
      <w:pPr>
        <w:ind w:left="544" w:hanging="544"/>
        <w:spacing w:after="0"/>
        <w:tabs>
          <w:tab w:leader="none" w:pos="5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2018, transaction expenses related to our acquisitions of Isle, Elgin and Tropicana totaled $20.8 million.</w:t>
      </w:r>
    </w:p>
    <w:p>
      <w:pPr>
        <w:spacing w:after="0" w:line="114" w:lineRule="exact"/>
        <w:rPr>
          <w:rFonts w:ascii="Arial" w:cs="Arial" w:eastAsia="Arial" w:hAnsi="Arial"/>
          <w:sz w:val="18"/>
          <w:szCs w:val="18"/>
          <w:color w:val="auto"/>
        </w:rPr>
      </w:pPr>
    </w:p>
    <w:p>
      <w:pPr>
        <w:ind w:left="544" w:right="160" w:hanging="544"/>
        <w:spacing w:after="0" w:line="271" w:lineRule="auto"/>
        <w:tabs>
          <w:tab w:leader="none" w:pos="5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2018, we issued $600 million of senior notes to fund the Tropicana Acquisition. Additionally, in connection with the Tropicana Acquisition we incurred a $246 million interest-only mortgage note.</w:t>
      </w:r>
    </w:p>
    <w:p>
      <w:pPr>
        <w:spacing w:after="0" w:line="67" w:lineRule="exact"/>
        <w:rPr>
          <w:rFonts w:ascii="Arial" w:cs="Arial" w:eastAsia="Arial" w:hAnsi="Arial"/>
          <w:sz w:val="18"/>
          <w:szCs w:val="18"/>
          <w:color w:val="auto"/>
        </w:rPr>
      </w:pPr>
    </w:p>
    <w:p>
      <w:pPr>
        <w:ind w:left="544" w:right="120" w:hanging="544"/>
        <w:spacing w:after="0" w:line="259" w:lineRule="auto"/>
        <w:tabs>
          <w:tab w:leader="none" w:pos="5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2018, we entered into the Master Lease with GLPI in conjunction with the Tropicana Acquisition and recorded a direct financing obligation and corresponding asset. Minimum lease payments are recorded as interest expense and totaled $98.6 million and $24.4 million in 2019 and 2018, respectively.</w:t>
      </w:r>
    </w:p>
    <w:p>
      <w:pPr>
        <w:spacing w:after="0" w:line="79" w:lineRule="exact"/>
        <w:rPr>
          <w:rFonts w:ascii="Arial" w:cs="Arial" w:eastAsia="Arial" w:hAnsi="Arial"/>
          <w:sz w:val="18"/>
          <w:szCs w:val="18"/>
          <w:color w:val="auto"/>
        </w:rPr>
      </w:pPr>
    </w:p>
    <w:p>
      <w:pPr>
        <w:ind w:left="544" w:right="740" w:hanging="544"/>
        <w:spacing w:after="0" w:line="271" w:lineRule="auto"/>
        <w:tabs>
          <w:tab w:leader="none" w:pos="5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finalized the sales of Presque in January 2019, Nemacolin in March 2019, and Mountaineer, Cape Girardeau and Caruthersville in December 2019.</w:t>
      </w:r>
    </w:p>
    <w:p>
      <w:pPr>
        <w:spacing w:after="0" w:line="67" w:lineRule="exact"/>
        <w:rPr>
          <w:rFonts w:ascii="Arial" w:cs="Arial" w:eastAsia="Arial" w:hAnsi="Arial"/>
          <w:sz w:val="18"/>
          <w:szCs w:val="18"/>
          <w:color w:val="auto"/>
        </w:rPr>
      </w:pPr>
    </w:p>
    <w:p>
      <w:pPr>
        <w:ind w:left="544" w:right="900" w:hanging="544"/>
        <w:spacing w:after="0" w:line="271" w:lineRule="auto"/>
        <w:tabs>
          <w:tab w:leader="none" w:pos="5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2019, we recognized an impairment charge of $1.0 million as a result of the sale of certain non-operating real property located in Pennsylvania.</w:t>
      </w:r>
    </w:p>
    <w:p>
      <w:pPr>
        <w:spacing w:after="0" w:line="67" w:lineRule="exact"/>
        <w:rPr>
          <w:rFonts w:ascii="Arial" w:cs="Arial" w:eastAsia="Arial" w:hAnsi="Arial"/>
          <w:sz w:val="18"/>
          <w:szCs w:val="18"/>
          <w:color w:val="auto"/>
        </w:rPr>
      </w:pPr>
    </w:p>
    <w:p>
      <w:pPr>
        <w:ind w:left="544" w:right="60" w:hanging="544"/>
        <w:spacing w:after="0" w:line="255" w:lineRule="auto"/>
        <w:tabs>
          <w:tab w:leader="none" w:pos="5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2019, we incurred transaction expenses of $84.7 million which were primarily related to our merger with Caesars (see Item 1). Pursuant to the MTA with VICI, the Company is required to reimburse VICI for 50% of any prepayment penalties in connection with VICI’s payoff related to its CPLV loan, regardless of whether the Merger closing occurs. As of December 31, 2019, the Company’s proportionate share of VICI’s prepayment penalty paid in 2019 was accrued and totaled approximately $55.4 million.</w:t>
      </w:r>
    </w:p>
    <w:p>
      <w:pPr>
        <w:spacing w:after="0" w:line="200" w:lineRule="exact"/>
        <w:rPr>
          <w:sz w:val="20"/>
          <w:szCs w:val="20"/>
          <w:color w:val="auto"/>
        </w:rPr>
      </w:pPr>
    </w:p>
    <w:p>
      <w:pPr>
        <w:spacing w:after="0" w:line="205"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69215</wp:posOffset>
            </wp:positionV>
            <wp:extent cx="7273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0844"/>
          </w:cols>
          <w:pgMar w:left="796" w:top="446" w:right="259" w:bottom="1440" w:gutter="0" w:footer="0" w:header="0"/>
        </w:sectPr>
      </w:pPr>
    </w:p>
    <w:bookmarkStart w:id="43" w:name="page44"/>
    <w:bookmarkEnd w:id="43"/>
    <w:p>
      <w:pPr>
        <w:spacing w:after="0"/>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18" w:lineRule="exact"/>
        <w:rPr>
          <w:sz w:val="20"/>
          <w:szCs w:val="20"/>
          <w:color w:val="auto"/>
        </w:rPr>
      </w:pPr>
    </w:p>
    <w:p>
      <w:pPr>
        <w:ind w:right="600" w:firstLine="555"/>
        <w:spacing w:after="0" w:line="271" w:lineRule="auto"/>
        <w:rPr>
          <w:sz w:val="20"/>
          <w:szCs w:val="20"/>
          <w:color w:val="auto"/>
        </w:rPr>
      </w:pPr>
      <w:r>
        <w:rPr>
          <w:rFonts w:ascii="Arial" w:cs="Arial" w:eastAsia="Arial" w:hAnsi="Arial"/>
          <w:sz w:val="18"/>
          <w:szCs w:val="18"/>
          <w:i w:val="1"/>
          <w:iCs w:val="1"/>
          <w:color w:val="auto"/>
        </w:rPr>
        <w:t>You should read the following discussion together with the financial statements, including the related notes and the other financial information, contained in this Annual Report on Form 10-K.</w:t>
      </w:r>
    </w:p>
    <w:p>
      <w:pPr>
        <w:spacing w:after="0" w:line="68" w:lineRule="exact"/>
        <w:rPr>
          <w:sz w:val="20"/>
          <w:szCs w:val="20"/>
          <w:color w:val="auto"/>
        </w:rPr>
      </w:pPr>
    </w:p>
    <w:p>
      <w:pPr>
        <w:ind w:right="180" w:firstLine="555"/>
        <w:spacing w:after="0" w:line="271" w:lineRule="auto"/>
        <w:rPr>
          <w:sz w:val="20"/>
          <w:szCs w:val="20"/>
          <w:color w:val="auto"/>
        </w:rPr>
      </w:pPr>
      <w:r>
        <w:rPr>
          <w:rFonts w:ascii="Arial" w:cs="Arial" w:eastAsia="Arial" w:hAnsi="Arial"/>
          <w:sz w:val="18"/>
          <w:szCs w:val="18"/>
          <w:color w:val="auto"/>
        </w:rPr>
        <w:t>Eldorado Resorts, Inc., a Nevada corporation, is referred to as the “Company,” “ERI,” or the “Registrant,” and together with its subsidiaries may also be referred to as “we,” “us” or “our.”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right="40" w:firstLine="555"/>
        <w:spacing w:after="0" w:line="254" w:lineRule="auto"/>
        <w:rPr>
          <w:sz w:val="20"/>
          <w:szCs w:val="20"/>
          <w:color w:val="auto"/>
        </w:rPr>
      </w:pPr>
      <w:r>
        <w:rPr>
          <w:rFonts w:ascii="Arial" w:cs="Arial" w:eastAsia="Arial" w:hAnsi="Arial"/>
          <w:sz w:val="18"/>
          <w:szCs w:val="18"/>
          <w:color w:val="auto"/>
        </w:rPr>
        <w:t>We are a geographically diversified gaming and hospitality company with 23 gaming facilities in 11 states as of December 31, 2019. Our properties, which are located in Ohio, Louisiana, Nevada, New Jersey, Colorado, Florida, Iowa, Mississippi, Illinois, Indiana and Missouri, feature approximately 23,900 slot machines and video lottery terminals (“VLTs”) and e-tables, approximately 660 table games and approximately 11,300 hotel rooms. Our primary source of revenue is generated by gaming operations, and we utilize our hotels, restaurants, bars, entertainment, racing, sportsbooks, retail shops and other services to attract customers to our properties.</w:t>
      </w:r>
    </w:p>
    <w:p>
      <w:pPr>
        <w:spacing w:after="0" w:line="189"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We were founded in 1973 by the Carano family with the opening of the Eldorado Hotel Casino in Reno, Nevada. In 1993, we partnered with MGM Resorts International to build Silver Legacy Resort Casino (“Silver Legacy”), the first mega-themed resort in Reno. In 2005, we acquired our first property outside of Reno when we purchased a casino in Shreveport, Louisiana, now known as Eldorado Shreveport. In September 2014, we merged with MTR Gaming Group, Inc. and acquired its three gaming and racing facilities in Ohio, Pennsylvania and West Virginia. The following year, in November 2015, we acquired Circus Circus Reno (“Circus Reno”) and the 50% membership interest in the Silver Legacy that was owned by MGM Resorts International. On May 1, 2017, we completed our acquisition of Isle of Capri Casinos, Inc. (“Isle” or “Isle of Capri”), adding 13 gaming properties to our portfolio. On August 7, 2018, we acquired the Elgin Riverboat Resort – Riverboat Casino d/b/a Grand Victoria Casino (“Elgin”) (“Elgin Acquisition”). On October 1, 2018, we completed our acquisition of Tropicana Entertainment, Inc. (“Tropicana”), adding seven properties to our portfolio (the “Tropicana Acquisition”).</w:t>
      </w:r>
    </w:p>
    <w:p>
      <w:pPr>
        <w:spacing w:after="0" w:line="16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On January 11, 2019 and March 8, 2019, respectively, we completed our sales of Presque Isle Downs &amp; Casino (“Presque”) and Lady Luck Casino Nemacolin (“Nemacolin”), which are both located in Pennsylvania. On December 6, 2019 we closed on our sales of Mountaineer Casino, Racetrack and Resort (“Mountaineer”), Isle Casino Cape Girardeau (“Cape Girardeau”) and Lady Luck Casino Caruthersville (“Caruthersville”). Mountaineer is located in West Virginia and Cape Girardeau and Caruthersville are located in Missouri.</w:t>
      </w:r>
    </w:p>
    <w:p>
      <w:pPr>
        <w:spacing w:after="0" w:line="231" w:lineRule="exact"/>
        <w:rPr>
          <w:sz w:val="20"/>
          <w:szCs w:val="20"/>
          <w:color w:val="auto"/>
        </w:rPr>
      </w:pPr>
    </w:p>
    <w:p>
      <w:pPr>
        <w:ind w:right="60" w:firstLine="555"/>
        <w:spacing w:after="0" w:line="268" w:lineRule="auto"/>
        <w:rPr>
          <w:sz w:val="20"/>
          <w:szCs w:val="20"/>
          <w:color w:val="auto"/>
        </w:rPr>
      </w:pPr>
      <w:r>
        <w:rPr>
          <w:rFonts w:ascii="Arial" w:cs="Arial" w:eastAsia="Arial" w:hAnsi="Arial"/>
          <w:sz w:val="17"/>
          <w:szCs w:val="17"/>
          <w:color w:val="auto"/>
        </w:rPr>
        <w:t>On June 24, 2019, we entered into an Agreement and Plan of Merger (as amended by Amendment No. 1 to Agreement and Plan of Merger, dated as of August 15, 2019, and as it may be further amended from time to time, the “Merger Agreement”) with Caesars Entertainment Corporation (“Caesars”) pursuant to which a wholly-owned subsidiary of the Company will merge with and into Caesars, with Caesars surviving as a wholly-owned subsidiary of the Company (“the Merger”). In connection with the execution of the Merger Agreement, the Company also entered into a Master Transaction Agreement (the “MTA”) with VICI Properties L.P., a Delaware limited partnership (“VICI”), pursuant to which, among other things, the Company has agreed to consummate one or more sale and leaseback transactions with VICI and/or its affiliates with respect to certain property described in the MTA. Consummation of the Merger is subject to the satisfaction or waiver of certain conditions, including anti-trust and regulatory approvals. The Company expects that the Merger will be consummated in the first half of 2020.</w:t>
      </w:r>
    </w:p>
    <w:p>
      <w:pPr>
        <w:spacing w:after="0" w:line="207"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On July 10, 2019, we entered into a definitive agreement to sell the equity interests of Rainbow Casino Vicksburg Partnership, L.P. and IOC-Kansas City, L.L.C., the entities that hold Lady Luck Casino Vicksburg and Isle of Capri Casino Kansas City, to Twin River Worldwide Holdings, Inc. The definitive agreement provides that the consummation of the sale is subject to satisfaction of customary conditions, including receipt of required regulatory approvals. The transaction is expected to be consummated in the first half of 2020. (See Note 22).</w:t>
      </w:r>
    </w:p>
    <w:p>
      <w:pPr>
        <w:spacing w:after="0" w:line="231"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On January 13, 2020, we entered into a definitive agreement to sell Eldorado Resort Casino Shreveport. The definitive agreement provides that the consummation of the sale is subject to receipt of required regulatory approvals, the prior or concurrent closing of the Merger and other customary conditions. The transaction is expected to be consummated in 2020.</w:t>
      </w:r>
    </w:p>
    <w:p>
      <w:pPr>
        <w:spacing w:after="0" w:line="186" w:lineRule="exact"/>
        <w:rPr>
          <w:sz w:val="20"/>
          <w:szCs w:val="20"/>
          <w:color w:val="auto"/>
        </w:rPr>
      </w:pPr>
    </w:p>
    <w:p>
      <w:pPr>
        <w:ind w:right="380" w:firstLine="555"/>
        <w:spacing w:after="0" w:line="259" w:lineRule="auto"/>
        <w:rPr>
          <w:sz w:val="20"/>
          <w:szCs w:val="20"/>
          <w:color w:val="auto"/>
        </w:rPr>
      </w:pPr>
      <w:r>
        <w:rPr>
          <w:rFonts w:ascii="Arial" w:cs="Arial" w:eastAsia="Arial" w:hAnsi="Arial"/>
          <w:sz w:val="18"/>
          <w:szCs w:val="18"/>
          <w:color w:val="auto"/>
        </w:rPr>
        <w:t>We own 18 of our casinos and lease five casinos that are subject to a master lease with GLP Capital, L.P., the operating partnership of Gaming and Leisure Properties, Inc. (“GLPI”), that we entered into in connection with the Tropicana Acquisition on October 1, 2018 (the “Master Lease”). (See full description under “Master Lease”).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Acquisitions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Caesars Entertainment</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June 24, 2019, we entered into the Merger Agreement with Caesars. On the terms and subject to the conditions set forth in the Merger Agreement,</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aggregate consideration paid by the Company in respect of outstanding shares of common stock of Caesars will be (a) an amount of cash equal to (i) the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sum of (A) $8.40 plus (B) if the applicable closing conditions set forth in the Merger Agreement are not satisfied by March 25, 2020, an amount equal to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$0.003333 for each day from March 25, 2020 until the closing date of the Merger, multiplied by (ii) a number of shares of Caesars common stock equal to (A)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682,161,838 (which includes 8,271,660 shares being held in escrow trust to satisfy unsecured claims pursuant to the Third Amended Joint Plan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Reorganization, filed with the U.S. Bankruptcy Court for the Northern District of Illinois in Chicago on January 13, 2017, at Docket No. 6318, which shares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are not entitled to vote) plus (B) the number of shares of Caesars common stock (the “Aggregate Caesars Share Amount”) issued after June 24, 2019 and prior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to the effective time of the Merger pursuant to the exercise of certain equity awards issued under Caesars stock plans or conversion of Caesars’ outstanding</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convertible notes and (b) a number of shares of ERI common stock equal to 0.0899 multiplied by the Aggregate Caesars Share Amount (such amount per share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of Caesars common stock, the “Merger Consideration”). Based on the number of shares of ERI and Caesars outstanding as of December 31, 2019, following</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consummation of the Merger (assuming that all Caesars convertible notes are converted immediately following consummation of the Merger into $8.40 in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cash (plus any cash constituting Merger Consideration that may become payable after March 25, 2020) and 0.0899 shares of common stock of Eldorado for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each share of Caesars common stock into which such Caesars convertible notes were convertible immediately prior to the Merger), Eldorado stockholders and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former Caesars stockholders will hold approximately 50.5% and 49.5%, respectively, of the combined company's outstanding shares of common stock.</w:t>
      </w:r>
    </w:p>
    <w:p>
      <w:pPr>
        <w:spacing w:after="0" w:line="260" w:lineRule="exact"/>
        <w:rPr>
          <w:sz w:val="20"/>
          <w:szCs w:val="20"/>
          <w:color w:val="auto"/>
        </w:rPr>
      </w:pPr>
    </w:p>
    <w:p>
      <w:pPr>
        <w:ind w:right="220" w:firstLine="555"/>
        <w:spacing w:after="0" w:line="271" w:lineRule="auto"/>
        <w:rPr>
          <w:sz w:val="20"/>
          <w:szCs w:val="20"/>
          <w:color w:val="auto"/>
        </w:rPr>
      </w:pPr>
      <w:r>
        <w:rPr>
          <w:rFonts w:ascii="Arial" w:cs="Arial" w:eastAsia="Arial" w:hAnsi="Arial"/>
          <w:sz w:val="18"/>
          <w:szCs w:val="18"/>
          <w:color w:val="auto"/>
        </w:rPr>
        <w:t>The Merger Agreement contains customary representations and warranties by each of Caesars and Eldorado, and each party has agreed to customary covenants.</w:t>
      </w:r>
    </w:p>
    <w:p>
      <w:pPr>
        <w:spacing w:after="0" w:line="202" w:lineRule="exact"/>
        <w:rPr>
          <w:sz w:val="20"/>
          <w:szCs w:val="20"/>
          <w:color w:val="auto"/>
        </w:rPr>
      </w:pPr>
    </w:p>
    <w:p>
      <w:pPr>
        <w:ind w:firstLine="555"/>
        <w:spacing w:after="0" w:line="283" w:lineRule="auto"/>
        <w:rPr>
          <w:sz w:val="20"/>
          <w:szCs w:val="20"/>
          <w:color w:val="auto"/>
        </w:rPr>
      </w:pPr>
      <w:r>
        <w:rPr>
          <w:rFonts w:ascii="Arial" w:cs="Arial" w:eastAsia="Arial" w:hAnsi="Arial"/>
          <w:sz w:val="16"/>
          <w:szCs w:val="16"/>
          <w:color w:val="auto"/>
        </w:rPr>
        <w:t>The Merger Agreement also contains termination rights for each of Caesars and Eldorado under certain circumstances. If the Merger Agreement is terminated in certain circumstances relating to changes in the recommendation of the board of directors of Caesars in favor of the Merger, entry by Caesars into an alternative transaction or in certain circumstances following the failure of Caesars stockholders to approve the Merger, Caesars will be required to pay Eldorado a termination fee of approximately $418.4 million. The Merger Agreement provides that if it is terminated in certain circumstances relating to changes in the recommendation of the board of directors of Eldorado in favor of the issuance of shares of Eldorado common stock in the Merger or in certain circumstances following the failure of Eldorado stockholders to approve such issuance, then Eldorado will be required to pay Caesars a termination fee of approximately $154.9 million. It also provides that each party will be obligated to reimburse the other party’s expenses for an amount not to exceed $50.0 million if the Merger Agreement is terminated because of the failure to obtain the required approval of such party’s stockholders (creditable against any termination fee that may subsequently be paid by such party). The Merger Agreement also provides that Eldorado will be obligated to pay a termination fee of approximately $836.8 million to Caesars if the Merger Agreement is terminated (i) due to a law or order relating to gaming or antitrust laws that prohibits or permanently enjoins the consummation of the transactions, (ii) because the required regulatory approvals were not obtained prior to June 24, 2020 (subject to extension to a date no later than December 24, 2020 pursuant to the Merger Agreement) or (iii) due to Eldorado willfully and materially breaching certain obligations with respect to the actions required to be taken by Eldorado to obtain required antitrust approvals.</w:t>
      </w:r>
    </w:p>
    <w:p>
      <w:pPr>
        <w:spacing w:after="0" w:line="217" w:lineRule="exact"/>
        <w:rPr>
          <w:sz w:val="20"/>
          <w:szCs w:val="20"/>
          <w:color w:val="auto"/>
        </w:rPr>
      </w:pPr>
    </w:p>
    <w:p>
      <w:pPr>
        <w:ind w:firstLine="555"/>
        <w:spacing w:after="0" w:line="266" w:lineRule="auto"/>
        <w:rPr>
          <w:sz w:val="20"/>
          <w:szCs w:val="20"/>
          <w:color w:val="auto"/>
        </w:rPr>
      </w:pPr>
      <w:r>
        <w:rPr>
          <w:rFonts w:ascii="Arial" w:cs="Arial" w:eastAsia="Arial" w:hAnsi="Arial"/>
          <w:sz w:val="17"/>
          <w:szCs w:val="17"/>
          <w:color w:val="auto"/>
        </w:rPr>
        <w:t>Consummation of the Merger is subject to the satisfaction or waiver of certain conditions, including, among others, (1) the expiration or termination of any applicable waiting period under the Hart-Scott-Rodino Antitrust Improvements Act of 1976, as amended (the “HSR Act”), and receipt of required gaming approvals, (2) the absence of any governmental order or law prohibiting the consummation of the Merger, (3) adoption of the Merger Agreement by holders of a majority of the outstanding shares of Caesars common stock, (4) the approval of the issuance of shares of Eldorado common stock in the Merger, (5) the effectiveness of the registration statement for Eldorado common stock to be issued in the Merger and the authorization for listing of those shares on the Nasdaq Stock Market, (6) absence of a material adverse effect on the other party, (7) the accuracy of the other party’s representations and warranties, subject to customary materiality standards, (8) compliance of the other party with its respective covenants under the Merger Agreement in all material respects and (9) conversion or certain amendments of, or another mutually agreed arrangement with respect to, Caesars’ 5.00% convertible senior notes due 2024. Caesars’ stockholders adopted the Merger Agreement, and the Company’s stockholders approved the issues of shares of Eldorado common stock in the Merger, at separate special meetings of stockholders on November 15, 2019. In addition, on November 27, 2019, Caesars entered into certain amendments with respect to Caesars’ 5.00% convertible senior notes due 2024.</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656" w:right="259" w:bottom="1440" w:gutter="0" w:footer="0" w:header="0"/>
        </w:sectPr>
      </w:pPr>
    </w:p>
    <w:bookmarkStart w:id="45" w:name="page46"/>
    <w:bookmarkEnd w:id="45"/>
    <w:p>
      <w:pPr>
        <w:ind w:firstLine="555"/>
        <w:spacing w:after="0" w:line="265" w:lineRule="auto"/>
        <w:rPr>
          <w:sz w:val="20"/>
          <w:szCs w:val="20"/>
          <w:color w:val="auto"/>
        </w:rPr>
      </w:pPr>
      <w:r>
        <w:rPr>
          <w:rFonts w:ascii="Arial" w:cs="Arial" w:eastAsia="Arial" w:hAnsi="Arial"/>
          <w:sz w:val="17"/>
          <w:szCs w:val="17"/>
          <w:color w:val="auto"/>
        </w:rPr>
        <w:t>In connection with execution of the Merger Agreement, on June 24, 2019, we entered into a debt financing commitment letter (the “Initial Commitment Letter”) and related fee letters with JPMorgan Chase Bank, N.A., Credit Suisse AG, Cayman Islands Branch, Credit Suisse Loan Funding LLC, Macquarie Capital (USA) Inc. and Macquarie Capital Funding LLC (the “Initial Commitment Parties”). On July 19, 2019, the Company entered into an amended and restated commitment letter (as amended, the “A&amp;R Commitment Letter”) and related fee letters, which amended and restated the Initial Commitment Letter and related fee letters in their entirety to, among other things, add additional arrangers and lenders, including Bank of America, N.A., BofA Securities, Inc., Deutsche Bank Securities Inc., Deutsche Bank AG New York Branch, Deutsche Bank AG Cayman Islands Branch, Goldman Sachs Bank USA, SunTrust Bank, SunTrust Robinson Humphrey, Inc., U.S. Bank National Association, KeyBank National Association, KeyBanc Capital Markets Inc., Fifth Third Bank, and Citizens Bank, National Association (together with the Initial Commitment Parties, collectively, the “Commitment Parties”). Pursuant to the A&amp;R Commitment Letter, the Commitment Parties committed to arrange and provide (i) the Company with: (w) a $1,000.0 million senior secured revolving credit facility, (x) a $3,000.0 million senior secured term loan B facility, (y) a $3,250.0 million senior secured 364-day bridge facility and (z) a $1,800.0 million senior unsecured bridge loan facility and (ii) Caesars Resort Collection, LLC, a subsidiary of Caesars, with a $2,400.0 million senior secured incremental term loan B facility (collectively, the “Debt Financing”). The proceeds of the Debt Financing will be used (a) to pay all or a portion of the cash consideration payable in the Merger, (b) to refinance all of our existing syndicated bank credit facilities and outstanding senior notes, (c) to refinance certain of Caesars’ and its subsidiaries’ existing debt, (d) to pay transaction fees and expenses related to the Merger and related transactions and (e) for working capital and general corporate purposes. The availability of the borrowings under the Debt Financing is subject to the satisfaction of certain customary conditions including the substantially concurrent closing of the Merger.</w:t>
      </w:r>
    </w:p>
    <w:p>
      <w:pPr>
        <w:spacing w:after="0" w:line="213" w:lineRule="exact"/>
        <w:rPr>
          <w:sz w:val="20"/>
          <w:szCs w:val="20"/>
          <w:color w:val="auto"/>
        </w:rPr>
      </w:pPr>
    </w:p>
    <w:p>
      <w:pPr>
        <w:ind w:right="40" w:firstLine="555"/>
        <w:spacing w:after="0" w:line="252" w:lineRule="auto"/>
        <w:rPr>
          <w:sz w:val="20"/>
          <w:szCs w:val="20"/>
          <w:color w:val="auto"/>
        </w:rPr>
      </w:pPr>
      <w:r>
        <w:rPr>
          <w:rFonts w:ascii="Arial" w:cs="Arial" w:eastAsia="Arial" w:hAnsi="Arial"/>
          <w:sz w:val="18"/>
          <w:szCs w:val="18"/>
          <w:color w:val="auto"/>
        </w:rPr>
        <w:t>On July 19, 2019, the Company entered into a commitment and engagement letter (as amended, the “Increase Commitment Letter”) and related fee letters to, if elected by the Company, increase the total size of the Debt Financing, including an increase to the senior secured term loan B facility to be arranged on a commercially reasonable efforts basis by the Commitment Parties in an amount to be agreed upon by the parties and an increase to the revolving credit facility by $830.0 million, the proceeds of which, if the Company elects to incur such financing, may be used to refinance certain existing indebtedness of Caesars Resort Collection, LLC and its subsidiaries and for working capital and general corporate purposes upon consummation of the Merger. The Increase Commitment Letter and a related engagement letter also contemplate the possibility of new senior secured and/or senior unsecured notes to be issued by the Company.</w:t>
      </w:r>
    </w:p>
    <w:p>
      <w:pPr>
        <w:spacing w:after="0" w:line="232" w:lineRule="exact"/>
        <w:rPr>
          <w:sz w:val="20"/>
          <w:szCs w:val="20"/>
          <w:color w:val="auto"/>
        </w:rPr>
      </w:pPr>
    </w:p>
    <w:p>
      <w:pPr>
        <w:ind w:firstLine="555"/>
        <w:spacing w:after="0" w:line="281" w:lineRule="auto"/>
        <w:rPr>
          <w:sz w:val="20"/>
          <w:szCs w:val="20"/>
          <w:color w:val="auto"/>
        </w:rPr>
      </w:pPr>
      <w:r>
        <w:rPr>
          <w:rFonts w:ascii="Arial" w:cs="Arial" w:eastAsia="Arial" w:hAnsi="Arial"/>
          <w:sz w:val="16"/>
          <w:szCs w:val="16"/>
          <w:color w:val="auto"/>
        </w:rPr>
        <w:t>In connection with the execution of the Merger Agreement, on June 24, 2019, we entered into a Master Transaction Agreement (the “MTA”) with VICI, pursuant to which, among other things, we have agreed, subject to the consummation of the Merger and the other applicable conditions set forth therein and in any related documents, (i) through one or more of our subsidiaries (after giving effect to the Merger) to consummate one or more sale and leaseback transactions with VICI and/or its affiliates with respect to certain property described in the MTA, including Harrah’s New Orleans, Harrah’s Laughlin and Harrah’s Atlantic City, (ii) through one or more of our subsidiaries (after giving effect to the Merger) to amend the CPLV Lease, the Non-CPLV Lease and the Joliet Lease (each as defined in the MTA) in accordance with the terms of the MTA and receive certain consideration from VICI or its affiliates in respect thereof, (iii) to provide a guaranty in respect of each of the CPLV Lease, the Non-CPLV Lease and the Joliet Lease in accordance with the terms of the MTA,</w:t>
      </w:r>
    </w:p>
    <w:p>
      <w:pPr>
        <w:spacing w:after="0" w:line="4" w:lineRule="exact"/>
        <w:rPr>
          <w:sz w:val="20"/>
          <w:szCs w:val="20"/>
          <w:color w:val="auto"/>
        </w:rPr>
      </w:pPr>
    </w:p>
    <w:p>
      <w:pPr>
        <w:ind w:right="100" w:firstLine="7"/>
        <w:spacing w:after="0" w:line="250" w:lineRule="auto"/>
        <w:tabs>
          <w:tab w:leader="none" w:pos="30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enter into (or cause our subsidiaries (after giving effect to the Merger) to enter into) certain right of first refusal agreements and a put-call right agreement in accordance with the terms of the MTA and (v) to undertake certain related transactions in connection with or related to the foregoing. We expect to apply the proceeds of the VICI transactions to pay a portion of the cash consideration payable in the Merger and transaction expenses associated with the Merger and related transactions.</w:t>
      </w:r>
    </w:p>
    <w:p>
      <w:pPr>
        <w:spacing w:after="0" w:line="235" w:lineRule="exact"/>
        <w:rPr>
          <w:sz w:val="20"/>
          <w:szCs w:val="20"/>
          <w:color w:val="auto"/>
        </w:rPr>
      </w:pPr>
    </w:p>
    <w:p>
      <w:pPr>
        <w:ind w:right="100" w:firstLine="555"/>
        <w:spacing w:after="0" w:line="335" w:lineRule="auto"/>
        <w:rPr>
          <w:sz w:val="20"/>
          <w:szCs w:val="20"/>
          <w:color w:val="auto"/>
        </w:rPr>
      </w:pPr>
      <w:r>
        <w:rPr>
          <w:rFonts w:ascii="Arial" w:cs="Arial" w:eastAsia="Arial" w:hAnsi="Arial"/>
          <w:sz w:val="16"/>
          <w:szCs w:val="16"/>
          <w:color w:val="auto"/>
        </w:rPr>
        <w:t>On September 26, 2019, the Company and VICI entered into definitive Purchase and Sale Agreements to effect the purchase and sale of Harrah’s New Orleans, Harrah’s Laughlin and Harrah’s Atlantic City in connection with the transactions described in clause (i) of the preceding paragraph.</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that the Merger and related transactions will be consummated in the first half of 2020.</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Entertainment Inc.</w:t>
      </w:r>
    </w:p>
    <w:p>
      <w:pPr>
        <w:spacing w:after="0" w:line="114" w:lineRule="exact"/>
        <w:rPr>
          <w:sz w:val="20"/>
          <w:szCs w:val="20"/>
          <w:color w:val="auto"/>
        </w:rPr>
      </w:pPr>
    </w:p>
    <w:p>
      <w:pPr>
        <w:ind w:right="40" w:firstLine="555"/>
        <w:spacing w:after="0" w:line="269" w:lineRule="auto"/>
        <w:rPr>
          <w:sz w:val="20"/>
          <w:szCs w:val="20"/>
          <w:color w:val="auto"/>
        </w:rPr>
      </w:pPr>
      <w:r>
        <w:rPr>
          <w:rFonts w:ascii="Arial" w:cs="Arial" w:eastAsia="Arial" w:hAnsi="Arial"/>
          <w:sz w:val="17"/>
          <w:szCs w:val="17"/>
          <w:color w:val="auto"/>
        </w:rPr>
        <w:t>On October 1, 2018, we acquired Tropicana in a cash transaction valued at $1.9 billion. At the closing of the transaction Tropicana became a wholly-owned subsidiary of ours. Immediately prior to our acquisition, Tropicana sold Tropicana Aruba Resort and GLP Capital, L.P., a wholly-owned subsidiary of GLPI, acquired substantially all of Tropicana’s real estate, other than the real estate underlying MontBleu and Lumière, for approximately $964 million. We acquired the real estate underlying Lumière for $246 million with the proceeds of a $246 million loan from GLPI. We funded the remaining consideration payable with our cash on hand and cash on hand at Tropicana, borrowings under our revolving credit facility and proceeds from our offering of $600 million of 6.0% senior notes due 2026. In addition, our borrowing capacity on our revolving credit facility increased from $300.0 million to $500.0 million effective October 1, 2018, and the maturity of the revolving credit facility was extended to October 1, 2023.</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46" w:name="page47"/>
    <w:bookmarkEnd w:id="46"/>
    <w:p>
      <w:pPr>
        <w:ind w:right="20" w:firstLine="555"/>
        <w:spacing w:after="0" w:line="288" w:lineRule="auto"/>
        <w:rPr>
          <w:sz w:val="20"/>
          <w:szCs w:val="20"/>
          <w:color w:val="auto"/>
        </w:rPr>
      </w:pPr>
      <w:r>
        <w:rPr>
          <w:rFonts w:ascii="Arial" w:cs="Arial" w:eastAsia="Arial" w:hAnsi="Arial"/>
          <w:sz w:val="16"/>
          <w:szCs w:val="16"/>
          <w:color w:val="auto"/>
        </w:rPr>
        <w:t>Substantially concurrently with the acquisition of the real estate portfolio by GLPI, we entered into a triple net master lease for the Tropicana properties acquired by GLPI with an initial term of 15 years, with renewals of up to 20 years at our option (“Master Lease”). Under the Master Lease, we are required to pay the following, among other things: lease payments to the underlying ground lessor for properties that are subject to ground leases, facility maintenance costs, all insurance premiums for insurance with respect to the leased properties and the business conducted on the leased properties, taxes levied on or with respect to the leased properties (other than taxes on the income of the lessor and all utilities and other services necessary or appropriate for the leased properties and the business conducted on the leased properties). The initial annual rent under the terms of the lease was approximately $87.6 million and is subject to annual escalation. We do not have the ability to terminate the obligations under the Master Lease prior to its expiration without GLPI’s consent.</w:t>
      </w:r>
    </w:p>
    <w:p>
      <w:pPr>
        <w:spacing w:after="0" w:line="167" w:lineRule="exact"/>
        <w:rPr>
          <w:sz w:val="20"/>
          <w:szCs w:val="20"/>
          <w:color w:val="auto"/>
        </w:rPr>
      </w:pPr>
    </w:p>
    <w:p>
      <w:pPr>
        <w:ind w:right="40" w:firstLine="555"/>
        <w:spacing w:after="0" w:line="283" w:lineRule="auto"/>
        <w:rPr>
          <w:sz w:val="20"/>
          <w:szCs w:val="20"/>
          <w:color w:val="auto"/>
        </w:rPr>
      </w:pPr>
      <w:r>
        <w:rPr>
          <w:rFonts w:ascii="Arial" w:cs="Arial" w:eastAsia="Arial" w:hAnsi="Arial"/>
          <w:sz w:val="16"/>
          <w:szCs w:val="16"/>
          <w:color w:val="auto"/>
        </w:rPr>
        <w:t>In connection with the purchase of the real estate related to Lumière, GLPI, Tropicana St. Louis RE LLC, a wholly-owned subsidiary of ours (“Tropicana St. Louis RE”), and GLPI entered into a loan agreement, dated as of October 1, 2018 (the “Lumière Loan”), relating to a loan of $246 million by GLPI to Tropicana St. Louis RE to fund the purchase price of the real estate underlying Lumière. The Lumière Loan is guaranteed by us, bears interest at a rate equal to (i) 9.09% until October 1, 2019 and (ii) 9.27% thereafter and matures on October 1, 2020. The Lumière Loan was secured by a first priority mortgage on the Lumière real estate that was released pursuant to its terms on October 1, 2019. In connection with the issuance of the Lumière Loan, we agreed to use our commercially reasonable efforts to transfer one or more of Elgin, Bettendorf, Waterloo, Lula, Vicksburg and Mountaineer or such other property or properties mutually acceptable to Tropicana St. Louis RE and GLPI, provided that the aggregate value of such property, individually or collectively, is at least $246 million (the “Replacement Property”), to GLPI with a simultaneous leaseback to us of such Replacement Property. In connection with such Replacement Property sale, (i) we and GLPI will enter into an amendment to the Master Lease to revise the economic terms to include the Replacement Property, (ii) GLPI, or one of its affiliates, will assume the Lumière Loan and Tropicana St. Louis RE’s obligations under the Lumière Loan in consideration of the acquisition of the Replacement Property and our Tropicana St. Louis RE’s obligations under the Lumière Loan will be deemed to have been satisfied and (iii) in the event the value of the Replacement Property is greater than the outstanding obligations of Tropicana St. Louis RE under the Lumière Loan, GLPI will pay Tropicana St. Louis RE the difference between the value of the Replacement Property and the amount of outstanding obligations under the Lumière Loan. If such Replacement Property transaction is not consummated prior to the maturity date of the Lumière Loan, other than as a result of certain failures to perform by GLPI, then the amounts outstanding will be paid in full and the rent under the Master Lease will automatically increase, subject to certain escalations.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Grand Victoria Casino</w:t>
      </w:r>
    </w:p>
    <w:p>
      <w:pPr>
        <w:spacing w:after="0" w:line="114" w:lineRule="exact"/>
        <w:rPr>
          <w:sz w:val="20"/>
          <w:szCs w:val="20"/>
          <w:color w:val="auto"/>
        </w:rPr>
      </w:pPr>
    </w:p>
    <w:p>
      <w:pPr>
        <w:ind w:right="260" w:firstLine="555"/>
        <w:spacing w:after="0" w:line="259" w:lineRule="auto"/>
        <w:rPr>
          <w:sz w:val="20"/>
          <w:szCs w:val="20"/>
          <w:color w:val="auto"/>
        </w:rPr>
      </w:pPr>
      <w:r>
        <w:rPr>
          <w:rFonts w:ascii="Arial" w:cs="Arial" w:eastAsia="Arial" w:hAnsi="Arial"/>
          <w:sz w:val="18"/>
          <w:szCs w:val="18"/>
          <w:color w:val="auto"/>
        </w:rPr>
        <w:t>On August 7, 2018, we completed the acquisition of the Grand Victoria Casino in Elgin, Illinois. We purchased Elgin for $328.8 million, including a working capital adjustment totaling $1.3 million. The Elgin Acquisition was financed using cash on hand and borrowings under the Company’s revolving credit facility.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Partnerships and Development Opportunities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Hill</w:t>
      </w:r>
    </w:p>
    <w:p>
      <w:pPr>
        <w:spacing w:after="0" w:line="114" w:lineRule="exact"/>
        <w:rPr>
          <w:sz w:val="20"/>
          <w:szCs w:val="20"/>
          <w:color w:val="auto"/>
        </w:rPr>
      </w:pPr>
    </w:p>
    <w:p>
      <w:pPr>
        <w:ind w:firstLine="555"/>
        <w:spacing w:after="0" w:line="266" w:lineRule="auto"/>
        <w:rPr>
          <w:sz w:val="20"/>
          <w:szCs w:val="20"/>
          <w:color w:val="auto"/>
        </w:rPr>
      </w:pPr>
      <w:r>
        <w:rPr>
          <w:rFonts w:ascii="Arial" w:cs="Arial" w:eastAsia="Arial" w:hAnsi="Arial"/>
          <w:sz w:val="17"/>
          <w:szCs w:val="17"/>
          <w:color w:val="auto"/>
        </w:rPr>
        <w:t>In September 2018, we entered into a 25-year agreement, which became effective January 2019, with William Hill PLC and William Hill US, its U.S. subsidiary (together, “William Hill”) pursuant to which we (i) granted to William Hill the right to conduct betting activities in retail channels and under our first skin and third skin for online channels with respect to our current and future properties located in the United States and the territories and possessions of the United States, including Puerto Rico and the U.S. Virgin Islands and (ii) agreed that William Hill will have the right to conduct real money online gaming activities utilizing our second skin available with respect to properties in such territory</w:t>
      </w:r>
      <w:r>
        <w:rPr>
          <w:rFonts w:ascii="Arial" w:cs="Arial" w:eastAsia="Arial" w:hAnsi="Arial"/>
          <w:sz w:val="17"/>
          <w:szCs w:val="17"/>
          <w:i w:val="1"/>
          <w:iCs w:val="1"/>
          <w:color w:val="auto"/>
        </w:rPr>
        <w:t>.</w:t>
      </w:r>
      <w:r>
        <w:rPr>
          <w:rFonts w:ascii="Arial" w:cs="Arial" w:eastAsia="Arial" w:hAnsi="Arial"/>
          <w:sz w:val="17"/>
          <w:szCs w:val="17"/>
          <w:color w:val="auto"/>
        </w:rPr>
        <w:t xml:space="preserve"> Pursuant to the terms of the agreement, we received a 20% ownership interest in William Hill US valued at approximately $128.9 million as well as 13.4 million ordinary shares of William Hill PLC valued at approximately $27.3 million upon closing of the transaction in January 2019. The Company’s initial equity and the profit and losses attributable to William Hill US are in included in income (loss) from unconsolidated affiliates on the Consolidated Statements of Income. The amortization of deferred revenues associated with the Company’s equity interests totaled $5.4 million for the year ended December 31, 2019, and is included in corporate and other revenues and operating income. Additionally, we receive a profit share from the operations of betting and other gaming activities associated with the Company’s properties, which is included in other property revenues and operating income.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The Stars Group</w:t>
      </w:r>
    </w:p>
    <w:p>
      <w:pPr>
        <w:spacing w:after="0" w:line="114" w:lineRule="exact"/>
        <w:rPr>
          <w:sz w:val="20"/>
          <w:szCs w:val="20"/>
          <w:color w:val="auto"/>
        </w:rPr>
      </w:pPr>
    </w:p>
    <w:p>
      <w:pPr>
        <w:ind w:right="60" w:firstLine="555"/>
        <w:spacing w:after="0" w:line="286" w:lineRule="auto"/>
        <w:rPr>
          <w:sz w:val="20"/>
          <w:szCs w:val="20"/>
          <w:color w:val="auto"/>
        </w:rPr>
      </w:pPr>
      <w:r>
        <w:rPr>
          <w:rFonts w:ascii="Arial" w:cs="Arial" w:eastAsia="Arial" w:hAnsi="Arial"/>
          <w:sz w:val="16"/>
          <w:szCs w:val="16"/>
          <w:color w:val="auto"/>
        </w:rPr>
        <w:t>In November 2018, we entered into a 20-year agreement with The Stars Group Inc. (“TSG”) pursuant to which we agreed to provide TSG with options to obtain access to our second skin for online sports wagering and third skin for real money online gaming and poker, in each case with respect to our properties in the United States. Under the terms of the agreement, we will receive a revenue share from the operation of the applicable verticals by TSG under our licenses. Pursuant to the terms of the TSG agreement, we received 1.1 million TSG common shares valued at approximately $18.6 million and an additional $5.0 million in TSG common shares became payable to us upon TSG’s exercise of its first option, which shares we received in the fourth quarter of 2019. In December 2019 we sold approximately 0.5 million of our TSG common shares at the request of William Hill and in accordance with the terms of our William Hill agreement. We may also receive additional TSG common shares in the future based on TSG net gaming revenue generated in our markets. Upon the entry into the TSG agreement, the Company also recorded deferred revenue associated with the shares received and recognized revenue of $1.3 million during the year ended December 31, 2019, which is included in corporate and other revenues and operating income.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Pompano Joint Venture</w:t>
      </w:r>
    </w:p>
    <w:p>
      <w:pPr>
        <w:spacing w:after="0" w:line="114" w:lineRule="exact"/>
        <w:rPr>
          <w:sz w:val="20"/>
          <w:szCs w:val="20"/>
          <w:color w:val="auto"/>
        </w:rPr>
      </w:pPr>
    </w:p>
    <w:p>
      <w:pPr>
        <w:ind w:firstLine="555"/>
        <w:spacing w:after="0" w:line="267" w:lineRule="auto"/>
        <w:rPr>
          <w:sz w:val="20"/>
          <w:szCs w:val="20"/>
          <w:color w:val="auto"/>
        </w:rPr>
      </w:pPr>
      <w:r>
        <w:rPr>
          <w:rFonts w:ascii="Arial" w:cs="Arial" w:eastAsia="Arial" w:hAnsi="Arial"/>
          <w:sz w:val="17"/>
          <w:szCs w:val="17"/>
          <w:color w:val="auto"/>
        </w:rPr>
        <w:t>In April 2018, we entered into a joint venture with Cordish Companies (“Cordish”) to master plan and develop a mixed-use entertainment and hospitality destination expected to be located on unused land adjacent to the casino and racetrack at our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our input and will submit it for our review and approval. We and Cordish have made cash contributions of $500,000 each and could be required to make additional contributions to a maximum of $2.0 million ($1.0 million per member) at the request of the managing member. We have agreed to contribute approximately 130 to 200 acres of land to the joint venture for the project. As of December 31, 2019, we have contributed approximately 23 acres to the joint venture at an approximate fair value of $6.6 million. While we hold a 50% variable interest in the joint venture, we are not the primary beneficiary; as such the investment in the joint venture is accounted for using the equity method. We participate evenly with Cordish in the profits and losses of the joint venture, which is included in income (loss) from unconsolidated affiliates on the Consolidated Statements of Income.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Churchill Downs Incorporated</w:t>
      </w:r>
    </w:p>
    <w:p>
      <w:pPr>
        <w:spacing w:after="0" w:line="114" w:lineRule="exact"/>
        <w:rPr>
          <w:sz w:val="20"/>
          <w:szCs w:val="20"/>
          <w:color w:val="auto"/>
        </w:rPr>
      </w:pPr>
    </w:p>
    <w:p>
      <w:pPr>
        <w:ind w:right="60" w:firstLine="555"/>
        <w:spacing w:after="0" w:line="272" w:lineRule="auto"/>
        <w:rPr>
          <w:sz w:val="20"/>
          <w:szCs w:val="20"/>
          <w:color w:val="auto"/>
        </w:rPr>
      </w:pPr>
      <w:r>
        <w:rPr>
          <w:rFonts w:ascii="Arial" w:cs="Arial" w:eastAsia="Arial" w:hAnsi="Arial"/>
          <w:sz w:val="17"/>
          <w:szCs w:val="17"/>
          <w:color w:val="auto"/>
        </w:rPr>
        <w:t>On February 28, 2018, we entered into definitive agreements to sell substantially all of the assets and liabilities of Presque and Vicksburg to Churchill Downs Incorporated (“CDI”). Under the terms of the agreements, CDI agreed to purchase Presque for cash consideration of approximately $178.9 million and Vicksburg for cash consideration of approximately $50.6 million, in each case subject to a customary working capital adjustment. In conjunction with the classification of Vicksburg’s operations as assets held for sale in 2018 as a result of the announced sale to CDI, an impairment charge totaling $9.8 million was recorded due to the carrying value exceeding the estimated net sales proceeds.</w:t>
      </w:r>
    </w:p>
    <w:p>
      <w:pPr>
        <w:spacing w:after="0" w:line="177" w:lineRule="exact"/>
        <w:rPr>
          <w:sz w:val="20"/>
          <w:szCs w:val="20"/>
          <w:color w:val="auto"/>
        </w:rPr>
      </w:pPr>
    </w:p>
    <w:p>
      <w:pPr>
        <w:jc w:val="both"/>
        <w:ind w:right="380" w:firstLine="555"/>
        <w:spacing w:after="0" w:line="297" w:lineRule="auto"/>
        <w:rPr>
          <w:sz w:val="20"/>
          <w:szCs w:val="20"/>
          <w:color w:val="auto"/>
        </w:rPr>
      </w:pPr>
      <w:r>
        <w:rPr>
          <w:rFonts w:ascii="Arial" w:cs="Arial" w:eastAsia="Arial" w:hAnsi="Arial"/>
          <w:sz w:val="16"/>
          <w:szCs w:val="16"/>
          <w:color w:val="auto"/>
        </w:rPr>
        <w:t>The definitive agreements provided that the divestitures were subject to receipt of required regulatory approvals, termination of the waiting period under the HSR Act and other customary closing conditions, including, in the case of Presque, the prior closing of the sale of Vicksburg or the entry into an agreement to acquire another asset of ours. On May 7, 2018, we and CDI each received a Request for Additional Information and Documentary Materials, often referred to as a “Second Request,” from the Federal Trade Commission in connection with its review of the Vicksburg acquisition.</w:t>
      </w:r>
    </w:p>
    <w:p>
      <w:pPr>
        <w:spacing w:after="0" w:line="160" w:lineRule="exact"/>
        <w:rPr>
          <w:sz w:val="20"/>
          <w:szCs w:val="20"/>
          <w:color w:val="auto"/>
        </w:rPr>
      </w:pPr>
    </w:p>
    <w:p>
      <w:pPr>
        <w:ind w:right="200" w:firstLine="555"/>
        <w:spacing w:after="0" w:line="269" w:lineRule="auto"/>
        <w:rPr>
          <w:sz w:val="20"/>
          <w:szCs w:val="20"/>
          <w:color w:val="auto"/>
        </w:rPr>
      </w:pPr>
      <w:r>
        <w:rPr>
          <w:rFonts w:ascii="Arial" w:cs="Arial" w:eastAsia="Arial" w:hAnsi="Arial"/>
          <w:sz w:val="17"/>
          <w:szCs w:val="17"/>
          <w:color w:val="auto"/>
        </w:rPr>
        <w:t>On July 6, 2018, in consideration of the time and expense needed to reply to the Second Request, the Company and CDI entered into a termination agreement and release pursuant to which the parties agreed to terminate the asset purchase agreement with respect to Vicksburg and to enter into an asset purchase agreement pursuant to which CDI would acquire and assume the rights and obligations to operate Nemacolin (the “Vicksburg Termination Agreement”). The Vicksburg Termination Agreement also provided that CDI would pay us a $5.0 million termination fee upon execution of a definitive agreement with respect to the Nemacolin transaction. On August 10, 2018, we entered into a definitive agreement to sell substantially all of the assets and liabilities of Nemacolin to CDI. Under the terms of the agreement, CDI agreed to purchase Nemacolin for cash consideration of approximately $0.1 million, subject to a customary working capital adjustment.</w:t>
      </w:r>
    </w:p>
    <w:p>
      <w:pPr>
        <w:spacing w:after="0" w:line="179" w:lineRule="exact"/>
        <w:rPr>
          <w:sz w:val="20"/>
          <w:szCs w:val="20"/>
          <w:color w:val="auto"/>
        </w:rPr>
      </w:pPr>
    </w:p>
    <w:p>
      <w:pPr>
        <w:ind w:firstLine="555"/>
        <w:spacing w:after="0" w:line="271" w:lineRule="auto"/>
        <w:rPr>
          <w:sz w:val="20"/>
          <w:szCs w:val="20"/>
          <w:color w:val="auto"/>
        </w:rPr>
      </w:pPr>
      <w:r>
        <w:rPr>
          <w:rFonts w:ascii="Arial" w:cs="Arial" w:eastAsia="Arial" w:hAnsi="Arial"/>
          <w:sz w:val="18"/>
          <w:szCs w:val="18"/>
          <w:color w:val="auto"/>
        </w:rPr>
        <w:t>As a result of the agreement to sell Nemacolin, an impairment charge of $3.8 million was recorded in the third quarter of 2018 due to the carrying value of the net property and equipment being sold exceeding the estimated net sales proceeds.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660" w:right="259" w:bottom="1440" w:gutter="0" w:footer="0" w:header="0"/>
        </w:sectPr>
      </w:pPr>
    </w:p>
    <w:bookmarkStart w:id="48" w:name="page49"/>
    <w:bookmarkEnd w:id="48"/>
    <w:p>
      <w:pPr>
        <w:ind w:left="560"/>
        <w:spacing w:after="0"/>
        <w:rPr>
          <w:sz w:val="20"/>
          <w:szCs w:val="20"/>
          <w:color w:val="auto"/>
        </w:rPr>
      </w:pPr>
      <w:r>
        <w:rPr>
          <w:rFonts w:ascii="Arial" w:cs="Arial" w:eastAsia="Arial" w:hAnsi="Arial"/>
          <w:sz w:val="18"/>
          <w:szCs w:val="18"/>
          <w:color w:val="auto"/>
        </w:rPr>
        <w:t>We completed the sale of Presque on January 11, 2019 and the sale of Nemacolin on March 8, 2019.</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Casinos, Inc.</w:t>
      </w:r>
    </w:p>
    <w:p>
      <w:pPr>
        <w:spacing w:after="0" w:line="128"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On June 17, 2019, the Company entered into definitive agreements to sell the real property relating to Mountaineer, Cape Girardeau, and Caruthersville to VICI for approximately $278 million and, immediately following the consummation of the sale such real property, sell all of the outstanding equity interests of Mountaineer, Caruthersville and Cape Girardeau to Century Casinos, Inc. for approximately $107 million, subject to a finalized working capital adjustment. The sales were consummated on December 6, 2019.</w:t>
      </w:r>
    </w:p>
    <w:p>
      <w:pPr>
        <w:spacing w:after="0" w:line="218" w:lineRule="exact"/>
        <w:rPr>
          <w:sz w:val="20"/>
          <w:szCs w:val="20"/>
          <w:color w:val="auto"/>
        </w:rPr>
      </w:pPr>
    </w:p>
    <w:p>
      <w:pPr>
        <w:ind w:right="120" w:firstLine="555"/>
        <w:spacing w:after="0" w:line="282" w:lineRule="auto"/>
        <w:rPr>
          <w:sz w:val="20"/>
          <w:szCs w:val="20"/>
          <w:color w:val="auto"/>
        </w:rPr>
      </w:pPr>
      <w:r>
        <w:rPr>
          <w:rFonts w:ascii="Arial" w:cs="Arial" w:eastAsia="Arial" w:hAnsi="Arial"/>
          <w:sz w:val="17"/>
          <w:szCs w:val="17"/>
          <w:color w:val="auto"/>
        </w:rPr>
        <w:t>Prior to the closing date, the divestitures Mountaineer, Cape Girardeau and Caruthersville met the requirements for presentation as assets held for sale under generally accepted accounting principles. However, they did not meet the requirements for presentation as discontinued operations. Mountaineer was reported in the East segment and Cape Girardeau and Caruthersville were reported in Midwest segment.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Twin River Worldwide Holdings, Inc.</w:t>
      </w:r>
    </w:p>
    <w:p>
      <w:pPr>
        <w:spacing w:after="0" w:line="128" w:lineRule="exact"/>
        <w:rPr>
          <w:sz w:val="20"/>
          <w:szCs w:val="20"/>
          <w:color w:val="auto"/>
        </w:rPr>
      </w:pPr>
    </w:p>
    <w:p>
      <w:pPr>
        <w:ind w:right="240" w:firstLine="555"/>
        <w:spacing w:after="0" w:line="259" w:lineRule="auto"/>
        <w:rPr>
          <w:sz w:val="20"/>
          <w:szCs w:val="20"/>
          <w:color w:val="auto"/>
        </w:rPr>
      </w:pPr>
      <w:r>
        <w:rPr>
          <w:rFonts w:ascii="Arial" w:cs="Arial" w:eastAsia="Arial" w:hAnsi="Arial"/>
          <w:sz w:val="18"/>
          <w:szCs w:val="18"/>
          <w:color w:val="auto"/>
        </w:rPr>
        <w:t>On July 10, 2019, we entered into a definitive agreement to sell the equity interests of Rainbow Casino Vicksburg Partnership, L.P. and IOC-Kansas City, L.L.C., the entities that hold Lady Luck Casino Vicksburg and Isle of Capri Casino Kansas City, to Twin River Worldwide Holdings, Inc. for cash consideration of approximately $230 million, subject to a working capital adjustment.</w:t>
      </w:r>
    </w:p>
    <w:p>
      <w:pPr>
        <w:spacing w:after="0" w:line="226" w:lineRule="exact"/>
        <w:rPr>
          <w:sz w:val="20"/>
          <w:szCs w:val="20"/>
          <w:color w:val="auto"/>
        </w:rPr>
      </w:pPr>
    </w:p>
    <w:p>
      <w:pPr>
        <w:ind w:right="280" w:firstLine="555"/>
        <w:spacing w:after="0" w:line="271" w:lineRule="auto"/>
        <w:rPr>
          <w:sz w:val="20"/>
          <w:szCs w:val="20"/>
          <w:color w:val="auto"/>
        </w:rPr>
      </w:pPr>
      <w:r>
        <w:rPr>
          <w:rFonts w:ascii="Arial" w:cs="Arial" w:eastAsia="Arial" w:hAnsi="Arial"/>
          <w:sz w:val="18"/>
          <w:szCs w:val="18"/>
          <w:color w:val="auto"/>
        </w:rPr>
        <w:t>The definitive agreement provides that the consummation of the sale is subject to satisfaction of customary conditions, including receipt of required regulatory approvals. The transaction is expected to close in the first half of 2020.</w:t>
      </w:r>
    </w:p>
    <w:p>
      <w:pPr>
        <w:spacing w:after="0" w:line="202" w:lineRule="exact"/>
        <w:rPr>
          <w:sz w:val="20"/>
          <w:szCs w:val="20"/>
          <w:color w:val="auto"/>
        </w:rPr>
      </w:pPr>
    </w:p>
    <w:p>
      <w:pPr>
        <w:ind w:right="20" w:firstLine="555"/>
        <w:spacing w:after="0" w:line="417" w:lineRule="auto"/>
        <w:rPr>
          <w:sz w:val="20"/>
          <w:szCs w:val="20"/>
          <w:color w:val="auto"/>
        </w:rPr>
      </w:pPr>
      <w:r>
        <w:rPr>
          <w:rFonts w:ascii="Arial" w:cs="Arial" w:eastAsia="Arial" w:hAnsi="Arial"/>
          <w:sz w:val="14"/>
          <w:szCs w:val="14"/>
          <w:color w:val="auto"/>
        </w:rPr>
        <w:t>Vicksburg and Kansas City met the requirements for presentation as assets held for sale under generally accepted accounting principles as of December 31, 2019. However, they did not meet the requirements for presentation as discontinued operations and are included in income from continuing operations.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Maverick Gaming LLC.</w:t>
      </w:r>
    </w:p>
    <w:p>
      <w:pPr>
        <w:spacing w:after="0" w:line="128" w:lineRule="exact"/>
        <w:rPr>
          <w:sz w:val="20"/>
          <w:szCs w:val="20"/>
          <w:color w:val="auto"/>
        </w:rPr>
      </w:pPr>
    </w:p>
    <w:p>
      <w:pPr>
        <w:ind w:right="160" w:firstLine="555"/>
        <w:spacing w:after="0" w:line="271" w:lineRule="auto"/>
        <w:rPr>
          <w:sz w:val="20"/>
          <w:szCs w:val="20"/>
          <w:color w:val="auto"/>
        </w:rPr>
      </w:pPr>
      <w:r>
        <w:rPr>
          <w:rFonts w:ascii="Arial" w:cs="Arial" w:eastAsia="Arial" w:hAnsi="Arial"/>
          <w:sz w:val="18"/>
          <w:szCs w:val="18"/>
          <w:color w:val="auto"/>
        </w:rPr>
        <w:t>On January 13, 2020, we entered into a definitive agreement to sell Eldorado Resort Casino Shreveport for cash consideration of approximately $230 million, subject to a working capital adjustment.</w:t>
      </w:r>
    </w:p>
    <w:p>
      <w:pPr>
        <w:spacing w:after="0" w:line="215" w:lineRule="exact"/>
        <w:rPr>
          <w:sz w:val="20"/>
          <w:szCs w:val="20"/>
          <w:color w:val="auto"/>
        </w:rPr>
      </w:pPr>
    </w:p>
    <w:p>
      <w:pPr>
        <w:ind w:right="440" w:firstLine="555"/>
        <w:spacing w:after="0" w:line="271" w:lineRule="auto"/>
        <w:rPr>
          <w:sz w:val="20"/>
          <w:szCs w:val="20"/>
          <w:color w:val="auto"/>
        </w:rPr>
      </w:pPr>
      <w:r>
        <w:rPr>
          <w:rFonts w:ascii="Arial" w:cs="Arial" w:eastAsia="Arial" w:hAnsi="Arial"/>
          <w:sz w:val="18"/>
          <w:szCs w:val="18"/>
          <w:color w:val="auto"/>
        </w:rPr>
        <w:t>The definitive agreement provides that the consummation of the sale is subject to receipt of required regulatory approvals, the prior or concurrent closing of the Merger and other customary conditions. The transaction is expected to close in 2020.</w:t>
      </w:r>
    </w:p>
    <w:p>
      <w:pPr>
        <w:spacing w:after="0" w:line="202"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Eldorado Shreveport met the requirements for presentation as assets held for sale under generally accepted accounting principles subsequent to the year ended December 31, 2019. However, it did not meet the requirements for presentation as discontinued operations and will be included in income from continuing operations.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Reportable Segments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certain information regarding our properties (listed by segment in which each property is reported) as of December 31,</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54"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1460" w:type="dxa"/>
            <w:vAlign w:val="bottom"/>
            <w:gridSpan w:val="2"/>
          </w:tcPr>
          <w:p>
            <w:pPr>
              <w:ind w:left="300"/>
              <w:spacing w:after="0"/>
              <w:rPr>
                <w:sz w:val="20"/>
                <w:szCs w:val="20"/>
                <w:color w:val="auto"/>
              </w:rPr>
            </w:pPr>
            <w:r>
              <w:rPr>
                <w:rFonts w:ascii="Arial" w:cs="Arial" w:eastAsia="Arial" w:hAnsi="Arial"/>
                <w:sz w:val="14"/>
                <w:szCs w:val="14"/>
                <w:b w:val="1"/>
                <w:bCs w:val="1"/>
                <w:color w:val="auto"/>
              </w:rPr>
              <w:t>Segment</w:t>
            </w:r>
          </w:p>
        </w:tc>
        <w:tc>
          <w:tcPr>
            <w:tcW w:w="6120" w:type="dxa"/>
            <w:vAlign w:val="bottom"/>
            <w:gridSpan w:val="2"/>
          </w:tcPr>
          <w:p>
            <w:pPr>
              <w:ind w:left="2480"/>
              <w:spacing w:after="0"/>
              <w:rPr>
                <w:sz w:val="20"/>
                <w:szCs w:val="20"/>
                <w:color w:val="auto"/>
              </w:rPr>
            </w:pPr>
            <w:r>
              <w:rPr>
                <w:rFonts w:ascii="Arial" w:cs="Arial" w:eastAsia="Arial" w:hAnsi="Arial"/>
                <w:sz w:val="14"/>
                <w:szCs w:val="14"/>
                <w:b w:val="1"/>
                <w:bCs w:val="1"/>
                <w:color w:val="auto"/>
              </w:rPr>
              <w:t>Property</w:t>
            </w:r>
          </w:p>
        </w:tc>
        <w:tc>
          <w:tcPr>
            <w:tcW w:w="20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Date Acquired</w:t>
            </w:r>
          </w:p>
        </w:tc>
        <w:tc>
          <w:tcPr>
            <w:tcW w:w="1420" w:type="dxa"/>
            <w:vAlign w:val="bottom"/>
          </w:tcPr>
          <w:p>
            <w:pPr>
              <w:ind w:left="540"/>
              <w:spacing w:after="0"/>
              <w:rPr>
                <w:sz w:val="20"/>
                <w:szCs w:val="20"/>
                <w:color w:val="auto"/>
              </w:rPr>
            </w:pPr>
            <w:r>
              <w:rPr>
                <w:rFonts w:ascii="Arial" w:cs="Arial" w:eastAsia="Arial" w:hAnsi="Arial"/>
                <w:sz w:val="14"/>
                <w:szCs w:val="14"/>
                <w:b w:val="1"/>
                <w:bCs w:val="1"/>
                <w:color w:val="auto"/>
              </w:rPr>
              <w:t>State</w:t>
            </w:r>
          </w:p>
        </w:tc>
      </w:tr>
      <w:tr>
        <w:trPr>
          <w:trHeight w:val="221"/>
        </w:trPr>
        <w:tc>
          <w:tcPr>
            <w:tcW w:w="11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300" w:type="dxa"/>
            <w:vAlign w:val="bottom"/>
            <w:tcBorders>
              <w:top w:val="single" w:sz="8" w:color="CFF0FC"/>
            </w:tcBorders>
            <w:shd w:val="clear" w:color="auto" w:fill="CFF0FC"/>
          </w:tcPr>
          <w:p>
            <w:pPr>
              <w:spacing w:after="0"/>
              <w:rPr>
                <w:sz w:val="19"/>
                <w:szCs w:val="19"/>
                <w:color w:val="auto"/>
              </w:rPr>
            </w:pPr>
          </w:p>
        </w:tc>
        <w:tc>
          <w:tcPr>
            <w:tcW w:w="552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Eldorado Resort Casino Reno ("Eldorado Reno")</w:t>
            </w:r>
          </w:p>
        </w:tc>
        <w:tc>
          <w:tcPr>
            <w:tcW w:w="60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1"/>
              </w:rPr>
              <w:t>(a)</w:t>
            </w:r>
          </w:p>
        </w:tc>
        <w:tc>
          <w:tcPr>
            <w:tcW w:w="50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Nevada</w:t>
            </w:r>
          </w:p>
        </w:tc>
      </w:tr>
      <w:tr>
        <w:trPr>
          <w:trHeight w:val="227"/>
        </w:trPr>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120" w:type="dxa"/>
            <w:vAlign w:val="bottom"/>
            <w:gridSpan w:val="2"/>
          </w:tcPr>
          <w:p>
            <w:pPr>
              <w:ind w:left="240"/>
              <w:spacing w:after="0"/>
              <w:rPr>
                <w:sz w:val="20"/>
                <w:szCs w:val="20"/>
                <w:color w:val="auto"/>
              </w:rPr>
            </w:pPr>
            <w:r>
              <w:rPr>
                <w:rFonts w:ascii="Arial" w:cs="Arial" w:eastAsia="Arial" w:hAnsi="Arial"/>
                <w:sz w:val="18"/>
                <w:szCs w:val="18"/>
                <w:color w:val="auto"/>
              </w:rPr>
              <w:t>Silver Legacy Resort Casino ("Silver Legacy")</w:t>
            </w:r>
          </w:p>
        </w:tc>
        <w:tc>
          <w:tcPr>
            <w:tcW w:w="2000" w:type="dxa"/>
            <w:vAlign w:val="bottom"/>
            <w:gridSpan w:val="2"/>
          </w:tcPr>
          <w:p>
            <w:pPr>
              <w:jc w:val="center"/>
              <w:ind w:right="540"/>
              <w:spacing w:after="0"/>
              <w:rPr>
                <w:sz w:val="20"/>
                <w:szCs w:val="20"/>
                <w:color w:val="auto"/>
              </w:rPr>
            </w:pPr>
            <w:r>
              <w:rPr>
                <w:rFonts w:ascii="Arial" w:cs="Arial" w:eastAsia="Arial" w:hAnsi="Arial"/>
                <w:sz w:val="18"/>
                <w:szCs w:val="18"/>
                <w:color w:val="auto"/>
                <w:w w:val="81"/>
              </w:rPr>
              <w:t>(a)</w:t>
            </w:r>
          </w:p>
        </w:tc>
        <w:tc>
          <w:tcPr>
            <w:tcW w:w="1420" w:type="dxa"/>
            <w:vAlign w:val="bottom"/>
          </w:tcPr>
          <w:p>
            <w:pPr>
              <w:ind w:left="240"/>
              <w:spacing w:after="0"/>
              <w:rPr>
                <w:sz w:val="20"/>
                <w:szCs w:val="20"/>
                <w:color w:val="auto"/>
              </w:rPr>
            </w:pPr>
            <w:r>
              <w:rPr>
                <w:rFonts w:ascii="Arial" w:cs="Arial" w:eastAsia="Arial" w:hAnsi="Arial"/>
                <w:sz w:val="18"/>
                <w:szCs w:val="18"/>
                <w:color w:val="auto"/>
              </w:rPr>
              <w:t>Nevada</w:t>
            </w:r>
          </w:p>
        </w:tc>
      </w:tr>
      <w:tr>
        <w:trPr>
          <w:trHeight w:val="27"/>
        </w:trPr>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4"/>
        </w:trPr>
        <w:tc>
          <w:tcPr>
            <w:tcW w:w="1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61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Circus Circus Reno ("Circus Reno")</w:t>
            </w:r>
          </w:p>
        </w:tc>
        <w:tc>
          <w:tcPr>
            <w:tcW w:w="2000" w:type="dxa"/>
            <w:vAlign w:val="bottom"/>
            <w:tcBorders>
              <w:bottom w:val="single" w:sz="8" w:color="CFF0FC"/>
            </w:tcBorders>
            <w:gridSpan w:val="2"/>
            <w:shd w:val="clear" w:color="auto" w:fill="CFF0FC"/>
          </w:tcPr>
          <w:p>
            <w:pPr>
              <w:jc w:val="center"/>
              <w:ind w:right="540"/>
              <w:spacing w:after="0"/>
              <w:rPr>
                <w:sz w:val="20"/>
                <w:szCs w:val="20"/>
                <w:color w:val="auto"/>
              </w:rPr>
            </w:pPr>
            <w:r>
              <w:rPr>
                <w:rFonts w:ascii="Arial" w:cs="Arial" w:eastAsia="Arial" w:hAnsi="Arial"/>
                <w:sz w:val="18"/>
                <w:szCs w:val="18"/>
                <w:color w:val="auto"/>
                <w:w w:val="81"/>
              </w:rPr>
              <w:t>(a)</w:t>
            </w:r>
          </w:p>
        </w:tc>
        <w:tc>
          <w:tcPr>
            <w:tcW w:w="14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Nevada</w:t>
            </w:r>
          </w:p>
        </w:tc>
      </w:tr>
      <w:tr>
        <w:trPr>
          <w:trHeight w:val="234"/>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120" w:type="dxa"/>
            <w:vAlign w:val="bottom"/>
            <w:gridSpan w:val="2"/>
          </w:tcPr>
          <w:p>
            <w:pPr>
              <w:ind w:left="240"/>
              <w:spacing w:after="0"/>
              <w:rPr>
                <w:sz w:val="20"/>
                <w:szCs w:val="20"/>
                <w:color w:val="auto"/>
              </w:rPr>
            </w:pPr>
            <w:r>
              <w:rPr>
                <w:rFonts w:ascii="Arial" w:cs="Arial" w:eastAsia="Arial" w:hAnsi="Arial"/>
                <w:sz w:val="18"/>
                <w:szCs w:val="18"/>
                <w:color w:val="auto"/>
              </w:rPr>
              <w:t>MontBleu Casino Resort &amp; Spa ("MontBleu")</w:t>
            </w:r>
          </w:p>
        </w:tc>
        <w:tc>
          <w:tcPr>
            <w:tcW w:w="200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October 1, 2018</w:t>
            </w:r>
          </w:p>
        </w:tc>
        <w:tc>
          <w:tcPr>
            <w:tcW w:w="1420" w:type="dxa"/>
            <w:vAlign w:val="bottom"/>
          </w:tcPr>
          <w:p>
            <w:pPr>
              <w:ind w:left="240"/>
              <w:spacing w:after="0"/>
              <w:rPr>
                <w:sz w:val="20"/>
                <w:szCs w:val="20"/>
                <w:color w:val="auto"/>
              </w:rPr>
            </w:pPr>
            <w:r>
              <w:rPr>
                <w:rFonts w:ascii="Arial" w:cs="Arial" w:eastAsia="Arial" w:hAnsi="Arial"/>
                <w:sz w:val="18"/>
                <w:szCs w:val="18"/>
                <w:color w:val="auto"/>
              </w:rPr>
              <w:t>Nevada</w:t>
            </w:r>
          </w:p>
        </w:tc>
      </w:tr>
      <w:tr>
        <w:trPr>
          <w:trHeight w:val="241"/>
        </w:trPr>
        <w:tc>
          <w:tcPr>
            <w:tcW w:w="1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61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Tropicana Laughlin Hotel &amp; Casino ("Laughlin")</w:t>
            </w:r>
          </w:p>
        </w:tc>
        <w:tc>
          <w:tcPr>
            <w:tcW w:w="2000" w:type="dxa"/>
            <w:vAlign w:val="bottom"/>
            <w:tcBorders>
              <w:bottom w:val="single" w:sz="8" w:color="CFF0FC"/>
            </w:tcBorders>
            <w:gridSpan w:val="2"/>
            <w:shd w:val="clear" w:color="auto" w:fill="CFF0FC"/>
          </w:tcPr>
          <w:p>
            <w:pPr>
              <w:jc w:val="center"/>
              <w:ind w:right="540"/>
              <w:spacing w:after="0"/>
              <w:rPr>
                <w:sz w:val="20"/>
                <w:szCs w:val="20"/>
                <w:color w:val="auto"/>
              </w:rPr>
            </w:pPr>
            <w:r>
              <w:rPr>
                <w:rFonts w:ascii="Arial" w:cs="Arial" w:eastAsia="Arial" w:hAnsi="Arial"/>
                <w:sz w:val="18"/>
                <w:szCs w:val="18"/>
                <w:color w:val="auto"/>
                <w:w w:val="88"/>
              </w:rPr>
              <w:t>October 1, 2018</w:t>
            </w:r>
          </w:p>
        </w:tc>
        <w:tc>
          <w:tcPr>
            <w:tcW w:w="14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Nevada</w:t>
            </w:r>
          </w:p>
        </w:tc>
      </w:tr>
      <w:tr>
        <w:trPr>
          <w:trHeight w:val="227"/>
        </w:trPr>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120" w:type="dxa"/>
            <w:vAlign w:val="bottom"/>
            <w:gridSpan w:val="2"/>
          </w:tcPr>
          <w:p>
            <w:pPr>
              <w:ind w:left="240"/>
              <w:spacing w:after="0"/>
              <w:rPr>
                <w:sz w:val="20"/>
                <w:szCs w:val="20"/>
                <w:color w:val="auto"/>
              </w:rPr>
            </w:pPr>
            <w:r>
              <w:rPr>
                <w:rFonts w:ascii="Arial" w:cs="Arial" w:eastAsia="Arial" w:hAnsi="Arial"/>
                <w:sz w:val="18"/>
                <w:szCs w:val="18"/>
                <w:color w:val="auto"/>
              </w:rPr>
              <w:t>Isle Casino Hotel - Blackhawk ("Isle Black Hawk")</w:t>
            </w:r>
          </w:p>
        </w:tc>
        <w:tc>
          <w:tcPr>
            <w:tcW w:w="200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May 1, 2017</w:t>
            </w:r>
          </w:p>
        </w:tc>
        <w:tc>
          <w:tcPr>
            <w:tcW w:w="1420" w:type="dxa"/>
            <w:vAlign w:val="bottom"/>
          </w:tcPr>
          <w:p>
            <w:pPr>
              <w:ind w:left="240"/>
              <w:spacing w:after="0"/>
              <w:rPr>
                <w:sz w:val="20"/>
                <w:szCs w:val="20"/>
                <w:color w:val="auto"/>
              </w:rPr>
            </w:pPr>
            <w:r>
              <w:rPr>
                <w:rFonts w:ascii="Arial" w:cs="Arial" w:eastAsia="Arial" w:hAnsi="Arial"/>
                <w:sz w:val="18"/>
                <w:szCs w:val="18"/>
                <w:color w:val="auto"/>
              </w:rPr>
              <w:t>Colorado</w:t>
            </w:r>
          </w:p>
        </w:tc>
      </w:tr>
      <w:tr>
        <w:trPr>
          <w:trHeight w:val="27"/>
        </w:trPr>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1"/>
        </w:trPr>
        <w:tc>
          <w:tcPr>
            <w:tcW w:w="1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1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Lady Luck Casino - Black Hawk ("Lady Luck Black Hawk")</w:t>
            </w:r>
          </w:p>
        </w:tc>
        <w:tc>
          <w:tcPr>
            <w:tcW w:w="2000" w:type="dxa"/>
            <w:vAlign w:val="bottom"/>
            <w:gridSpan w:val="2"/>
            <w:shd w:val="clear" w:color="auto" w:fill="CFF0FC"/>
          </w:tcPr>
          <w:p>
            <w:pPr>
              <w:jc w:val="center"/>
              <w:ind w:right="540"/>
              <w:spacing w:after="0"/>
              <w:rPr>
                <w:sz w:val="20"/>
                <w:szCs w:val="20"/>
                <w:color w:val="auto"/>
              </w:rPr>
            </w:pPr>
            <w:r>
              <w:rPr>
                <w:rFonts w:ascii="Arial" w:cs="Arial" w:eastAsia="Arial" w:hAnsi="Arial"/>
                <w:sz w:val="18"/>
                <w:szCs w:val="18"/>
                <w:color w:val="auto"/>
                <w:w w:val="90"/>
              </w:rPr>
              <w:t>May 1, 2017</w:t>
            </w:r>
          </w:p>
        </w:tc>
        <w:tc>
          <w:tcPr>
            <w:tcW w:w="1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Colorado</w:t>
            </w:r>
          </w:p>
        </w:tc>
      </w:tr>
      <w:tr>
        <w:trPr>
          <w:trHeight w:val="227"/>
        </w:trPr>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41"/>
        </w:trPr>
        <w:tc>
          <w:tcPr>
            <w:tcW w:w="14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Midwest (b)</w:t>
            </w:r>
          </w:p>
        </w:tc>
        <w:tc>
          <w:tcPr>
            <w:tcW w:w="61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Isle Casino Waterloo ("Waterloo")</w:t>
            </w:r>
          </w:p>
        </w:tc>
        <w:tc>
          <w:tcPr>
            <w:tcW w:w="2000" w:type="dxa"/>
            <w:vAlign w:val="bottom"/>
            <w:gridSpan w:val="2"/>
            <w:shd w:val="clear" w:color="auto" w:fill="CFF0FC"/>
          </w:tcPr>
          <w:p>
            <w:pPr>
              <w:jc w:val="center"/>
              <w:ind w:right="540"/>
              <w:spacing w:after="0"/>
              <w:rPr>
                <w:sz w:val="20"/>
                <w:szCs w:val="20"/>
                <w:color w:val="auto"/>
              </w:rPr>
            </w:pPr>
            <w:r>
              <w:rPr>
                <w:rFonts w:ascii="Arial" w:cs="Arial" w:eastAsia="Arial" w:hAnsi="Arial"/>
                <w:sz w:val="18"/>
                <w:szCs w:val="18"/>
                <w:color w:val="auto"/>
                <w:w w:val="90"/>
              </w:rPr>
              <w:t>May 1, 2017</w:t>
            </w:r>
          </w:p>
        </w:tc>
        <w:tc>
          <w:tcPr>
            <w:tcW w:w="1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Iowa</w:t>
            </w:r>
          </w:p>
        </w:tc>
      </w:tr>
      <w:tr>
        <w:trPr>
          <w:trHeight w:val="227"/>
        </w:trPr>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120" w:type="dxa"/>
            <w:vAlign w:val="bottom"/>
            <w:gridSpan w:val="2"/>
          </w:tcPr>
          <w:p>
            <w:pPr>
              <w:ind w:left="240"/>
              <w:spacing w:after="0"/>
              <w:rPr>
                <w:sz w:val="20"/>
                <w:szCs w:val="20"/>
                <w:color w:val="auto"/>
              </w:rPr>
            </w:pPr>
            <w:r>
              <w:rPr>
                <w:rFonts w:ascii="Arial" w:cs="Arial" w:eastAsia="Arial" w:hAnsi="Arial"/>
                <w:sz w:val="18"/>
                <w:szCs w:val="18"/>
                <w:color w:val="auto"/>
              </w:rPr>
              <w:t>Isle Casino Bettendorf ("Bettendorf")</w:t>
            </w:r>
          </w:p>
        </w:tc>
        <w:tc>
          <w:tcPr>
            <w:tcW w:w="200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May 1, 2017</w:t>
            </w:r>
          </w:p>
        </w:tc>
        <w:tc>
          <w:tcPr>
            <w:tcW w:w="1420" w:type="dxa"/>
            <w:vAlign w:val="bottom"/>
          </w:tcPr>
          <w:p>
            <w:pPr>
              <w:ind w:left="240"/>
              <w:spacing w:after="0"/>
              <w:rPr>
                <w:sz w:val="20"/>
                <w:szCs w:val="20"/>
                <w:color w:val="auto"/>
              </w:rPr>
            </w:pPr>
            <w:r>
              <w:rPr>
                <w:rFonts w:ascii="Arial" w:cs="Arial" w:eastAsia="Arial" w:hAnsi="Arial"/>
                <w:sz w:val="18"/>
                <w:szCs w:val="18"/>
                <w:color w:val="auto"/>
              </w:rPr>
              <w:t>Iowa</w:t>
            </w:r>
          </w:p>
        </w:tc>
      </w:tr>
      <w:tr>
        <w:trPr>
          <w:trHeight w:val="27"/>
        </w:trPr>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4"/>
        </w:trPr>
        <w:tc>
          <w:tcPr>
            <w:tcW w:w="1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61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Isle of Capri Casino Boonville ("Boonville")</w:t>
            </w:r>
          </w:p>
        </w:tc>
        <w:tc>
          <w:tcPr>
            <w:tcW w:w="2000" w:type="dxa"/>
            <w:vAlign w:val="bottom"/>
            <w:tcBorders>
              <w:bottom w:val="single" w:sz="8" w:color="CFF0FC"/>
            </w:tcBorders>
            <w:gridSpan w:val="2"/>
            <w:shd w:val="clear" w:color="auto" w:fill="CFF0FC"/>
          </w:tcPr>
          <w:p>
            <w:pPr>
              <w:jc w:val="center"/>
              <w:ind w:right="540"/>
              <w:spacing w:after="0"/>
              <w:rPr>
                <w:sz w:val="20"/>
                <w:szCs w:val="20"/>
                <w:color w:val="auto"/>
              </w:rPr>
            </w:pPr>
            <w:r>
              <w:rPr>
                <w:rFonts w:ascii="Arial" w:cs="Arial" w:eastAsia="Arial" w:hAnsi="Arial"/>
                <w:sz w:val="18"/>
                <w:szCs w:val="18"/>
                <w:color w:val="auto"/>
                <w:w w:val="90"/>
              </w:rPr>
              <w:t>May 1, 2017</w:t>
            </w:r>
          </w:p>
        </w:tc>
        <w:tc>
          <w:tcPr>
            <w:tcW w:w="14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Missouri</w:t>
            </w:r>
          </w:p>
        </w:tc>
      </w:tr>
      <w:tr>
        <w:trPr>
          <w:trHeight w:val="234"/>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120" w:type="dxa"/>
            <w:vAlign w:val="bottom"/>
            <w:gridSpan w:val="2"/>
          </w:tcPr>
          <w:p>
            <w:pPr>
              <w:ind w:left="240"/>
              <w:spacing w:after="0"/>
              <w:rPr>
                <w:sz w:val="20"/>
                <w:szCs w:val="20"/>
                <w:color w:val="auto"/>
              </w:rPr>
            </w:pPr>
            <w:r>
              <w:rPr>
                <w:rFonts w:ascii="Arial" w:cs="Arial" w:eastAsia="Arial" w:hAnsi="Arial"/>
                <w:sz w:val="18"/>
                <w:szCs w:val="18"/>
                <w:color w:val="auto"/>
              </w:rPr>
              <w:t>Isle of Capri Casino Kansas City ("Kansas City")</w:t>
            </w:r>
          </w:p>
        </w:tc>
        <w:tc>
          <w:tcPr>
            <w:tcW w:w="2000" w:type="dxa"/>
            <w:vAlign w:val="bottom"/>
            <w:gridSpan w:val="2"/>
          </w:tcPr>
          <w:p>
            <w:pPr>
              <w:jc w:val="center"/>
              <w:ind w:right="540"/>
              <w:spacing w:after="0"/>
              <w:rPr>
                <w:sz w:val="20"/>
                <w:szCs w:val="20"/>
                <w:color w:val="auto"/>
              </w:rPr>
            </w:pPr>
            <w:r>
              <w:rPr>
                <w:rFonts w:ascii="Arial" w:cs="Arial" w:eastAsia="Arial" w:hAnsi="Arial"/>
                <w:sz w:val="18"/>
                <w:szCs w:val="18"/>
                <w:color w:val="auto"/>
                <w:w w:val="91"/>
              </w:rPr>
              <w:t>May 1, 2017 (c)</w:t>
            </w:r>
          </w:p>
        </w:tc>
        <w:tc>
          <w:tcPr>
            <w:tcW w:w="1420" w:type="dxa"/>
            <w:vAlign w:val="bottom"/>
          </w:tcPr>
          <w:p>
            <w:pPr>
              <w:ind w:left="240"/>
              <w:spacing w:after="0"/>
              <w:rPr>
                <w:sz w:val="20"/>
                <w:szCs w:val="20"/>
                <w:color w:val="auto"/>
              </w:rPr>
            </w:pPr>
            <w:r>
              <w:rPr>
                <w:rFonts w:ascii="Arial" w:cs="Arial" w:eastAsia="Arial" w:hAnsi="Arial"/>
                <w:sz w:val="18"/>
                <w:szCs w:val="18"/>
                <w:color w:val="auto"/>
              </w:rPr>
              <w:t>Missouri</w:t>
            </w:r>
          </w:p>
        </w:tc>
      </w:tr>
      <w:tr>
        <w:trPr>
          <w:trHeight w:val="234"/>
        </w:trPr>
        <w:tc>
          <w:tcPr>
            <w:tcW w:w="1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5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r>
      <w:tr>
        <w:trPr>
          <w:trHeight w:val="234"/>
        </w:trPr>
        <w:tc>
          <w:tcPr>
            <w:tcW w:w="1460" w:type="dxa"/>
            <w:vAlign w:val="bottom"/>
            <w:gridSpan w:val="2"/>
          </w:tcPr>
          <w:p>
            <w:pPr>
              <w:ind w:left="240"/>
              <w:spacing w:after="0"/>
              <w:rPr>
                <w:sz w:val="20"/>
                <w:szCs w:val="20"/>
                <w:color w:val="auto"/>
              </w:rPr>
            </w:pPr>
            <w:r>
              <w:rPr>
                <w:rFonts w:ascii="Arial" w:cs="Arial" w:eastAsia="Arial" w:hAnsi="Arial"/>
                <w:sz w:val="18"/>
                <w:szCs w:val="18"/>
                <w:color w:val="auto"/>
              </w:rPr>
              <w:t>South</w:t>
            </w:r>
          </w:p>
        </w:tc>
        <w:tc>
          <w:tcPr>
            <w:tcW w:w="6120" w:type="dxa"/>
            <w:vAlign w:val="bottom"/>
            <w:gridSpan w:val="2"/>
          </w:tcPr>
          <w:p>
            <w:pPr>
              <w:ind w:left="240"/>
              <w:spacing w:after="0"/>
              <w:rPr>
                <w:sz w:val="20"/>
                <w:szCs w:val="20"/>
                <w:color w:val="auto"/>
              </w:rPr>
            </w:pPr>
            <w:r>
              <w:rPr>
                <w:rFonts w:ascii="Arial" w:cs="Arial" w:eastAsia="Arial" w:hAnsi="Arial"/>
                <w:sz w:val="18"/>
                <w:szCs w:val="18"/>
                <w:color w:val="auto"/>
              </w:rPr>
              <w:t>Isle Casino Racing Pompano Park ("Pompano")</w:t>
            </w:r>
          </w:p>
        </w:tc>
        <w:tc>
          <w:tcPr>
            <w:tcW w:w="200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May 1, 2017</w:t>
            </w:r>
          </w:p>
        </w:tc>
        <w:tc>
          <w:tcPr>
            <w:tcW w:w="1420" w:type="dxa"/>
            <w:vAlign w:val="bottom"/>
          </w:tcPr>
          <w:p>
            <w:pPr>
              <w:ind w:left="240"/>
              <w:spacing w:after="0"/>
              <w:rPr>
                <w:sz w:val="20"/>
                <w:szCs w:val="20"/>
                <w:color w:val="auto"/>
              </w:rPr>
            </w:pPr>
            <w:r>
              <w:rPr>
                <w:rFonts w:ascii="Arial" w:cs="Arial" w:eastAsia="Arial" w:hAnsi="Arial"/>
                <w:sz w:val="18"/>
                <w:szCs w:val="18"/>
                <w:color w:val="auto"/>
              </w:rPr>
              <w:t>Florida</w:t>
            </w:r>
          </w:p>
        </w:tc>
      </w:tr>
      <w:tr>
        <w:trPr>
          <w:trHeight w:val="234"/>
        </w:trPr>
        <w:tc>
          <w:tcPr>
            <w:tcW w:w="1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1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Eldorado Resort Casino Shreveport ("Eldorado Shreveport")</w:t>
            </w:r>
          </w:p>
        </w:tc>
        <w:tc>
          <w:tcPr>
            <w:tcW w:w="2000" w:type="dxa"/>
            <w:vAlign w:val="bottom"/>
            <w:gridSpan w:val="2"/>
            <w:shd w:val="clear" w:color="auto" w:fill="CFF0FC"/>
          </w:tcPr>
          <w:p>
            <w:pPr>
              <w:jc w:val="center"/>
              <w:ind w:right="520"/>
              <w:spacing w:after="0"/>
              <w:rPr>
                <w:sz w:val="20"/>
                <w:szCs w:val="20"/>
                <w:color w:val="auto"/>
              </w:rPr>
            </w:pPr>
            <w:r>
              <w:rPr>
                <w:rFonts w:ascii="Arial" w:cs="Arial" w:eastAsia="Arial" w:hAnsi="Arial"/>
                <w:sz w:val="18"/>
                <w:szCs w:val="18"/>
                <w:color w:val="auto"/>
                <w:w w:val="91"/>
              </w:rPr>
              <w:t>(a) (c)</w:t>
            </w:r>
          </w:p>
        </w:tc>
        <w:tc>
          <w:tcPr>
            <w:tcW w:w="1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Louisiana</w:t>
            </w:r>
          </w:p>
        </w:tc>
      </w:tr>
      <w:tr>
        <w:trPr>
          <w:trHeight w:val="148"/>
        </w:trPr>
        <w:tc>
          <w:tcPr>
            <w:tcW w:w="1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5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r>
      <w:tr>
        <w:trPr>
          <w:trHeight w:val="227"/>
        </w:trPr>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120" w:type="dxa"/>
            <w:vAlign w:val="bottom"/>
            <w:gridSpan w:val="2"/>
          </w:tcPr>
          <w:p>
            <w:pPr>
              <w:ind w:left="240"/>
              <w:spacing w:after="0"/>
              <w:rPr>
                <w:sz w:val="20"/>
                <w:szCs w:val="20"/>
                <w:color w:val="auto"/>
              </w:rPr>
            </w:pPr>
            <w:r>
              <w:rPr>
                <w:rFonts w:ascii="Arial" w:cs="Arial" w:eastAsia="Arial" w:hAnsi="Arial"/>
                <w:sz w:val="18"/>
                <w:szCs w:val="18"/>
                <w:color w:val="auto"/>
              </w:rPr>
              <w:t>Isle of Capri Casino Hotel Lake Charles ("Lake Charles")</w:t>
            </w:r>
          </w:p>
        </w:tc>
        <w:tc>
          <w:tcPr>
            <w:tcW w:w="200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May 1, 2017</w:t>
            </w:r>
          </w:p>
        </w:tc>
        <w:tc>
          <w:tcPr>
            <w:tcW w:w="1420" w:type="dxa"/>
            <w:vAlign w:val="bottom"/>
          </w:tcPr>
          <w:p>
            <w:pPr>
              <w:ind w:left="240"/>
              <w:spacing w:after="0"/>
              <w:rPr>
                <w:sz w:val="20"/>
                <w:szCs w:val="20"/>
                <w:color w:val="auto"/>
              </w:rPr>
            </w:pPr>
            <w:r>
              <w:rPr>
                <w:rFonts w:ascii="Arial" w:cs="Arial" w:eastAsia="Arial" w:hAnsi="Arial"/>
                <w:sz w:val="18"/>
                <w:szCs w:val="18"/>
                <w:color w:val="auto"/>
              </w:rPr>
              <w:t>Louisiana</w:t>
            </w:r>
          </w:p>
        </w:tc>
      </w:tr>
      <w:tr>
        <w:trPr>
          <w:trHeight w:val="27"/>
        </w:trPr>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1"/>
        </w:trPr>
        <w:tc>
          <w:tcPr>
            <w:tcW w:w="1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1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Belle of Baton Rouge Casino &amp; Hotel ("Baton Rouge")</w:t>
            </w:r>
          </w:p>
        </w:tc>
        <w:tc>
          <w:tcPr>
            <w:tcW w:w="2000" w:type="dxa"/>
            <w:vAlign w:val="bottom"/>
            <w:gridSpan w:val="2"/>
            <w:shd w:val="clear" w:color="auto" w:fill="CFF0FC"/>
          </w:tcPr>
          <w:p>
            <w:pPr>
              <w:jc w:val="center"/>
              <w:ind w:right="540"/>
              <w:spacing w:after="0"/>
              <w:rPr>
                <w:sz w:val="20"/>
                <w:szCs w:val="20"/>
                <w:color w:val="auto"/>
              </w:rPr>
            </w:pPr>
            <w:r>
              <w:rPr>
                <w:rFonts w:ascii="Arial" w:cs="Arial" w:eastAsia="Arial" w:hAnsi="Arial"/>
                <w:sz w:val="18"/>
                <w:szCs w:val="18"/>
                <w:color w:val="auto"/>
                <w:w w:val="88"/>
              </w:rPr>
              <w:t>October 1, 2018</w:t>
            </w:r>
          </w:p>
        </w:tc>
        <w:tc>
          <w:tcPr>
            <w:tcW w:w="1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Louisiana</w:t>
            </w:r>
          </w:p>
        </w:tc>
      </w:tr>
      <w:tr>
        <w:trPr>
          <w:trHeight w:val="227"/>
        </w:trPr>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120" w:type="dxa"/>
            <w:vAlign w:val="bottom"/>
            <w:gridSpan w:val="2"/>
          </w:tcPr>
          <w:p>
            <w:pPr>
              <w:ind w:left="240"/>
              <w:spacing w:after="0"/>
              <w:rPr>
                <w:sz w:val="20"/>
                <w:szCs w:val="20"/>
                <w:color w:val="auto"/>
              </w:rPr>
            </w:pPr>
            <w:r>
              <w:rPr>
                <w:rFonts w:ascii="Arial" w:cs="Arial" w:eastAsia="Arial" w:hAnsi="Arial"/>
                <w:sz w:val="18"/>
                <w:szCs w:val="18"/>
                <w:color w:val="auto"/>
              </w:rPr>
              <w:t>Isle of Capri Casino Lula ("Lula")</w:t>
            </w:r>
          </w:p>
        </w:tc>
        <w:tc>
          <w:tcPr>
            <w:tcW w:w="200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May 1, 2017</w:t>
            </w:r>
          </w:p>
        </w:tc>
        <w:tc>
          <w:tcPr>
            <w:tcW w:w="1420" w:type="dxa"/>
            <w:vAlign w:val="bottom"/>
          </w:tcPr>
          <w:p>
            <w:pPr>
              <w:ind w:left="240"/>
              <w:spacing w:after="0"/>
              <w:rPr>
                <w:sz w:val="20"/>
                <w:szCs w:val="20"/>
                <w:color w:val="auto"/>
              </w:rPr>
            </w:pPr>
            <w:r>
              <w:rPr>
                <w:rFonts w:ascii="Arial" w:cs="Arial" w:eastAsia="Arial" w:hAnsi="Arial"/>
                <w:sz w:val="18"/>
                <w:szCs w:val="18"/>
                <w:color w:val="auto"/>
              </w:rPr>
              <w:t>Mississippi</w:t>
            </w:r>
          </w:p>
        </w:tc>
      </w:tr>
      <w:tr>
        <w:trPr>
          <w:trHeight w:val="27"/>
        </w:trPr>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4"/>
        </w:trPr>
        <w:tc>
          <w:tcPr>
            <w:tcW w:w="1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61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Lady Luck Casino Vicksburg ("Vicksburg")</w:t>
            </w:r>
          </w:p>
        </w:tc>
        <w:tc>
          <w:tcPr>
            <w:tcW w:w="2000" w:type="dxa"/>
            <w:vAlign w:val="bottom"/>
            <w:tcBorders>
              <w:bottom w:val="single" w:sz="8" w:color="CFF0FC"/>
            </w:tcBorders>
            <w:gridSpan w:val="2"/>
            <w:shd w:val="clear" w:color="auto" w:fill="CFF0FC"/>
          </w:tcPr>
          <w:p>
            <w:pPr>
              <w:jc w:val="center"/>
              <w:ind w:right="540"/>
              <w:spacing w:after="0"/>
              <w:rPr>
                <w:sz w:val="20"/>
                <w:szCs w:val="20"/>
                <w:color w:val="auto"/>
              </w:rPr>
            </w:pPr>
            <w:r>
              <w:rPr>
                <w:rFonts w:ascii="Arial" w:cs="Arial" w:eastAsia="Arial" w:hAnsi="Arial"/>
                <w:sz w:val="18"/>
                <w:szCs w:val="18"/>
                <w:color w:val="auto"/>
                <w:w w:val="91"/>
              </w:rPr>
              <w:t>May 1, 2017 (c)</w:t>
            </w:r>
          </w:p>
        </w:tc>
        <w:tc>
          <w:tcPr>
            <w:tcW w:w="14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Mississippi</w:t>
            </w:r>
          </w:p>
        </w:tc>
      </w:tr>
      <w:tr>
        <w:trPr>
          <w:trHeight w:val="234"/>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120" w:type="dxa"/>
            <w:vAlign w:val="bottom"/>
            <w:gridSpan w:val="2"/>
          </w:tcPr>
          <w:p>
            <w:pPr>
              <w:ind w:left="240"/>
              <w:spacing w:after="0"/>
              <w:rPr>
                <w:sz w:val="20"/>
                <w:szCs w:val="20"/>
                <w:color w:val="auto"/>
              </w:rPr>
            </w:pPr>
            <w:r>
              <w:rPr>
                <w:rFonts w:ascii="Arial" w:cs="Arial" w:eastAsia="Arial" w:hAnsi="Arial"/>
                <w:sz w:val="18"/>
                <w:szCs w:val="18"/>
                <w:color w:val="auto"/>
              </w:rPr>
              <w:t>Trop Casino Greenville ("Greenville")</w:t>
            </w:r>
          </w:p>
        </w:tc>
        <w:tc>
          <w:tcPr>
            <w:tcW w:w="200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October 1, 2018</w:t>
            </w:r>
          </w:p>
        </w:tc>
        <w:tc>
          <w:tcPr>
            <w:tcW w:w="1420" w:type="dxa"/>
            <w:vAlign w:val="bottom"/>
          </w:tcPr>
          <w:p>
            <w:pPr>
              <w:ind w:left="240"/>
              <w:spacing w:after="0"/>
              <w:rPr>
                <w:sz w:val="20"/>
                <w:szCs w:val="20"/>
                <w:color w:val="auto"/>
              </w:rPr>
            </w:pPr>
            <w:r>
              <w:rPr>
                <w:rFonts w:ascii="Arial" w:cs="Arial" w:eastAsia="Arial" w:hAnsi="Arial"/>
                <w:sz w:val="18"/>
                <w:szCs w:val="18"/>
                <w:color w:val="auto"/>
              </w:rPr>
              <w:t>Mississippi</w:t>
            </w:r>
          </w:p>
        </w:tc>
      </w:tr>
      <w:tr>
        <w:trPr>
          <w:trHeight w:val="234"/>
        </w:trPr>
        <w:tc>
          <w:tcPr>
            <w:tcW w:w="1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5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r>
      <w:tr>
        <w:trPr>
          <w:trHeight w:val="234"/>
        </w:trPr>
        <w:tc>
          <w:tcPr>
            <w:tcW w:w="1460" w:type="dxa"/>
            <w:vAlign w:val="bottom"/>
            <w:gridSpan w:val="2"/>
          </w:tcPr>
          <w:p>
            <w:pPr>
              <w:ind w:left="240"/>
              <w:spacing w:after="0"/>
              <w:rPr>
                <w:sz w:val="20"/>
                <w:szCs w:val="20"/>
                <w:color w:val="auto"/>
              </w:rPr>
            </w:pPr>
            <w:r>
              <w:rPr>
                <w:rFonts w:ascii="Arial" w:cs="Arial" w:eastAsia="Arial" w:hAnsi="Arial"/>
                <w:sz w:val="18"/>
                <w:szCs w:val="18"/>
                <w:color w:val="auto"/>
              </w:rPr>
              <w:t>East (b)</w:t>
            </w:r>
          </w:p>
        </w:tc>
        <w:tc>
          <w:tcPr>
            <w:tcW w:w="6120" w:type="dxa"/>
            <w:vAlign w:val="bottom"/>
            <w:gridSpan w:val="2"/>
          </w:tcPr>
          <w:p>
            <w:pPr>
              <w:ind w:left="240"/>
              <w:spacing w:after="0"/>
              <w:rPr>
                <w:sz w:val="20"/>
                <w:szCs w:val="20"/>
                <w:color w:val="auto"/>
              </w:rPr>
            </w:pPr>
            <w:r>
              <w:rPr>
                <w:rFonts w:ascii="Arial" w:cs="Arial" w:eastAsia="Arial" w:hAnsi="Arial"/>
                <w:sz w:val="18"/>
                <w:szCs w:val="18"/>
                <w:color w:val="auto"/>
              </w:rPr>
              <w:t>Eldorado Gaming Scioto Downs ("Scioto Downs")</w:t>
            </w:r>
          </w:p>
        </w:tc>
        <w:tc>
          <w:tcPr>
            <w:tcW w:w="2000" w:type="dxa"/>
            <w:vAlign w:val="bottom"/>
            <w:gridSpan w:val="2"/>
          </w:tcPr>
          <w:p>
            <w:pPr>
              <w:jc w:val="center"/>
              <w:ind w:right="540"/>
              <w:spacing w:after="0"/>
              <w:rPr>
                <w:sz w:val="20"/>
                <w:szCs w:val="20"/>
                <w:color w:val="auto"/>
              </w:rPr>
            </w:pPr>
            <w:r>
              <w:rPr>
                <w:rFonts w:ascii="Arial" w:cs="Arial" w:eastAsia="Arial" w:hAnsi="Arial"/>
                <w:sz w:val="18"/>
                <w:szCs w:val="18"/>
                <w:color w:val="auto"/>
                <w:w w:val="81"/>
              </w:rPr>
              <w:t>(a)</w:t>
            </w:r>
          </w:p>
        </w:tc>
        <w:tc>
          <w:tcPr>
            <w:tcW w:w="1420" w:type="dxa"/>
            <w:vAlign w:val="bottom"/>
          </w:tcPr>
          <w:p>
            <w:pPr>
              <w:ind w:left="240"/>
              <w:spacing w:after="0"/>
              <w:rPr>
                <w:sz w:val="20"/>
                <w:szCs w:val="20"/>
                <w:color w:val="auto"/>
              </w:rPr>
            </w:pPr>
            <w:r>
              <w:rPr>
                <w:rFonts w:ascii="Arial" w:cs="Arial" w:eastAsia="Arial" w:hAnsi="Arial"/>
                <w:sz w:val="18"/>
                <w:szCs w:val="18"/>
                <w:color w:val="auto"/>
              </w:rPr>
              <w:t>Ohio</w:t>
            </w:r>
          </w:p>
        </w:tc>
      </w:tr>
      <w:tr>
        <w:trPr>
          <w:trHeight w:val="241"/>
        </w:trPr>
        <w:tc>
          <w:tcPr>
            <w:tcW w:w="1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61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Tropicana Casino and Resort, Atlantic City ("Trop AC")</w:t>
            </w:r>
          </w:p>
        </w:tc>
        <w:tc>
          <w:tcPr>
            <w:tcW w:w="2000" w:type="dxa"/>
            <w:vAlign w:val="bottom"/>
            <w:tcBorders>
              <w:bottom w:val="single" w:sz="8" w:color="CFF0FC"/>
            </w:tcBorders>
            <w:gridSpan w:val="2"/>
            <w:shd w:val="clear" w:color="auto" w:fill="CFF0FC"/>
          </w:tcPr>
          <w:p>
            <w:pPr>
              <w:jc w:val="center"/>
              <w:ind w:right="540"/>
              <w:spacing w:after="0"/>
              <w:rPr>
                <w:sz w:val="20"/>
                <w:szCs w:val="20"/>
                <w:color w:val="auto"/>
              </w:rPr>
            </w:pPr>
            <w:r>
              <w:rPr>
                <w:rFonts w:ascii="Arial" w:cs="Arial" w:eastAsia="Arial" w:hAnsi="Arial"/>
                <w:sz w:val="18"/>
                <w:szCs w:val="18"/>
                <w:color w:val="auto"/>
                <w:w w:val="88"/>
              </w:rPr>
              <w:t>October 1, 2018</w:t>
            </w:r>
          </w:p>
        </w:tc>
        <w:tc>
          <w:tcPr>
            <w:tcW w:w="14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New Jersey</w:t>
            </w:r>
          </w:p>
        </w:tc>
      </w:tr>
      <w:tr>
        <w:trPr>
          <w:trHeight w:val="227"/>
        </w:trPr>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4"/>
        </w:trPr>
        <w:tc>
          <w:tcPr>
            <w:tcW w:w="14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Central</w:t>
            </w:r>
          </w:p>
        </w:tc>
        <w:tc>
          <w:tcPr>
            <w:tcW w:w="61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Grand Victoria Casino ("Elgin")</w:t>
            </w:r>
          </w:p>
        </w:tc>
        <w:tc>
          <w:tcPr>
            <w:tcW w:w="2000" w:type="dxa"/>
            <w:vAlign w:val="bottom"/>
            <w:tcBorders>
              <w:bottom w:val="single" w:sz="8" w:color="CFF0FC"/>
            </w:tcBorders>
            <w:gridSpan w:val="2"/>
            <w:shd w:val="clear" w:color="auto" w:fill="CFF0FC"/>
          </w:tcPr>
          <w:p>
            <w:pPr>
              <w:jc w:val="center"/>
              <w:ind w:right="540"/>
              <w:spacing w:after="0"/>
              <w:rPr>
                <w:sz w:val="20"/>
                <w:szCs w:val="20"/>
                <w:color w:val="auto"/>
              </w:rPr>
            </w:pPr>
            <w:r>
              <w:rPr>
                <w:rFonts w:ascii="Arial" w:cs="Arial" w:eastAsia="Arial" w:hAnsi="Arial"/>
                <w:sz w:val="18"/>
                <w:szCs w:val="18"/>
                <w:color w:val="auto"/>
                <w:w w:val="90"/>
              </w:rPr>
              <w:t>August 7, 2018</w:t>
            </w:r>
          </w:p>
        </w:tc>
        <w:tc>
          <w:tcPr>
            <w:tcW w:w="14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Illinois</w:t>
            </w:r>
          </w:p>
        </w:tc>
      </w:tr>
      <w:tr>
        <w:trPr>
          <w:trHeight w:val="227"/>
        </w:trPr>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120" w:type="dxa"/>
            <w:vAlign w:val="bottom"/>
            <w:gridSpan w:val="2"/>
          </w:tcPr>
          <w:p>
            <w:pPr>
              <w:ind w:left="240"/>
              <w:spacing w:after="0"/>
              <w:rPr>
                <w:sz w:val="20"/>
                <w:szCs w:val="20"/>
                <w:color w:val="auto"/>
              </w:rPr>
            </w:pPr>
            <w:r>
              <w:rPr>
                <w:rFonts w:ascii="Arial" w:cs="Arial" w:eastAsia="Arial" w:hAnsi="Arial"/>
                <w:sz w:val="18"/>
                <w:szCs w:val="18"/>
                <w:color w:val="auto"/>
              </w:rPr>
              <w:t>Lumière Place Casino ("Lumière")</w:t>
            </w:r>
          </w:p>
        </w:tc>
        <w:tc>
          <w:tcPr>
            <w:tcW w:w="200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October 1, 2018</w:t>
            </w:r>
          </w:p>
        </w:tc>
        <w:tc>
          <w:tcPr>
            <w:tcW w:w="1420" w:type="dxa"/>
            <w:vAlign w:val="bottom"/>
          </w:tcPr>
          <w:p>
            <w:pPr>
              <w:ind w:left="240"/>
              <w:spacing w:after="0"/>
              <w:rPr>
                <w:sz w:val="20"/>
                <w:szCs w:val="20"/>
                <w:color w:val="auto"/>
              </w:rPr>
            </w:pPr>
            <w:r>
              <w:rPr>
                <w:rFonts w:ascii="Arial" w:cs="Arial" w:eastAsia="Arial" w:hAnsi="Arial"/>
                <w:sz w:val="18"/>
                <w:szCs w:val="18"/>
                <w:color w:val="auto"/>
              </w:rPr>
              <w:t>Missouri</w:t>
            </w:r>
          </w:p>
        </w:tc>
      </w:tr>
      <w:tr>
        <w:trPr>
          <w:trHeight w:val="27"/>
        </w:trPr>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1"/>
        </w:trPr>
        <w:tc>
          <w:tcPr>
            <w:tcW w:w="1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1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Tropicana Evansville ("Evansville")</w:t>
            </w:r>
          </w:p>
        </w:tc>
        <w:tc>
          <w:tcPr>
            <w:tcW w:w="2000" w:type="dxa"/>
            <w:vAlign w:val="bottom"/>
            <w:gridSpan w:val="2"/>
            <w:shd w:val="clear" w:color="auto" w:fill="CFF0FC"/>
          </w:tcPr>
          <w:p>
            <w:pPr>
              <w:jc w:val="center"/>
              <w:ind w:right="540"/>
              <w:spacing w:after="0"/>
              <w:rPr>
                <w:sz w:val="20"/>
                <w:szCs w:val="20"/>
                <w:color w:val="auto"/>
              </w:rPr>
            </w:pPr>
            <w:r>
              <w:rPr>
                <w:rFonts w:ascii="Arial" w:cs="Arial" w:eastAsia="Arial" w:hAnsi="Arial"/>
                <w:sz w:val="18"/>
                <w:szCs w:val="18"/>
                <w:color w:val="auto"/>
                <w:w w:val="88"/>
              </w:rPr>
              <w:t>October 1, 2018</w:t>
            </w:r>
          </w:p>
        </w:tc>
        <w:tc>
          <w:tcPr>
            <w:tcW w:w="1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Indiana</w:t>
            </w:r>
          </w:p>
        </w:tc>
      </w:tr>
    </w:tbl>
    <w:p>
      <w:pPr>
        <w:spacing w:after="0" w:line="240" w:lineRule="exact"/>
        <w:rPr>
          <w:sz w:val="20"/>
          <w:szCs w:val="20"/>
          <w:color w:val="auto"/>
        </w:rPr>
      </w:pPr>
    </w:p>
    <w:p>
      <w:pPr>
        <w:ind w:left="560" w:hanging="553"/>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Property was aggregated into segment prior to January 1, 2016.</w:t>
      </w:r>
    </w:p>
    <w:p>
      <w:pPr>
        <w:spacing w:after="0" w:line="19" w:lineRule="exact"/>
        <w:rPr>
          <w:rFonts w:ascii="Arial" w:cs="Arial" w:eastAsia="Arial" w:hAnsi="Arial"/>
          <w:sz w:val="18"/>
          <w:szCs w:val="18"/>
          <w:color w:val="auto"/>
        </w:rPr>
      </w:pPr>
    </w:p>
    <w:p>
      <w:pPr>
        <w:jc w:val="both"/>
        <w:ind w:left="560" w:right="300" w:hanging="553"/>
        <w:spacing w:after="0" w:line="248"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Presque was sold on January 11, 2019, Nemacolin was sold on March 8, 2019 and Mountaineer was sold on December 6, 2019. All three properties were previously reported in the East segment. Cape Girardeau and Caruthersville were sold on December 6, 2019. Both properties were previously reported in the Midwest segment.</w:t>
      </w:r>
    </w:p>
    <w:p>
      <w:pPr>
        <w:ind w:left="560" w:hanging="553"/>
        <w:spacing w:after="0" w:line="256"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entered into agreements to sell Kansas City, Vicksburg and Eldorado Shreveport. The Kansas City and Vicksburg sales are expected to close in the first half of 2020. The Eldorado Shreveport sale is expected to close in 2020.</w:t>
      </w:r>
    </w:p>
    <w:p>
      <w:pPr>
        <w:spacing w:after="0" w:line="228" w:lineRule="exact"/>
        <w:rPr>
          <w:sz w:val="20"/>
          <w:szCs w:val="20"/>
          <w:color w:val="auto"/>
        </w:rPr>
      </w:pPr>
    </w:p>
    <w:p>
      <w:pPr>
        <w:ind w:right="60" w:firstLine="555"/>
        <w:spacing w:after="0" w:line="252" w:lineRule="auto"/>
        <w:rPr>
          <w:sz w:val="20"/>
          <w:szCs w:val="20"/>
          <w:color w:val="auto"/>
        </w:rPr>
      </w:pPr>
      <w:r>
        <w:rPr>
          <w:rFonts w:ascii="Arial" w:cs="Arial" w:eastAsia="Arial" w:hAnsi="Arial"/>
          <w:sz w:val="18"/>
          <w:szCs w:val="18"/>
          <w:color w:val="auto"/>
        </w:rPr>
        <w:t>The executive decision maker of our company reviews operating results, assesses performance and makes decisions on a “significant market” basis. Our management views each of our properties as an operating segment. Operating segments are aggregated based on their similar economic characteristics, types of customers, types of services and products provided, the regulatory environments in which they operate, and their management and reporting structure. Prior to the Isle Acquisition in 2017, our principal operating activities occurred in three geographic regions: Nevada, Louisiana and parts of the eastern United States. Following the Isle Acquisition, the Company’s principal operating activities occurred in four geographic regions and reportable segments: West, Midwest, South and East. Following the Tropicana Acquisition and Elgin Acquisition in 2018, an additional segment, Central, was added increasing our reportable segments to five.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656"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18" w:lineRule="exact"/>
        <w:rPr>
          <w:sz w:val="20"/>
          <w:szCs w:val="20"/>
          <w:color w:val="auto"/>
        </w:rPr>
      </w:pPr>
    </w:p>
    <w:p>
      <w:pPr>
        <w:ind w:right="40" w:firstLine="555"/>
        <w:spacing w:after="0" w:line="275" w:lineRule="auto"/>
        <w:rPr>
          <w:sz w:val="20"/>
          <w:szCs w:val="20"/>
          <w:color w:val="auto"/>
        </w:rPr>
      </w:pPr>
      <w:r>
        <w:rPr>
          <w:rFonts w:ascii="Arial" w:cs="Arial" w:eastAsia="Arial" w:hAnsi="Arial"/>
          <w:sz w:val="17"/>
          <w:szCs w:val="17"/>
          <w:color w:val="auto"/>
        </w:rPr>
        <w:t>The financial information included in this Item 7 for periods prior to our acquisitions of Isle, Elgin and Tropicana and after our acquisitions of Isle, Elgin and Tropicana are not fully comparable because the results of operations for Isle, Elgin and Tropicana are not included for periods prior to May 1, 2017, August 7, 2018 and October 1, 2018, respectively. Additionally, the Company completed its sales of Presque and Nemacolin on January 11, 2019 and March 8, 2019, respectively and sales of Cape Girardeau, Caruthersville and Mountaineer on December 6, 2019.</w:t>
      </w:r>
    </w:p>
    <w:p>
      <w:pPr>
        <w:spacing w:after="0" w:line="175" w:lineRule="exact"/>
        <w:rPr>
          <w:sz w:val="20"/>
          <w:szCs w:val="20"/>
          <w:color w:val="auto"/>
        </w:rPr>
      </w:pPr>
    </w:p>
    <w:p>
      <w:pPr>
        <w:ind w:right="40" w:firstLine="555"/>
        <w:spacing w:after="0" w:line="254"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information to assist in better understanding and evaluating our financial condition and results of operations. Our historical operating results may not be indicative of our future results of operations because of these factors and the changing competitive landscape in each of our markets, as well as by factors discussed elsewhere herein. We recommend that you read this MD&amp;A in conjunction with our audited consolidated financial statements and the notes to those statements included in this Annual Report on Form 10-K.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Performance Metrics</w:t>
      </w:r>
    </w:p>
    <w:p>
      <w:pPr>
        <w:spacing w:after="0" w:line="114"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color w:val="auto"/>
        </w:rPr>
        <w:t>Our primary source of revenue is generated by our gaming operations, but we use our hotels, restaurants, bars, entertainment, retail shops, racing, sportsbook offerings and other services to attract customers to our properties. Our operating results are highly dependent on the volume and quality of customers visiting and staying at our properties. Key performance metrics include volume indicators such as table games drop and slot handle, which refer to amounts wagered by our customers. The amount of volume we retain, which is not fully controllable by us, is recognized as casino revenues and is referred to as our win or hold. In addition, hotel occupancy and price per room designated by average daily rate (“ADR”) are key indicators for our hotel business. Our calculation of ADR consists of the average price of occupied rooms per day including the impact of resort fees and complimentary rooms. Complimentary room rates are determined based on an analysis of retail or cash rates for each customer segment and each type of room product to estimate complimentary rates which are consistent with retail rates. Complimentary rates are reviewed at least annually and on an interim basis if there are significant changes in market conditions. Complimentary rooms are treated as occupied rooms in our calculation of hotel occupancy.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Factors Impacting Financial Results</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summary highlights the significant factors impacting our financial results during the years ended December 31, 2019, 2018 and 2017.</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Transaction Costs</w:t>
      </w:r>
    </w:p>
    <w:p>
      <w:pPr>
        <w:spacing w:after="0" w:line="114" w:lineRule="exact"/>
        <w:rPr>
          <w:sz w:val="20"/>
          <w:szCs w:val="20"/>
          <w:color w:val="auto"/>
        </w:rPr>
      </w:pPr>
    </w:p>
    <w:p>
      <w:pPr>
        <w:ind w:left="1100" w:right="260" w:hanging="544"/>
        <w:spacing w:after="0" w:line="255" w:lineRule="auto"/>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Isle </w:t>
      </w:r>
      <w:r>
        <w:rPr>
          <w:rFonts w:ascii="Arial" w:cs="Arial" w:eastAsia="Arial" w:hAnsi="Arial"/>
          <w:sz w:val="18"/>
          <w:szCs w:val="18"/>
          <w:color w:val="auto"/>
        </w:rPr>
        <w:t>– Our results of operations for the year ended December 31, 2017 include incremental revenues and expenses attributable to the 13</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we acquired in our acquisition of Isle on May 1, 2017. Transaction (credits) expenses related to our acquisition of Isle for legal, accounting, financial advisory services, severance, stock awards and other costs totaled $(1.4) million for the year ended December 31, 2018 and $92.8 million for the year ended December 31, 2017.</w:t>
      </w:r>
    </w:p>
    <w:p>
      <w:pPr>
        <w:spacing w:after="0" w:line="83" w:lineRule="exact"/>
        <w:rPr>
          <w:rFonts w:ascii="Arial" w:cs="Arial" w:eastAsia="Arial" w:hAnsi="Arial"/>
          <w:sz w:val="18"/>
          <w:szCs w:val="18"/>
          <w:color w:val="auto"/>
        </w:rPr>
      </w:pPr>
    </w:p>
    <w:p>
      <w:pPr>
        <w:ind w:left="1100" w:right="100" w:hanging="544"/>
        <w:spacing w:after="0" w:line="259" w:lineRule="auto"/>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Elgin </w:t>
      </w:r>
      <w:r>
        <w:rPr>
          <w:rFonts w:ascii="Arial" w:cs="Arial" w:eastAsia="Arial" w:hAnsi="Arial"/>
          <w:sz w:val="18"/>
          <w:szCs w:val="18"/>
          <w:color w:val="auto"/>
        </w:rPr>
        <w:t>– Our results of operations for the year ended December 31, 2018 include incremental revenues and expenses for the period of August 7,</w:t>
      </w:r>
      <w:r>
        <w:rPr>
          <w:rFonts w:ascii="Arial" w:cs="Arial" w:eastAsia="Arial" w:hAnsi="Arial"/>
          <w:sz w:val="18"/>
          <w:szCs w:val="18"/>
          <w:i w:val="1"/>
          <w:iCs w:val="1"/>
          <w:color w:val="auto"/>
        </w:rPr>
        <w:t xml:space="preserve"> </w:t>
      </w:r>
      <w:r>
        <w:rPr>
          <w:rFonts w:ascii="Arial" w:cs="Arial" w:eastAsia="Arial" w:hAnsi="Arial"/>
          <w:sz w:val="18"/>
          <w:szCs w:val="18"/>
          <w:color w:val="auto"/>
        </w:rPr>
        <w:t>2018 through December 31, 2018 attributable to Elgin. Transaction expenses related to our acquisition of Elgin totaled $0.2 million and $3.9 million for the years ended December 31, 2019 and 2018, respectively.</w:t>
      </w:r>
    </w:p>
    <w:p>
      <w:pPr>
        <w:spacing w:after="0" w:line="79" w:lineRule="exact"/>
        <w:rPr>
          <w:rFonts w:ascii="Arial" w:cs="Arial" w:eastAsia="Arial" w:hAnsi="Arial"/>
          <w:sz w:val="18"/>
          <w:szCs w:val="18"/>
          <w:color w:val="auto"/>
        </w:rPr>
      </w:pPr>
    </w:p>
    <w:p>
      <w:pPr>
        <w:ind w:left="1100" w:right="160" w:hanging="544"/>
        <w:spacing w:after="0" w:line="282" w:lineRule="auto"/>
        <w:tabs>
          <w:tab w:leader="none" w:pos="110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Tropicana </w:t>
      </w:r>
      <w:r>
        <w:rPr>
          <w:rFonts w:ascii="Arial" w:cs="Arial" w:eastAsia="Arial" w:hAnsi="Arial"/>
          <w:sz w:val="17"/>
          <w:szCs w:val="17"/>
          <w:color w:val="auto"/>
        </w:rPr>
        <w:t>– Our results of operations for the year ended December 31, 2018 include incremental revenues and expenses attributable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seven properties we acquired in our acquisition of Tropicana on October 1, 2018. Transaction expenses related to our acquisition of Tropicana totaled $4.0 million and $18.3 million for the years ended December 31, 2019 and 2018, respectively.</w:t>
      </w:r>
    </w:p>
    <w:p>
      <w:pPr>
        <w:spacing w:after="0" w:line="60" w:lineRule="exact"/>
        <w:rPr>
          <w:rFonts w:ascii="Arial" w:cs="Arial" w:eastAsia="Arial" w:hAnsi="Arial"/>
          <w:sz w:val="17"/>
          <w:szCs w:val="17"/>
          <w:color w:val="auto"/>
        </w:rPr>
      </w:pPr>
    </w:p>
    <w:p>
      <w:pPr>
        <w:ind w:left="1100" w:right="20" w:hanging="544"/>
        <w:spacing w:after="0" w:line="275" w:lineRule="auto"/>
        <w:tabs>
          <w:tab w:leader="none" w:pos="110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Caesars </w:t>
      </w:r>
      <w:r>
        <w:rPr>
          <w:rFonts w:ascii="Arial" w:cs="Arial" w:eastAsia="Arial" w:hAnsi="Arial"/>
          <w:sz w:val="17"/>
          <w:szCs w:val="17"/>
          <w:color w:val="auto"/>
        </w:rPr>
        <w:t>– Transaction costs related to our pending acquisition of Caesars totaled $79.6 million for the year ended December 31, 2019. Pursuant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MTA with VICI, the Company is required to reimburse VICI for 50% of any prepayment penalties in connection with VICI’s payoff related to its CPLV loan, regardless of whether the Merger closing occurs. As of December 31, 2019, the Company’s proportionate share of VICI’s prepayment penalty paid in 2019 was accrued and totaled approximately $55.4 million.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656"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Divestitures and Terminated Sales</w:t>
      </w:r>
    </w:p>
    <w:p>
      <w:pPr>
        <w:spacing w:after="0" w:line="114" w:lineRule="exact"/>
        <w:rPr>
          <w:sz w:val="20"/>
          <w:szCs w:val="20"/>
          <w:color w:val="auto"/>
        </w:rPr>
      </w:pPr>
    </w:p>
    <w:p>
      <w:pPr>
        <w:ind w:left="1100" w:right="300" w:hanging="544"/>
        <w:spacing w:after="0" w:line="307" w:lineRule="auto"/>
        <w:tabs>
          <w:tab w:leader="none" w:pos="110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Presque and Nemacolin - </w:t>
      </w:r>
      <w:r>
        <w:rPr>
          <w:rFonts w:ascii="Arial" w:cs="Arial" w:eastAsia="Arial" w:hAnsi="Arial"/>
          <w:sz w:val="16"/>
          <w:szCs w:val="16"/>
          <w:color w:val="auto"/>
        </w:rPr>
        <w:t>The sales of Presque and Nemacolin met the requirements for presentation as assets held for sale under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accepted accounting principles. However, they did not meet the requirements for presentation as discontinued operations and are included in income from continuing operations for the year ended December 31, 2018 and the periods prior to their respective closing dates in 2019.</w:t>
      </w:r>
    </w:p>
    <w:p>
      <w:pPr>
        <w:spacing w:after="0" w:line="43" w:lineRule="exact"/>
        <w:rPr>
          <w:rFonts w:ascii="Arial" w:cs="Arial" w:eastAsia="Arial" w:hAnsi="Arial"/>
          <w:sz w:val="16"/>
          <w:szCs w:val="16"/>
          <w:color w:val="auto"/>
        </w:rPr>
      </w:pPr>
    </w:p>
    <w:p>
      <w:pPr>
        <w:ind w:left="1120" w:right="180"/>
        <w:spacing w:after="0" w:line="254" w:lineRule="auto"/>
        <w:rPr>
          <w:rFonts w:ascii="Arial" w:cs="Arial" w:eastAsia="Arial" w:hAnsi="Arial"/>
          <w:sz w:val="16"/>
          <w:szCs w:val="16"/>
          <w:color w:val="auto"/>
        </w:rPr>
      </w:pPr>
      <w:r>
        <w:rPr>
          <w:rFonts w:ascii="Arial" w:cs="Arial" w:eastAsia="Arial" w:hAnsi="Arial"/>
          <w:sz w:val="18"/>
          <w:szCs w:val="18"/>
          <w:color w:val="auto"/>
        </w:rPr>
        <w:t>In conjunction with the classification of Vicksburg’s operations as assets held for sale at March 31, 2018 as a result of the announced sale to CDI, an impairment charge totaling $9.8 million was recorded due to the carrying value exceeding the estimated net sales proceeds. Effective July 6, 2018, the sale of Vicksburg was terminated, and Vicksburg was no longer presented as an asset held for sale as of September 30, 2018. In connection with this termination, CDI paid us a $5.0 million termination fee, which is included in operating income for the year ended December 31, 2018.</w:t>
      </w:r>
    </w:p>
    <w:p>
      <w:pPr>
        <w:spacing w:after="0" w:line="82" w:lineRule="exact"/>
        <w:rPr>
          <w:rFonts w:ascii="Arial" w:cs="Arial" w:eastAsia="Arial" w:hAnsi="Arial"/>
          <w:sz w:val="16"/>
          <w:szCs w:val="16"/>
          <w:color w:val="auto"/>
        </w:rPr>
      </w:pPr>
    </w:p>
    <w:p>
      <w:pPr>
        <w:ind w:left="1120" w:right="60"/>
        <w:spacing w:after="0" w:line="259" w:lineRule="auto"/>
        <w:rPr>
          <w:rFonts w:ascii="Arial" w:cs="Arial" w:eastAsia="Arial" w:hAnsi="Arial"/>
          <w:sz w:val="16"/>
          <w:szCs w:val="16"/>
          <w:color w:val="auto"/>
        </w:rPr>
      </w:pPr>
      <w:r>
        <w:rPr>
          <w:rFonts w:ascii="Arial" w:cs="Arial" w:eastAsia="Arial" w:hAnsi="Arial"/>
          <w:sz w:val="18"/>
          <w:szCs w:val="18"/>
          <w:color w:val="auto"/>
        </w:rPr>
        <w:t>On August 10, 2018, we entered into an agreement to sell our rights and obligations to operate Nemacolin. Due to the carrying value of the property and equipment being sold exceeding the estimated net sales proceeds, we recorded an impairment charge for the year ended December 31, 2018 totaling $3.8 million related to Nemacolin.</w:t>
      </w:r>
    </w:p>
    <w:p>
      <w:pPr>
        <w:spacing w:after="0" w:line="79" w:lineRule="exact"/>
        <w:rPr>
          <w:rFonts w:ascii="Arial" w:cs="Arial" w:eastAsia="Arial" w:hAnsi="Arial"/>
          <w:sz w:val="16"/>
          <w:szCs w:val="16"/>
          <w:color w:val="auto"/>
        </w:rPr>
      </w:pPr>
    </w:p>
    <w:p>
      <w:pPr>
        <w:ind w:left="1120"/>
        <w:spacing w:after="0"/>
        <w:rPr>
          <w:rFonts w:ascii="Arial" w:cs="Arial" w:eastAsia="Arial" w:hAnsi="Arial"/>
          <w:sz w:val="16"/>
          <w:szCs w:val="16"/>
          <w:color w:val="auto"/>
        </w:rPr>
      </w:pPr>
      <w:r>
        <w:rPr>
          <w:rFonts w:ascii="Arial" w:cs="Arial" w:eastAsia="Arial" w:hAnsi="Arial"/>
          <w:sz w:val="16"/>
          <w:szCs w:val="16"/>
          <w:color w:val="auto"/>
        </w:rPr>
        <w:t>We closed the sales of Presque and Nemacolin on January 11, 2019 and March 8, 2019, respectively and recorded a net gain of $22.2 million.</w:t>
      </w:r>
    </w:p>
    <w:p>
      <w:pPr>
        <w:spacing w:after="0" w:line="137" w:lineRule="exact"/>
        <w:rPr>
          <w:rFonts w:ascii="Arial" w:cs="Arial" w:eastAsia="Arial" w:hAnsi="Arial"/>
          <w:sz w:val="16"/>
          <w:szCs w:val="16"/>
          <w:color w:val="auto"/>
        </w:rPr>
      </w:pPr>
    </w:p>
    <w:p>
      <w:pPr>
        <w:ind w:left="1100" w:right="120" w:hanging="544"/>
        <w:spacing w:after="0" w:line="275" w:lineRule="auto"/>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Mountaineer, Cape Girardeau and Caruthersville </w:t>
      </w:r>
      <w:r>
        <w:rPr>
          <w:rFonts w:ascii="Arial" w:cs="Arial" w:eastAsia="Arial" w:hAnsi="Arial"/>
          <w:sz w:val="17"/>
          <w:szCs w:val="17"/>
          <w:color w:val="auto"/>
        </w:rPr>
        <w:t>- On June 17, 2019, we entered into definitive agreements to sell the real property relating to</w:t>
      </w:r>
      <w:r>
        <w:rPr>
          <w:rFonts w:ascii="Arial" w:cs="Arial" w:eastAsia="Arial" w:hAnsi="Arial"/>
          <w:sz w:val="17"/>
          <w:szCs w:val="17"/>
          <w:i w:val="1"/>
          <w:iCs w:val="1"/>
          <w:color w:val="auto"/>
        </w:rPr>
        <w:t xml:space="preserve"> </w:t>
      </w:r>
      <w:r>
        <w:rPr>
          <w:rFonts w:ascii="Arial" w:cs="Arial" w:eastAsia="Arial" w:hAnsi="Arial"/>
          <w:sz w:val="17"/>
          <w:szCs w:val="17"/>
          <w:color w:val="auto"/>
        </w:rPr>
        <w:t>Mountaineer, Cape Girardeau, and Caruthersville to VICI and, immediately following the consummation of the sale of such real property, sell all of the outstanding equity interests of Mountaineer, Caruthersville and Cape Girardeau to Century Casinos, Inc. We closed on the sales of Mountaineer, Cape Girardeau and Caruthersville on December 6, 2019 and recorded a net gain of $28.6 million.</w:t>
      </w:r>
    </w:p>
    <w:p>
      <w:pPr>
        <w:spacing w:after="0" w:line="67" w:lineRule="exact"/>
        <w:rPr>
          <w:rFonts w:ascii="Arial" w:cs="Arial" w:eastAsia="Arial" w:hAnsi="Arial"/>
          <w:sz w:val="17"/>
          <w:szCs w:val="17"/>
          <w:color w:val="auto"/>
        </w:rPr>
      </w:pPr>
    </w:p>
    <w:p>
      <w:pPr>
        <w:ind w:left="1120" w:right="820"/>
        <w:spacing w:after="0" w:line="271" w:lineRule="auto"/>
        <w:rPr>
          <w:rFonts w:ascii="Arial" w:cs="Arial" w:eastAsia="Arial" w:hAnsi="Arial"/>
          <w:sz w:val="17"/>
          <w:szCs w:val="17"/>
          <w:color w:val="auto"/>
        </w:rPr>
      </w:pPr>
      <w:r>
        <w:rPr>
          <w:rFonts w:ascii="Arial" w:cs="Arial" w:eastAsia="Arial" w:hAnsi="Arial"/>
          <w:sz w:val="18"/>
          <w:szCs w:val="18"/>
          <w:color w:val="auto"/>
        </w:rPr>
        <w:t>The divestitures of Presque, Nemacolin and Mountaineer, Cape Girardeau and Caruthersville in January, March and December 2019, respectively, are collectively referred to as “the Divestitures”.</w:t>
      </w:r>
    </w:p>
    <w:p>
      <w:pPr>
        <w:spacing w:after="0" w:line="67" w:lineRule="exact"/>
        <w:rPr>
          <w:rFonts w:ascii="Arial" w:cs="Arial" w:eastAsia="Arial" w:hAnsi="Arial"/>
          <w:sz w:val="17"/>
          <w:szCs w:val="17"/>
          <w:color w:val="auto"/>
        </w:rPr>
      </w:pPr>
    </w:p>
    <w:p>
      <w:pPr>
        <w:ind w:left="1100" w:hanging="544"/>
        <w:spacing w:after="0" w:line="255"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Vicksburg and Kansas City </w:t>
      </w:r>
      <w:r>
        <w:rPr>
          <w:rFonts w:ascii="Arial" w:cs="Arial" w:eastAsia="Arial" w:hAnsi="Arial"/>
          <w:sz w:val="18"/>
          <w:szCs w:val="18"/>
          <w:color w:val="auto"/>
        </w:rPr>
        <w:t>– On July 10, 2019, we entered into a definitive agreement to sell the equity interests in each of Vicksburg and</w:t>
      </w:r>
      <w:r>
        <w:rPr>
          <w:rFonts w:ascii="Arial" w:cs="Arial" w:eastAsia="Arial" w:hAnsi="Arial"/>
          <w:sz w:val="18"/>
          <w:szCs w:val="18"/>
          <w:i w:val="1"/>
          <w:iCs w:val="1"/>
          <w:color w:val="auto"/>
        </w:rPr>
        <w:t xml:space="preserve"> </w:t>
      </w:r>
      <w:r>
        <w:rPr>
          <w:rFonts w:ascii="Arial" w:cs="Arial" w:eastAsia="Arial" w:hAnsi="Arial"/>
          <w:sz w:val="18"/>
          <w:szCs w:val="18"/>
          <w:color w:val="auto"/>
        </w:rPr>
        <w:t>Kansas City. The sales of Vicksburg and Kansas City met the requirements for presentation as assets held for sale under generally accepted accounting principles. However, they did not meet the requirements for presentation as discontinued operations and are included in income from continuing operations for the year ended December 31, 2019.</w:t>
      </w:r>
    </w:p>
    <w:p>
      <w:pPr>
        <w:spacing w:after="0" w:line="83" w:lineRule="exact"/>
        <w:rPr>
          <w:rFonts w:ascii="Arial" w:cs="Arial" w:eastAsia="Arial" w:hAnsi="Arial"/>
          <w:sz w:val="18"/>
          <w:szCs w:val="18"/>
          <w:color w:val="auto"/>
        </w:rPr>
      </w:pPr>
    </w:p>
    <w:p>
      <w:pPr>
        <w:ind w:left="1100" w:hanging="544"/>
        <w:spacing w:after="0" w:line="269" w:lineRule="auto"/>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Lake Charles Terminated Sale – </w:t>
      </w:r>
      <w:r>
        <w:rPr>
          <w:rFonts w:ascii="Arial" w:cs="Arial" w:eastAsia="Arial" w:hAnsi="Arial"/>
          <w:sz w:val="17"/>
          <w:szCs w:val="17"/>
          <w:color w:val="auto"/>
        </w:rPr>
        <w:t>On August 22, 2016, Isle entered into an agreement to sell its casino and hotel property in Lake Charles,</w:t>
      </w:r>
      <w:r>
        <w:rPr>
          <w:rFonts w:ascii="Arial" w:cs="Arial" w:eastAsia="Arial" w:hAnsi="Arial"/>
          <w:sz w:val="17"/>
          <w:szCs w:val="17"/>
          <w:i w:val="1"/>
          <w:iCs w:val="1"/>
          <w:color w:val="auto"/>
        </w:rPr>
        <w:t xml:space="preserve"> </w:t>
      </w:r>
      <w:r>
        <w:rPr>
          <w:rFonts w:ascii="Arial" w:cs="Arial" w:eastAsia="Arial" w:hAnsi="Arial"/>
          <w:sz w:val="17"/>
          <w:szCs w:val="17"/>
          <w:color w:val="auto"/>
        </w:rPr>
        <w:t>Louisiana, for $134.5 million, subject to a customary purchase price adjustment, to an affiliate of Laguna Development Corporation, a Pueblo of Laguna-owned business based in Albuquerque, New Mexico. On November 21, 2017, we terminated the agreement. The closing of the transaction was subject to certain closing conditions, including obtaining certain gaming approvals, and was to occur on or before the termination date, which had been extended by the parties to November 20, 2017. The buyer did not obtain the required gaming approvals prior to the termination date, and pursuant to the terms of the agreement, the $20.0 million deposit was forfeited upon termination of the agreement and recorded as operating income in the fourth quarter of 2017.</w:t>
      </w:r>
    </w:p>
    <w:p>
      <w:pPr>
        <w:spacing w:after="0" w:line="72" w:lineRule="exact"/>
        <w:rPr>
          <w:sz w:val="20"/>
          <w:szCs w:val="20"/>
          <w:color w:val="auto"/>
        </w:rPr>
      </w:pPr>
    </w:p>
    <w:p>
      <w:pPr>
        <w:jc w:val="both"/>
        <w:ind w:left="1120" w:right="180"/>
        <w:spacing w:after="0" w:line="259" w:lineRule="auto"/>
        <w:rPr>
          <w:sz w:val="20"/>
          <w:szCs w:val="20"/>
          <w:color w:val="auto"/>
        </w:rPr>
      </w:pPr>
      <w:r>
        <w:rPr>
          <w:rFonts w:ascii="Arial" w:cs="Arial" w:eastAsia="Arial" w:hAnsi="Arial"/>
          <w:sz w:val="18"/>
          <w:szCs w:val="18"/>
          <w:color w:val="auto"/>
        </w:rPr>
        <w:t>In periods prior to the termination of the agreement, the operations of Lake Charles were classified as discontinued operations and as an asset held for sale. As a result of the termination of the sale in the fourth quarter of 2017, Lake Charles was no longer classified as an asset held for sale and as discontinued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and Lease Transactions</w:t>
      </w:r>
    </w:p>
    <w:p>
      <w:pPr>
        <w:spacing w:after="0" w:line="114" w:lineRule="exact"/>
        <w:rPr>
          <w:sz w:val="20"/>
          <w:szCs w:val="20"/>
          <w:color w:val="auto"/>
        </w:rPr>
      </w:pPr>
    </w:p>
    <w:p>
      <w:pPr>
        <w:ind w:left="1100" w:right="40" w:hanging="544"/>
        <w:spacing w:after="0" w:line="254"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Add-on Notes </w:t>
      </w:r>
      <w:r>
        <w:rPr>
          <w:rFonts w:ascii="Arial" w:cs="Arial" w:eastAsia="Arial" w:hAnsi="Arial"/>
          <w:sz w:val="18"/>
          <w:szCs w:val="18"/>
          <w:color w:val="auto"/>
        </w:rPr>
        <w:t>– On September 13, 2017, we issued an additional $500.0 million in aggregate principal amount of 6.0% senior notes due 2025 at</w:t>
      </w:r>
      <w:r>
        <w:rPr>
          <w:rFonts w:ascii="Arial" w:cs="Arial" w:eastAsia="Arial" w:hAnsi="Arial"/>
          <w:sz w:val="18"/>
          <w:szCs w:val="18"/>
          <w:i w:val="1"/>
          <w:iCs w:val="1"/>
          <w:color w:val="auto"/>
        </w:rPr>
        <w:t xml:space="preserve"> </w:t>
      </w:r>
      <w:r>
        <w:rPr>
          <w:rFonts w:ascii="Arial" w:cs="Arial" w:eastAsia="Arial" w:hAnsi="Arial"/>
          <w:sz w:val="18"/>
          <w:szCs w:val="18"/>
          <w:color w:val="auto"/>
        </w:rPr>
        <w:t>an issue price equal to 105.5% of the principal amount. We used the proceeds of the offering to repay all of the outstanding borrowings under the revolving credit facility totaling $78.0 million and used the remainder to repay outstanding borrowings totaling $444.5 million under the term loan plus related accrued interest. We recognized a loss of $11.1 million as a result of the issuance of additional debt and retirement of existing debt for the year ended December 31, 2017.</w:t>
      </w:r>
    </w:p>
    <w:p>
      <w:pPr>
        <w:spacing w:after="0" w:line="82" w:lineRule="exact"/>
        <w:rPr>
          <w:rFonts w:ascii="Arial" w:cs="Arial" w:eastAsia="Arial" w:hAnsi="Arial"/>
          <w:sz w:val="18"/>
          <w:szCs w:val="18"/>
          <w:color w:val="auto"/>
        </w:rPr>
      </w:pPr>
    </w:p>
    <w:p>
      <w:pPr>
        <w:ind w:left="1100" w:right="100" w:hanging="544"/>
        <w:spacing w:after="0" w:line="269" w:lineRule="auto"/>
        <w:tabs>
          <w:tab w:leader="none" w:pos="110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Isle Debt Refinancing </w:t>
      </w:r>
      <w:r>
        <w:rPr>
          <w:rFonts w:ascii="Arial" w:cs="Arial" w:eastAsia="Arial" w:hAnsi="Arial"/>
          <w:sz w:val="17"/>
          <w:szCs w:val="17"/>
          <w:color w:val="auto"/>
        </w:rPr>
        <w:t>– In connection with the Isle Acquisition, we completed a debt financing transaction comprised of: (i) a senior secured</w:t>
      </w:r>
      <w:r>
        <w:rPr>
          <w:rFonts w:ascii="Arial" w:cs="Arial" w:eastAsia="Arial" w:hAnsi="Arial"/>
          <w:sz w:val="17"/>
          <w:szCs w:val="17"/>
          <w:i w:val="1"/>
          <w:iCs w:val="1"/>
          <w:color w:val="auto"/>
        </w:rPr>
        <w:t xml:space="preserve"> </w:t>
      </w:r>
      <w:r>
        <w:rPr>
          <w:rFonts w:ascii="Arial" w:cs="Arial" w:eastAsia="Arial" w:hAnsi="Arial"/>
          <w:sz w:val="17"/>
          <w:szCs w:val="17"/>
          <w:color w:val="auto"/>
        </w:rPr>
        <w:t>credit facility in an aggregate principal amount of $1.75 billion with a term loan facility of $1.45 billion and revolving credit facility of $300.0 million and (ii) $375.0 million of 6.0% senior notes due 2025. The proceeds of such borrowings were used to pay the cash portion of the consideration payable in the Isle Merger, refinance all of Isle’s existing credit facilities, redeem or otherwise repurchase all of Isle’s senior and senior subordinated notes, refinance our existing credit facility and pay transaction fees and expenses related to the foregoing. We recognized a loss totaling $27.3 million for the year ended December 31, 2017 as a result of the Isle debt refinancing transaction (See “Liquidity and Capital Resources” for more information related to the debt refinancing).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52" w:name="page53"/>
    <w:bookmarkEnd w:id="52"/>
    <w:p>
      <w:pPr>
        <w:ind w:left="1100" w:right="300" w:hanging="544"/>
        <w:spacing w:after="0" w:line="259"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Tropicana Financing </w:t>
      </w:r>
      <w:r>
        <w:rPr>
          <w:rFonts w:ascii="Arial" w:cs="Arial" w:eastAsia="Arial" w:hAnsi="Arial"/>
          <w:sz w:val="18"/>
          <w:szCs w:val="18"/>
          <w:color w:val="auto"/>
        </w:rPr>
        <w:t>– On September 20, 2018, we issued $600.0 million in aggregate principal amount of 6.0% senior notes due 2026.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from the notes were used to fund the Tropicana Acquisition which closed on October 1, 2018. We incurred $10.1 million of incremental interest expense on these notes for the year ended December 31, 2018.</w:t>
      </w:r>
    </w:p>
    <w:p>
      <w:pPr>
        <w:spacing w:after="0" w:line="79" w:lineRule="exact"/>
        <w:rPr>
          <w:rFonts w:ascii="Arial" w:cs="Arial" w:eastAsia="Arial" w:hAnsi="Arial"/>
          <w:sz w:val="18"/>
          <w:szCs w:val="18"/>
          <w:color w:val="auto"/>
        </w:rPr>
      </w:pPr>
    </w:p>
    <w:p>
      <w:pPr>
        <w:ind w:left="1100" w:hanging="544"/>
        <w:spacing w:after="0" w:line="282" w:lineRule="auto"/>
        <w:tabs>
          <w:tab w:leader="none" w:pos="110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Master Lease </w:t>
      </w:r>
      <w:r>
        <w:rPr>
          <w:rFonts w:ascii="Arial" w:cs="Arial" w:eastAsia="Arial" w:hAnsi="Arial"/>
          <w:sz w:val="17"/>
          <w:szCs w:val="17"/>
          <w:color w:val="auto"/>
        </w:rPr>
        <w:t>– We accounted for the Master Lease with GLPI as a direct financing obligation effective October 1, 2018. We recorded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in the amount of $98.6 million and 24.4 million during the years ended December 31, 2019 and 2018, respectively, which was in excess of the cash lease payments as we continue to accrete up the liability during the earlier periods of the Master Lease.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14" w:lineRule="exact"/>
        <w:rPr>
          <w:sz w:val="20"/>
          <w:szCs w:val="20"/>
          <w:color w:val="auto"/>
        </w:rPr>
      </w:pPr>
    </w:p>
    <w:p>
      <w:pPr>
        <w:ind w:left="1100" w:right="620" w:hanging="544"/>
        <w:spacing w:after="0" w:line="271"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William Hill – </w:t>
      </w:r>
      <w:r>
        <w:rPr>
          <w:rFonts w:ascii="Arial" w:cs="Arial" w:eastAsia="Arial" w:hAnsi="Arial"/>
          <w:sz w:val="18"/>
          <w:szCs w:val="18"/>
          <w:color w:val="auto"/>
        </w:rPr>
        <w:t>The amortization of deferred revenues associated with the William Hill agreement totaled $5.4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and is included in corporate and other revenues and operating income.</w:t>
      </w:r>
    </w:p>
    <w:p>
      <w:pPr>
        <w:spacing w:after="0" w:line="67" w:lineRule="exact"/>
        <w:rPr>
          <w:rFonts w:ascii="Arial" w:cs="Arial" w:eastAsia="Arial" w:hAnsi="Arial"/>
          <w:sz w:val="18"/>
          <w:szCs w:val="18"/>
          <w:color w:val="auto"/>
        </w:rPr>
      </w:pPr>
    </w:p>
    <w:p>
      <w:pPr>
        <w:ind w:left="1100" w:right="440" w:hanging="544"/>
        <w:spacing w:after="0" w:line="301" w:lineRule="auto"/>
        <w:tabs>
          <w:tab w:leader="none" w:pos="110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TSG – </w:t>
      </w:r>
      <w:r>
        <w:rPr>
          <w:rFonts w:ascii="Arial" w:cs="Arial" w:eastAsia="Arial" w:hAnsi="Arial"/>
          <w:sz w:val="17"/>
          <w:szCs w:val="17"/>
          <w:color w:val="auto"/>
        </w:rPr>
        <w:t>The amortization of deferred revenues associated with the TSG agreement totaled $1.3 million and $0.1 million for the years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2019 and 2018, respectively, and is included in corporate and other revenues and operating income.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Significant Factors</w:t>
      </w:r>
    </w:p>
    <w:p>
      <w:pPr>
        <w:spacing w:after="0" w:line="114" w:lineRule="exact"/>
        <w:rPr>
          <w:sz w:val="20"/>
          <w:szCs w:val="20"/>
          <w:color w:val="auto"/>
        </w:rPr>
      </w:pPr>
    </w:p>
    <w:p>
      <w:pPr>
        <w:ind w:left="1100" w:right="140" w:hanging="544"/>
        <w:spacing w:after="0" w:line="275" w:lineRule="auto"/>
        <w:tabs>
          <w:tab w:leader="none" w:pos="110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Weather and Construction Disruption </w:t>
      </w:r>
      <w:r>
        <w:rPr>
          <w:rFonts w:ascii="Arial" w:cs="Arial" w:eastAsia="Arial" w:hAnsi="Arial"/>
          <w:sz w:val="17"/>
          <w:szCs w:val="17"/>
          <w:color w:val="auto"/>
        </w:rPr>
        <w:t>– During the third quarter of 2017, Hurricanes Harvey and Irma negatively impacted our South region,</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specifically our Pompano, Lake Charles and Eldorado Shreveport properties, and made travel to those properties impossible or difficult. While Pompano did not sustain any major physical damage, we incurred incremental expenses as a result of the storms and were forced to close the casino for four days and experienced disruption to our business for a longer period of time.</w:t>
      </w:r>
    </w:p>
    <w:p>
      <w:pPr>
        <w:spacing w:after="0" w:line="68" w:lineRule="exact"/>
        <w:rPr>
          <w:sz w:val="20"/>
          <w:szCs w:val="20"/>
          <w:color w:val="auto"/>
        </w:rPr>
      </w:pPr>
    </w:p>
    <w:p>
      <w:pPr>
        <w:ind w:left="1120"/>
        <w:spacing w:after="0" w:line="272" w:lineRule="auto"/>
        <w:rPr>
          <w:sz w:val="20"/>
          <w:szCs w:val="20"/>
          <w:color w:val="auto"/>
        </w:rPr>
      </w:pPr>
      <w:r>
        <w:rPr>
          <w:rFonts w:ascii="Arial" w:cs="Arial" w:eastAsia="Arial" w:hAnsi="Arial"/>
          <w:sz w:val="17"/>
          <w:szCs w:val="17"/>
          <w:color w:val="auto"/>
        </w:rPr>
        <w:t>Our West segment’s operations are subject to seasonal variation, with our lowest business volume generally occurring during the winter months. The northern Nevada region experienced record snowfall and severe weather conditions, including major snow storms during eleven of the fourteen weekends in the 2017 first quarter, making travel to Reno from northern California, our main feeder market, difficult or impossible due to road closures. As a result, there was a significant adverse effect on business levels, especially hotel occupancy and gaming volume, during the first quarter of 2017, and our operating performance for the year ended December 31, 2017.</w:t>
      </w:r>
    </w:p>
    <w:p>
      <w:pPr>
        <w:spacing w:after="0" w:line="70" w:lineRule="exact"/>
        <w:rPr>
          <w:sz w:val="20"/>
          <w:szCs w:val="20"/>
          <w:color w:val="auto"/>
        </w:rPr>
      </w:pPr>
    </w:p>
    <w:p>
      <w:pPr>
        <w:ind w:left="1120" w:right="200"/>
        <w:spacing w:after="0" w:line="275" w:lineRule="auto"/>
        <w:rPr>
          <w:sz w:val="20"/>
          <w:szCs w:val="20"/>
          <w:color w:val="auto"/>
        </w:rPr>
      </w:pPr>
      <w:r>
        <w:rPr>
          <w:rFonts w:ascii="Arial" w:cs="Arial" w:eastAsia="Arial" w:hAnsi="Arial"/>
          <w:sz w:val="17"/>
          <w:szCs w:val="17"/>
          <w:color w:val="auto"/>
        </w:rPr>
        <w:t>All of our segments were negatively impacted by severe weather, including flooding, during the first half of 2019 compared to the same prior year period. Additionally, our South segment was negatively impacted during the third quarter of 2019 due to hurricane and tropical storm activity. Our West segment was also negatively impacted by disruption to our casino floor and hotel availability associated with renovation projects at our Black Hawk property during the construction period from January to June 2019.</w:t>
      </w:r>
    </w:p>
    <w:p>
      <w:pPr>
        <w:spacing w:after="0" w:line="68" w:lineRule="exact"/>
        <w:rPr>
          <w:sz w:val="20"/>
          <w:szCs w:val="20"/>
          <w:color w:val="auto"/>
        </w:rPr>
      </w:pPr>
    </w:p>
    <w:p>
      <w:pPr>
        <w:ind w:left="1100" w:right="100" w:hanging="544"/>
        <w:spacing w:after="0" w:line="271"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Property Enhancement Capital Expenditures </w:t>
      </w:r>
      <w:r>
        <w:rPr>
          <w:rFonts w:ascii="Arial" w:cs="Arial" w:eastAsia="Arial" w:hAnsi="Arial"/>
          <w:sz w:val="18"/>
          <w:szCs w:val="18"/>
          <w:color w:val="auto"/>
        </w:rPr>
        <w:t>– Property enhancement initiatives and targeted investments that improve our guests’ experiences</w:t>
      </w:r>
      <w:r>
        <w:rPr>
          <w:rFonts w:ascii="Arial" w:cs="Arial" w:eastAsia="Arial" w:hAnsi="Arial"/>
          <w:sz w:val="18"/>
          <w:szCs w:val="18"/>
          <w:i w:val="1"/>
          <w:iCs w:val="1"/>
          <w:color w:val="auto"/>
        </w:rPr>
        <w:t xml:space="preserve"> </w:t>
      </w:r>
      <w:r>
        <w:rPr>
          <w:rFonts w:ascii="Arial" w:cs="Arial" w:eastAsia="Arial" w:hAnsi="Arial"/>
          <w:sz w:val="18"/>
          <w:szCs w:val="18"/>
          <w:color w:val="auto"/>
        </w:rPr>
        <w:t>and elevate our properties’ overall competitiveness in their markets continued throughout 2018 and 2019.</w:t>
      </w:r>
    </w:p>
    <w:p>
      <w:pPr>
        <w:spacing w:after="0" w:line="67" w:lineRule="exact"/>
        <w:rPr>
          <w:rFonts w:ascii="Arial" w:cs="Arial" w:eastAsia="Arial" w:hAnsi="Arial"/>
          <w:sz w:val="18"/>
          <w:szCs w:val="18"/>
          <w:color w:val="auto"/>
        </w:rPr>
      </w:pPr>
    </w:p>
    <w:p>
      <w:pPr>
        <w:ind w:left="1120" w:right="80"/>
        <w:spacing w:after="0" w:line="271" w:lineRule="auto"/>
        <w:rPr>
          <w:rFonts w:ascii="Arial" w:cs="Arial" w:eastAsia="Arial" w:hAnsi="Arial"/>
          <w:sz w:val="18"/>
          <w:szCs w:val="18"/>
          <w:color w:val="auto"/>
        </w:rPr>
      </w:pPr>
      <w:r>
        <w:rPr>
          <w:rFonts w:ascii="Arial" w:cs="Arial" w:eastAsia="Arial" w:hAnsi="Arial"/>
          <w:sz w:val="18"/>
          <w:szCs w:val="18"/>
          <w:color w:val="auto"/>
        </w:rPr>
        <w:t>A 118-room Hampton Inn Hotel at Scioto Downs developed by a third party opened in March 2017 and since opening has driven visitation and spend at the property.</w:t>
      </w:r>
    </w:p>
    <w:p>
      <w:pPr>
        <w:spacing w:after="0" w:line="67" w:lineRule="exact"/>
        <w:rPr>
          <w:rFonts w:ascii="Arial" w:cs="Arial" w:eastAsia="Arial" w:hAnsi="Arial"/>
          <w:sz w:val="18"/>
          <w:szCs w:val="18"/>
          <w:color w:val="auto"/>
        </w:rPr>
      </w:pPr>
    </w:p>
    <w:p>
      <w:pPr>
        <w:ind w:left="1120" w:right="60"/>
        <w:spacing w:after="0" w:line="267" w:lineRule="auto"/>
        <w:rPr>
          <w:rFonts w:ascii="Arial" w:cs="Arial" w:eastAsia="Arial" w:hAnsi="Arial"/>
          <w:sz w:val="18"/>
          <w:szCs w:val="18"/>
          <w:color w:val="auto"/>
        </w:rPr>
      </w:pPr>
      <w:r>
        <w:rPr>
          <w:rFonts w:ascii="Arial" w:cs="Arial" w:eastAsia="Arial" w:hAnsi="Arial"/>
          <w:sz w:val="17"/>
          <w:szCs w:val="17"/>
          <w:color w:val="auto"/>
        </w:rPr>
        <w:t>As part of the continuing evolution of the Reno tri-properties, we built a new 21,000 square foot spa at Silver Legacy which opened in early October 2018. We have substantially renovated every room at Circus Reno and completed the first phase of room renovations at Silver Legacy and Eldorado. We began the second phase of renovations of approximately 1,200 rooms at Silver Legacy and Eldorado in the third quarter of 2019. In Black Hawk we completed our renovation of all 402 hotel rooms and refresh of the casino floor in June 2019. In addition, our joint venture with Cordish continues to make progress on development plans of a new, mixed-use entertainment and hospitality destination anchored by our Isle Casino Racing Pompano Park. At Tropicana Atlantic City, we opened an expansive, new sportsbook in the fourth quarter of 2018. Additionally, during 2019 we added sportsbook offerings at our properties located in Iowa, Mississippi and Indiana. During 2019, we began planning to relocate our Lake Charles casino operation from our current riverboat to a land-based operation. Construction of our new Lake Charles facility began in February 2020.</w:t>
      </w:r>
    </w:p>
    <w:p>
      <w:pPr>
        <w:spacing w:after="0" w:line="76" w:lineRule="exact"/>
        <w:rPr>
          <w:rFonts w:ascii="Arial" w:cs="Arial" w:eastAsia="Arial" w:hAnsi="Arial"/>
          <w:sz w:val="18"/>
          <w:szCs w:val="18"/>
          <w:color w:val="auto"/>
        </w:rPr>
      </w:pPr>
    </w:p>
    <w:p>
      <w:pPr>
        <w:ind w:left="1100" w:right="20" w:hanging="544"/>
        <w:spacing w:after="0" w:line="272" w:lineRule="auto"/>
        <w:tabs>
          <w:tab w:leader="none" w:pos="110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Execution of Synergies and Cost Savings Programs </w:t>
      </w:r>
      <w:r>
        <w:rPr>
          <w:rFonts w:ascii="Arial" w:cs="Arial" w:eastAsia="Arial" w:hAnsi="Arial"/>
          <w:sz w:val="17"/>
          <w:szCs w:val="17"/>
          <w:color w:val="auto"/>
        </w:rPr>
        <w:t>– We continue to identify areas to improve property level and consolidated margins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and cost efficiencies and exercising financial discipline throughout the company. In addition to cost savings relating to duplicative executive compensation, legal and accounting fees and other corporate expenses that have been eliminated as a result of our acquisitions, we have achieved savings in marketing, food and beverage costs, selling, general and administrative expenses, and other operating departments as a result of operating efficiencies and purchasing power of the combined Eldorado organization.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53" w:name="page54"/>
    <w:bookmarkEnd w:id="53"/>
    <w:p>
      <w:pPr>
        <w:ind w:left="1100" w:right="200" w:hanging="544"/>
        <w:spacing w:after="0" w:line="255"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Impairment Charges – </w:t>
      </w:r>
      <w:r>
        <w:rPr>
          <w:rFonts w:ascii="Arial" w:cs="Arial" w:eastAsia="Arial" w:hAnsi="Arial"/>
          <w:sz w:val="18"/>
          <w:szCs w:val="18"/>
          <w:color w:val="auto"/>
        </w:rPr>
        <w:t>On October 1, 2017 we conducted annual impairment tests of our intangible assets. Based on lower than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and projected future operating results, it was determined that the value of goodwill and/or trade names associated with our Lake Charles, Vicksburg and Lula reporting units were impaired resulting in impairment charges totaling $38.0 million for the year ended December 31, 2017.</w:t>
      </w:r>
    </w:p>
    <w:p>
      <w:pPr>
        <w:spacing w:after="0" w:line="83" w:lineRule="exact"/>
        <w:rPr>
          <w:rFonts w:ascii="Arial" w:cs="Arial" w:eastAsia="Arial" w:hAnsi="Arial"/>
          <w:sz w:val="18"/>
          <w:szCs w:val="18"/>
          <w:color w:val="auto"/>
        </w:rPr>
      </w:pPr>
    </w:p>
    <w:p>
      <w:pPr>
        <w:ind w:left="1100" w:right="180" w:hanging="544"/>
        <w:spacing w:after="0" w:line="252"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Tax Cuts and Jobs Act </w:t>
      </w:r>
      <w:r>
        <w:rPr>
          <w:rFonts w:ascii="Arial" w:cs="Arial" w:eastAsia="Arial" w:hAnsi="Arial"/>
          <w:sz w:val="18"/>
          <w:szCs w:val="18"/>
          <w:color w:val="auto"/>
        </w:rPr>
        <w:t>– On December 22, 2017, the U.S. government enacted comprehensive tax legislation commonly referred to as the Tax</w:t>
      </w:r>
      <w:r>
        <w:rPr>
          <w:rFonts w:ascii="Arial" w:cs="Arial" w:eastAsia="Arial" w:hAnsi="Arial"/>
          <w:sz w:val="18"/>
          <w:szCs w:val="18"/>
          <w:i w:val="1"/>
          <w:iCs w:val="1"/>
          <w:color w:val="auto"/>
        </w:rPr>
        <w:t xml:space="preserve"> </w:t>
      </w:r>
      <w:r>
        <w:rPr>
          <w:rFonts w:ascii="Arial" w:cs="Arial" w:eastAsia="Arial" w:hAnsi="Arial"/>
          <w:sz w:val="18"/>
          <w:szCs w:val="18"/>
          <w:color w:val="auto"/>
        </w:rPr>
        <w:t>Cuts and Jobs Act (the “Tax Act”). The Tax Act made broad and complex changes to the U.S. tax code, including, but not limited to, reducing the U.S. federal corporate tax rate from 35% to 21%. In connection with our initial analysis of the impact of the Tax Act, for certain of our net deferred tax liabilities, we recorded a decrease of $111.9 million, net of the related change in valuation allowance, with a corresponding net adjustment to deferred income tax benefit for the year ending December 31, 2017 as a result of the corporate rate reduction resulting in a positive impact on net income.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highlights the results of our operations (dollars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0"/>
        </w:trPr>
        <w:tc>
          <w:tcPr>
            <w:tcW w:w="4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1"/>
              </w:rPr>
              <w:t>Change %</w:t>
            </w: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54"/>
        </w:trPr>
        <w:tc>
          <w:tcPr>
            <w:tcW w:w="45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4"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60"/>
              <w:spacing w:after="0" w:line="154"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4"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58"/>
              <w:spacing w:after="0" w:line="154" w:lineRule="exact"/>
              <w:rPr>
                <w:sz w:val="20"/>
                <w:szCs w:val="20"/>
                <w:color w:val="auto"/>
              </w:rPr>
            </w:pPr>
            <w:r>
              <w:rPr>
                <w:rFonts w:ascii="Arial" w:cs="Arial" w:eastAsia="Arial" w:hAnsi="Arial"/>
                <w:sz w:val="14"/>
                <w:szCs w:val="14"/>
                <w:b w:val="1"/>
                <w:bCs w:val="1"/>
                <w:color w:val="auto"/>
              </w:rPr>
              <w:t>2019 vs 2018</w:t>
            </w:r>
          </w:p>
        </w:tc>
        <w:tc>
          <w:tcPr>
            <w:tcW w:w="4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
              <w:spacing w:after="0" w:line="154" w:lineRule="exact"/>
              <w:rPr>
                <w:sz w:val="20"/>
                <w:szCs w:val="20"/>
                <w:color w:val="auto"/>
              </w:rPr>
            </w:pPr>
            <w:r>
              <w:rPr>
                <w:rFonts w:ascii="Arial" w:cs="Arial" w:eastAsia="Arial" w:hAnsi="Arial"/>
                <w:sz w:val="14"/>
                <w:szCs w:val="14"/>
                <w:b w:val="1"/>
                <w:bCs w:val="1"/>
                <w:color w:val="auto"/>
                <w:w w:val="88"/>
              </w:rPr>
              <w:t>2018 vs 2017</w:t>
            </w:r>
          </w:p>
        </w:tc>
        <w:tc>
          <w:tcPr>
            <w:tcW w:w="280" w:type="dxa"/>
            <w:vAlign w:val="bottom"/>
            <w:tcBorders>
              <w:bottom w:val="single" w:sz="8" w:color="CFF0FC"/>
            </w:tcBorders>
          </w:tcPr>
          <w:p>
            <w:pPr>
              <w:spacing w:after="0"/>
              <w:rPr>
                <w:sz w:val="13"/>
                <w:szCs w:val="13"/>
                <w:color w:val="auto"/>
              </w:rPr>
            </w:pPr>
          </w:p>
        </w:tc>
      </w:tr>
      <w:tr>
        <w:trPr>
          <w:trHeight w:val="221"/>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2,528,249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2,056,007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1,480,798</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560" w:type="dxa"/>
            <w:vAlign w:val="bottom"/>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409,973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310,103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94,810</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w:t>
            </w:r>
          </w:p>
        </w:tc>
        <w:tc>
          <w:tcPr>
            <w:tcW w:w="4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81,001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95,235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73,380</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51"/>
              <w:spacing w:after="0"/>
              <w:rPr>
                <w:sz w:val="20"/>
                <w:szCs w:val="20"/>
                <w:color w:val="auto"/>
              </w:rPr>
            </w:pPr>
            <w:r>
              <w:rPr>
                <w:rFonts w:ascii="Arial" w:cs="Arial" w:eastAsia="Arial" w:hAnsi="Arial"/>
                <w:sz w:val="18"/>
                <w:szCs w:val="18"/>
                <w:color w:val="auto"/>
              </w:rPr>
              <w:t>(14.9) %</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27" w:lineRule="exact"/>
        <w:rPr>
          <w:sz w:val="20"/>
          <w:szCs w:val="20"/>
          <w:color w:val="auto"/>
        </w:rPr>
      </w:pPr>
    </w:p>
    <w:p>
      <w:pPr>
        <w:ind w:firstLine="555"/>
        <w:spacing w:after="0" w:line="275" w:lineRule="auto"/>
        <w:rPr>
          <w:sz w:val="20"/>
          <w:szCs w:val="20"/>
          <w:color w:val="auto"/>
        </w:rPr>
      </w:pPr>
      <w:r>
        <w:rPr>
          <w:rFonts w:ascii="Arial" w:cs="Arial" w:eastAsia="Arial" w:hAnsi="Arial"/>
          <w:sz w:val="17"/>
          <w:szCs w:val="17"/>
          <w:i w:val="1"/>
          <w:iCs w:val="1"/>
          <w:color w:val="auto"/>
        </w:rPr>
        <w:t>Operating Results</w:t>
      </w:r>
      <w:r>
        <w:rPr>
          <w:rFonts w:ascii="Arial" w:cs="Arial" w:eastAsia="Arial" w:hAnsi="Arial"/>
          <w:sz w:val="17"/>
          <w:szCs w:val="17"/>
          <w:color w:val="auto"/>
        </w:rPr>
        <w:t>. Including incremental Elgin and Tropicana net revenues totaling $991.4 million generated following their respective 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dates, net revenues increased 23.0% for the year ended December 31, 2019 compared to 2018. Excluding the impact of our acquisitions and the Divestitures, net revenues decreased 5.1% mainly due to the significant factors described above. This decrease was partially offset by incremental net revenues recognized in conjunction with our William Hill and TSG sports betting partnerships for the year ended December 31, 2019.</w:t>
      </w:r>
    </w:p>
    <w:p>
      <w:pPr>
        <w:spacing w:after="0" w:line="175" w:lineRule="exact"/>
        <w:rPr>
          <w:sz w:val="20"/>
          <w:szCs w:val="20"/>
          <w:color w:val="auto"/>
        </w:rPr>
      </w:pPr>
    </w:p>
    <w:p>
      <w:pPr>
        <w:jc w:val="both"/>
        <w:ind w:right="640" w:firstLine="555"/>
        <w:spacing w:after="0" w:line="259" w:lineRule="auto"/>
        <w:rPr>
          <w:sz w:val="20"/>
          <w:szCs w:val="20"/>
          <w:color w:val="auto"/>
        </w:rPr>
      </w:pPr>
      <w:r>
        <w:rPr>
          <w:rFonts w:ascii="Arial" w:cs="Arial" w:eastAsia="Arial" w:hAnsi="Arial"/>
          <w:sz w:val="18"/>
          <w:szCs w:val="18"/>
          <w:color w:val="auto"/>
        </w:rPr>
        <w:t>Including incremental Isle, Elgin and Tropicana net revenues totaling $575.5 million generated following their respective acquisition dates, net revenues increased 38.8% for the year ended December 31, 2018 compared to 2017. Excluding incremental Isle, Elgin and Tropicana net revenues, net revenues remained flat for the year ended December 31, 2018 compared to 2017.</w:t>
      </w:r>
    </w:p>
    <w:p>
      <w:pPr>
        <w:spacing w:after="0" w:line="186" w:lineRule="exact"/>
        <w:rPr>
          <w:sz w:val="20"/>
          <w:szCs w:val="20"/>
          <w:color w:val="auto"/>
        </w:rPr>
      </w:pPr>
    </w:p>
    <w:p>
      <w:pPr>
        <w:ind w:right="140" w:firstLine="555"/>
        <w:spacing w:after="0" w:line="270" w:lineRule="auto"/>
        <w:rPr>
          <w:sz w:val="20"/>
          <w:szCs w:val="20"/>
          <w:color w:val="auto"/>
        </w:rPr>
      </w:pPr>
      <w:r>
        <w:rPr>
          <w:rFonts w:ascii="Arial" w:cs="Arial" w:eastAsia="Arial" w:hAnsi="Arial"/>
          <w:sz w:val="17"/>
          <w:szCs w:val="17"/>
          <w:color w:val="auto"/>
        </w:rPr>
        <w:t>For the year ended December 31, 2019 compared to 2018, operating income increased 32.2% mainly due to incremental operating income contributed by Elgin and Tropicana following their respective acquisition dates as well as a $49.6 million net gain on sale of businesses and disposal of property and equipment primarily related to the Divestitures. This increase was partially offset by incremental transaction expenses associated with our completed and pending acquisitions. Excluding the impact of our acquisitions and the Divestitures, operating income decreased 15.0% due to higher depreciation expense associated with asset additions and transaction costs associated with the acquisitions of Tropicana and Caesars. For the year ended December 31, 2018, we received a $5.0 million fee related to the termination of the agreement to purchase our Vicksburg property.</w:t>
      </w:r>
    </w:p>
    <w:p>
      <w:pPr>
        <w:spacing w:after="0" w:line="179"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For the year ended December 31, 2018 compared to 2017, operating income increased 227.1% mainly due to incremental operating income contributed by Isle, Elgin and Tropicana following their respective acquisition dates. Incremental operating income totaling $80.7 million represents operating income for four months of operations for Isle, five months of operations for Elgin and three months of operations for Tropicana. Excluding the incremental operating income, operating income rose 141.9% for the year ended December 31, 2018 compared to 2017 due to margin improvement resulting from synergies and departmental operating efficiencies, a $34.2 million decrease in impairment charges and a $71.9 million decline in transaction expenses. These increases in operating income for the year ended December 31, 2018 compared to 2017 were partially offset by higher depreciation associated with additional assets.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54" w:name="page55"/>
    <w:bookmarkEnd w:id="54"/>
    <w:p>
      <w:pPr>
        <w:ind w:right="60" w:firstLine="555"/>
        <w:spacing w:after="0" w:line="270" w:lineRule="auto"/>
        <w:rPr>
          <w:sz w:val="20"/>
          <w:szCs w:val="20"/>
          <w:color w:val="auto"/>
        </w:rPr>
      </w:pPr>
      <w:r>
        <w:rPr>
          <w:rFonts w:ascii="Arial" w:cs="Arial" w:eastAsia="Arial" w:hAnsi="Arial"/>
          <w:sz w:val="17"/>
          <w:szCs w:val="17"/>
          <w:color w:val="auto"/>
        </w:rPr>
        <w:t>For the year ended December 31, 2019 compared to 2018, net income decreased 14.9% principally due to the same factors impacting operating income combined with higher interest expense for the year ended December 31, 2019 compared to 2018 resulting from increased debt associated with the Tropicana Acquisition and amortization of the direct financing obligation associated with the Master Lease. Additionally, we recorded a $7.5 million loss on the early retirement of debt in 2019 related to the pro-rated write off of deferred financing costs associated with permanent payments on our Term Loan, and a higher income tax provision due to an increase in our effective tax rate also contributed to the declines in net income. Net income was favorably impacted by an $8.8 million unrealized gain on restricted investments for the year ended December 31, 2019.</w:t>
      </w:r>
    </w:p>
    <w:p>
      <w:pPr>
        <w:spacing w:after="0" w:line="179" w:lineRule="exact"/>
        <w:rPr>
          <w:sz w:val="20"/>
          <w:szCs w:val="20"/>
          <w:color w:val="auto"/>
        </w:rPr>
      </w:pPr>
    </w:p>
    <w:p>
      <w:pPr>
        <w:ind w:right="20" w:firstLine="555"/>
        <w:spacing w:after="0" w:line="252" w:lineRule="auto"/>
        <w:rPr>
          <w:sz w:val="20"/>
          <w:szCs w:val="20"/>
          <w:color w:val="auto"/>
        </w:rPr>
      </w:pPr>
      <w:r>
        <w:rPr>
          <w:rFonts w:ascii="Arial" w:cs="Arial" w:eastAsia="Arial" w:hAnsi="Arial"/>
          <w:sz w:val="18"/>
          <w:szCs w:val="18"/>
          <w:color w:val="auto"/>
        </w:rPr>
        <w:t>For the year ended December 31, 2018 compared to 2017, net income increased 29.8% due to the same factors impacting operating income combined with the $38.4 million loss on the early retirement of debt for the year ended December 31, 2017 associated with payments on our outstanding debt. These increases were partially offset by higher interest expense for the year ended December 31, 2018 compared to 2017 resulting from increased debt and amortization of the direct financing obligation associated with the Master Lease following our acquisitions of Elgin and Tropicana. Additionally, the increase in our tax provision for the year ended December 31, 2018 compared to 2017 is due to the favorable impact of the Tax Act in 2017, which resulted in a significant tax benefit recorded in 2017.</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highlights our net revenues and operating income (loss) by reportable segment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Net Revenues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7"/>
          </w:tcPr>
          <w:p>
            <w:pPr>
              <w:jc w:val="center"/>
              <w:ind w:left="516"/>
              <w:spacing w:after="0"/>
              <w:rPr>
                <w:sz w:val="20"/>
                <w:szCs w:val="20"/>
                <w:color w:val="auto"/>
              </w:rPr>
            </w:pPr>
            <w:r>
              <w:rPr>
                <w:rFonts w:ascii="Arial" w:cs="Arial" w:eastAsia="Arial" w:hAnsi="Arial"/>
                <w:sz w:val="14"/>
                <w:szCs w:val="14"/>
                <w:b w:val="1"/>
                <w:bCs w:val="1"/>
                <w:color w:val="auto"/>
                <w:w w:val="92"/>
              </w:rPr>
              <w:t>Operating Income (Loss)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center"/>
              <w:ind w:left="555"/>
              <w:spacing w:after="0"/>
              <w:rPr>
                <w:sz w:val="20"/>
                <w:szCs w:val="20"/>
                <w:color w:val="auto"/>
              </w:rPr>
            </w:pPr>
            <w:r>
              <w:rPr>
                <w:rFonts w:ascii="Arial" w:cs="Arial" w:eastAsia="Arial" w:hAnsi="Arial"/>
                <w:sz w:val="14"/>
                <w:szCs w:val="14"/>
                <w:b w:val="1"/>
                <w:bCs w:val="1"/>
                <w:color w:val="auto"/>
                <w:w w:val="91"/>
              </w:rPr>
              <w:t>Year Ended December 31,</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center"/>
              <w:ind w:left="496"/>
              <w:spacing w:after="0"/>
              <w:rPr>
                <w:sz w:val="20"/>
                <w:szCs w:val="20"/>
                <w:color w:val="auto"/>
              </w:rPr>
            </w:pPr>
            <w:r>
              <w:rPr>
                <w:rFonts w:ascii="Arial" w:cs="Arial" w:eastAsia="Arial" w:hAnsi="Arial"/>
                <w:sz w:val="14"/>
                <w:szCs w:val="14"/>
                <w:b w:val="1"/>
                <w:bCs w:val="1"/>
                <w:color w:val="auto"/>
                <w:w w:val="91"/>
              </w:rPr>
              <w:t>Year Ended December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4"/>
        </w:trPr>
        <w:tc>
          <w:tcPr>
            <w:tcW w:w="40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5"/>
              <w:spacing w:after="0" w:line="154"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5"/>
              <w:spacing w:after="0" w:line="154"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3"/>
              <w:spacing w:after="0" w:line="154"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4"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3"/>
              <w:spacing w:after="0" w:line="154"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3"/>
              <w:spacing w:after="0" w:line="154"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1"/>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West</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524,721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483,532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410,319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84,992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66,108</w:t>
            </w:r>
          </w:p>
        </w:tc>
        <w:tc>
          <w:tcPr>
            <w:tcW w:w="120" w:type="dxa"/>
            <w:vAlign w:val="bottom"/>
            <w:shd w:val="clear" w:color="auto" w:fill="CFF0FC"/>
          </w:tcPr>
          <w:p>
            <w:pPr>
              <w:spacing w:after="0"/>
              <w:rPr>
                <w:sz w:val="19"/>
                <w:szCs w:val="19"/>
                <w:color w:val="auto"/>
              </w:rPr>
            </w:pPr>
          </w:p>
        </w:tc>
      </w:tr>
      <w:tr>
        <w:trPr>
          <w:trHeight w:val="227"/>
        </w:trPr>
        <w:tc>
          <w:tcPr>
            <w:tcW w:w="4080" w:type="dxa"/>
            <w:vAlign w:val="bottom"/>
          </w:tcPr>
          <w:p>
            <w:pPr>
              <w:spacing w:after="0"/>
              <w:rPr>
                <w:sz w:val="20"/>
                <w:szCs w:val="20"/>
                <w:color w:val="auto"/>
              </w:rPr>
            </w:pPr>
            <w:r>
              <w:rPr>
                <w:rFonts w:ascii="Arial" w:cs="Arial" w:eastAsia="Arial" w:hAnsi="Arial"/>
                <w:sz w:val="18"/>
                <w:szCs w:val="18"/>
                <w:color w:val="auto"/>
              </w:rPr>
              <w:t>Midwest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378,577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397,008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268,879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114,180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105,809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62,071</w:t>
            </w:r>
          </w:p>
        </w:tc>
        <w:tc>
          <w:tcPr>
            <w:tcW w:w="120" w:type="dxa"/>
            <w:vAlign w:val="bottom"/>
          </w:tcPr>
          <w:p>
            <w:pPr>
              <w:spacing w:after="0"/>
              <w:rPr>
                <w:sz w:val="19"/>
                <w:szCs w:val="19"/>
                <w:color w:val="auto"/>
              </w:rPr>
            </w:pPr>
          </w:p>
        </w:tc>
      </w:tr>
      <w:tr>
        <w:trPr>
          <w:trHeight w:val="228"/>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South</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463,133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461,181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338,259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74,622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3,680</w:t>
            </w:r>
          </w:p>
        </w:tc>
        <w:tc>
          <w:tcPr>
            <w:tcW w:w="120" w:type="dxa"/>
            <w:vAlign w:val="bottom"/>
            <w:shd w:val="clear" w:color="auto" w:fill="CFF0FC"/>
          </w:tcPr>
          <w:p>
            <w:pPr>
              <w:spacing w:after="0"/>
              <w:rPr>
                <w:sz w:val="19"/>
                <w:szCs w:val="19"/>
                <w:color w:val="auto"/>
              </w:rPr>
            </w:pPr>
          </w:p>
        </w:tc>
      </w:tr>
      <w:tr>
        <w:trPr>
          <w:trHeight w:val="227"/>
        </w:trPr>
        <w:tc>
          <w:tcPr>
            <w:tcW w:w="4080" w:type="dxa"/>
            <w:vAlign w:val="bottom"/>
          </w:tcPr>
          <w:p>
            <w:pPr>
              <w:spacing w:after="0"/>
              <w:rPr>
                <w:sz w:val="20"/>
                <w:szCs w:val="20"/>
                <w:color w:val="auto"/>
              </w:rPr>
            </w:pPr>
            <w:r>
              <w:rPr>
                <w:rFonts w:ascii="Arial" w:cs="Arial" w:eastAsia="Arial" w:hAnsi="Arial"/>
                <w:sz w:val="18"/>
                <w:szCs w:val="18"/>
                <w:color w:val="auto"/>
              </w:rPr>
              <w:t>East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674,758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571,272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462,835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133,317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97,963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68,101</w:t>
            </w:r>
          </w:p>
        </w:tc>
        <w:tc>
          <w:tcPr>
            <w:tcW w:w="120" w:type="dxa"/>
            <w:vAlign w:val="bottom"/>
          </w:tcPr>
          <w:p>
            <w:pPr>
              <w:spacing w:after="0"/>
              <w:rPr>
                <w:sz w:val="19"/>
                <w:szCs w:val="19"/>
                <w:color w:val="auto"/>
              </w:rPr>
            </w:pPr>
          </w:p>
        </w:tc>
      </w:tr>
      <w:tr>
        <w:trPr>
          <w:trHeight w:val="228"/>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Central</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479,761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142,485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105,772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4080" w:type="dxa"/>
            <w:vAlign w:val="bottom"/>
          </w:tcPr>
          <w:p>
            <w:pPr>
              <w:spacing w:after="0"/>
              <w:rPr>
                <w:sz w:val="20"/>
                <w:szCs w:val="20"/>
                <w:color w:val="auto"/>
              </w:rPr>
            </w:pPr>
            <w:r>
              <w:rPr>
                <w:rFonts w:ascii="Arial" w:cs="Arial" w:eastAsia="Arial" w:hAnsi="Arial"/>
                <w:sz w:val="18"/>
                <w:szCs w:val="18"/>
                <w:color w:val="auto"/>
              </w:rPr>
              <w:t>Corporate (1)</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7,299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(102,910)</w:t>
            </w: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(67,308)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(105,150)</w:t>
            </w:r>
          </w:p>
        </w:tc>
      </w:tr>
      <w:tr>
        <w:trPr>
          <w:trHeight w:val="221"/>
        </w:trPr>
        <w:tc>
          <w:tcPr>
            <w:tcW w:w="40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2,528,249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2,056,007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1,480,798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409,973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310,103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ind w:left="560" w:hanging="553"/>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loss for Corporate includes transaction costs.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Year Ended December 31, 2019 Compared to the Year Ended December 31, 2018</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Variance</w:t>
            </w:r>
          </w:p>
        </w:tc>
        <w:tc>
          <w:tcPr>
            <w:tcW w:w="1100" w:type="dxa"/>
            <w:vAlign w:val="bottom"/>
          </w:tcPr>
          <w:p>
            <w:pPr>
              <w:jc w:val="right"/>
              <w:ind w:right="231"/>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4"/>
                <w:szCs w:val="14"/>
                <w:color w:val="auto"/>
              </w:rPr>
            </w:pPr>
          </w:p>
        </w:tc>
      </w:tr>
      <w:tr>
        <w:trPr>
          <w:trHeight w:val="221"/>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0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r>
      <w:tr>
        <w:trPr>
          <w:trHeight w:val="227"/>
        </w:trPr>
        <w:tc>
          <w:tcPr>
            <w:tcW w:w="468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8"/>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1340" w:type="dxa"/>
            <w:vAlign w:val="bottom"/>
            <w:gridSpan w:val="2"/>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223,179</w:t>
            </w:r>
          </w:p>
        </w:tc>
        <w:tc>
          <w:tcPr>
            <w:tcW w:w="4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230,558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(7,379)</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 %</w:t>
            </w:r>
          </w:p>
        </w:tc>
      </w:tr>
      <w:tr>
        <w:trPr>
          <w:trHeight w:val="227"/>
        </w:trPr>
        <w:tc>
          <w:tcPr>
            <w:tcW w:w="4680" w:type="dxa"/>
            <w:vAlign w:val="bottom"/>
          </w:tcPr>
          <w:p>
            <w:pPr>
              <w:ind w:left="260"/>
              <w:spacing w:after="0"/>
              <w:rPr>
                <w:sz w:val="20"/>
                <w:szCs w:val="20"/>
                <w:color w:val="auto"/>
              </w:rPr>
            </w:pPr>
            <w:r>
              <w:rPr>
                <w:rFonts w:ascii="Arial" w:cs="Arial" w:eastAsia="Arial" w:hAnsi="Arial"/>
                <w:sz w:val="18"/>
                <w:szCs w:val="18"/>
                <w:color w:val="auto"/>
              </w:rPr>
              <w:t>Midwest</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332,389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345,499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(13,110)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(3.8) %</w:t>
            </w:r>
          </w:p>
        </w:tc>
      </w:tr>
      <w:tr>
        <w:trPr>
          <w:trHeight w:val="228"/>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377,080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375,748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680" w:type="dxa"/>
            <w:vAlign w:val="bottom"/>
          </w:tcPr>
          <w:p>
            <w:pPr>
              <w:ind w:left="260"/>
              <w:spacing w:after="0"/>
              <w:rPr>
                <w:sz w:val="20"/>
                <w:szCs w:val="20"/>
                <w:color w:val="auto"/>
              </w:rPr>
            </w:pPr>
            <w:r>
              <w:rPr>
                <w:rFonts w:ascii="Arial" w:cs="Arial" w:eastAsia="Arial" w:hAnsi="Arial"/>
                <w:sz w:val="18"/>
                <w:szCs w:val="18"/>
                <w:color w:val="auto"/>
              </w:rPr>
              <w:t>East</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491,185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485,047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6,138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Central</w:t>
            </w:r>
          </w:p>
        </w:tc>
        <w:tc>
          <w:tcPr>
            <w:tcW w:w="10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384,353</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116,526</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267,827</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229.8</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46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10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1,808,186</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1,553,378</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254,808</w:t>
            </w:r>
          </w:p>
        </w:tc>
        <w:tc>
          <w:tcPr>
            <w:tcW w:w="24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Non-gaming:</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r>
      <w:tr>
        <w:trPr>
          <w:trHeight w:val="227"/>
        </w:trPr>
        <w:tc>
          <w:tcPr>
            <w:tcW w:w="4680" w:type="dxa"/>
            <w:vAlign w:val="bottom"/>
          </w:tcPr>
          <w:p>
            <w:pPr>
              <w:ind w:left="260"/>
              <w:spacing w:after="0"/>
              <w:rPr>
                <w:sz w:val="20"/>
                <w:szCs w:val="20"/>
                <w:color w:val="auto"/>
              </w:rPr>
            </w:pPr>
            <w:r>
              <w:rPr>
                <w:rFonts w:ascii="Arial" w:cs="Arial" w:eastAsia="Arial" w:hAnsi="Arial"/>
                <w:sz w:val="18"/>
                <w:szCs w:val="18"/>
                <w:color w:val="auto"/>
              </w:rPr>
              <w:t>West</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301,542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252,974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48,568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46,188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51,509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(5,321)</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(10.3) %</w:t>
            </w:r>
          </w:p>
        </w:tc>
      </w:tr>
      <w:tr>
        <w:trPr>
          <w:trHeight w:val="227"/>
        </w:trPr>
        <w:tc>
          <w:tcPr>
            <w:tcW w:w="4680" w:type="dxa"/>
            <w:vAlign w:val="bottom"/>
          </w:tcPr>
          <w:p>
            <w:pPr>
              <w:ind w:left="260"/>
              <w:spacing w:after="0"/>
              <w:rPr>
                <w:sz w:val="20"/>
                <w:szCs w:val="20"/>
                <w:color w:val="auto"/>
              </w:rPr>
            </w:pPr>
            <w:r>
              <w:rPr>
                <w:rFonts w:ascii="Arial" w:cs="Arial" w:eastAsia="Arial" w:hAnsi="Arial"/>
                <w:sz w:val="18"/>
                <w:szCs w:val="18"/>
                <w:color w:val="auto"/>
              </w:rPr>
              <w:t>South</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86,053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85,433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183,573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86,225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97,348</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680" w:type="dxa"/>
            <w:vAlign w:val="bottom"/>
          </w:tcPr>
          <w:p>
            <w:pPr>
              <w:ind w:left="260"/>
              <w:spacing w:after="0"/>
              <w:rPr>
                <w:sz w:val="20"/>
                <w:szCs w:val="20"/>
                <w:color w:val="auto"/>
              </w:rPr>
            </w:pPr>
            <w:r>
              <w:rPr>
                <w:rFonts w:ascii="Arial" w:cs="Arial" w:eastAsia="Arial" w:hAnsi="Arial"/>
                <w:sz w:val="18"/>
                <w:szCs w:val="18"/>
                <w:color w:val="auto"/>
              </w:rPr>
              <w:t>Central</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95,408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25,959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69,449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w:t>
            </w:r>
          </w:p>
        </w:tc>
        <w:tc>
          <w:tcPr>
            <w:tcW w:w="10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7,299</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6,770</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1,279.8</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46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10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720,063</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502,629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217,434</w:t>
            </w:r>
          </w:p>
        </w:tc>
        <w:tc>
          <w:tcPr>
            <w:tcW w:w="24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43.3</w:t>
            </w: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46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Net Revenues</w:t>
            </w:r>
          </w:p>
        </w:tc>
        <w:tc>
          <w:tcPr>
            <w:tcW w:w="10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2,528,249</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2,056,007</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472,242</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46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Gaming and Pari-Mutuel Commissions:</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r>
      <w:tr>
        <w:trPr>
          <w:trHeight w:val="227"/>
        </w:trPr>
        <w:tc>
          <w:tcPr>
            <w:tcW w:w="4680" w:type="dxa"/>
            <w:vAlign w:val="bottom"/>
          </w:tcPr>
          <w:p>
            <w:pPr>
              <w:ind w:left="260"/>
              <w:spacing w:after="0"/>
              <w:rPr>
                <w:sz w:val="20"/>
                <w:szCs w:val="20"/>
                <w:color w:val="auto"/>
              </w:rPr>
            </w:pPr>
            <w:r>
              <w:rPr>
                <w:rFonts w:ascii="Arial" w:cs="Arial" w:eastAsia="Arial" w:hAnsi="Arial"/>
                <w:sz w:val="18"/>
                <w:szCs w:val="18"/>
                <w:color w:val="auto"/>
              </w:rPr>
              <w:t>West</w:t>
            </w:r>
          </w:p>
        </w:tc>
        <w:tc>
          <w:tcPr>
            <w:tcW w:w="134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84,398</w:t>
            </w:r>
          </w:p>
        </w:tc>
        <w:tc>
          <w:tcPr>
            <w:tcW w:w="48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86,622</w:t>
            </w:r>
          </w:p>
        </w:tc>
        <w:tc>
          <w:tcPr>
            <w:tcW w:w="220" w:type="dxa"/>
            <w:vAlign w:val="bottom"/>
          </w:tcPr>
          <w:p>
            <w:pPr>
              <w:spacing w:after="0"/>
              <w:rPr>
                <w:sz w:val="19"/>
                <w:szCs w:val="19"/>
                <w:color w:val="auto"/>
              </w:rPr>
            </w:pPr>
          </w:p>
        </w:tc>
        <w:tc>
          <w:tcPr>
            <w:tcW w:w="220" w:type="dxa"/>
            <w:vAlign w:val="bottom"/>
          </w:tcPr>
          <w:p>
            <w:pPr>
              <w:jc w:val="right"/>
              <w:ind w:right="43"/>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(2,224)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(2.6) %</w:t>
            </w:r>
          </w:p>
        </w:tc>
      </w:tr>
      <w:tr>
        <w:trPr>
          <w:trHeight w:val="228"/>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133,852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141,641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(7,789)</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 %</w:t>
            </w:r>
          </w:p>
        </w:tc>
      </w:tr>
      <w:tr>
        <w:trPr>
          <w:trHeight w:val="227"/>
        </w:trPr>
        <w:tc>
          <w:tcPr>
            <w:tcW w:w="4680" w:type="dxa"/>
            <w:vAlign w:val="bottom"/>
          </w:tcPr>
          <w:p>
            <w:pPr>
              <w:ind w:left="260"/>
              <w:spacing w:after="0"/>
              <w:rPr>
                <w:sz w:val="20"/>
                <w:szCs w:val="20"/>
                <w:color w:val="auto"/>
              </w:rPr>
            </w:pPr>
            <w:r>
              <w:rPr>
                <w:rFonts w:ascii="Arial" w:cs="Arial" w:eastAsia="Arial" w:hAnsi="Arial"/>
                <w:sz w:val="18"/>
                <w:szCs w:val="18"/>
                <w:color w:val="auto"/>
              </w:rPr>
              <w:t>South</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179,328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180,325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(997)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(0.6) %</w:t>
            </w:r>
          </w:p>
        </w:tc>
      </w:tr>
      <w:tr>
        <w:trPr>
          <w:trHeight w:val="228"/>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233,296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286,202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(52,906)</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(18.5) %</w:t>
            </w:r>
          </w:p>
        </w:tc>
      </w:tr>
      <w:tr>
        <w:trPr>
          <w:trHeight w:val="227"/>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Central</w:t>
            </w:r>
          </w:p>
        </w:tc>
        <w:tc>
          <w:tcPr>
            <w:tcW w:w="10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171,453</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116,954</w:t>
            </w:r>
          </w:p>
        </w:tc>
        <w:tc>
          <w:tcPr>
            <w:tcW w:w="24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214.6</w:t>
            </w: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4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10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802,327</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749,289</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53,038</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4680" w:type="dxa"/>
            <w:vAlign w:val="bottom"/>
          </w:tcPr>
          <w:p>
            <w:pPr>
              <w:spacing w:after="0"/>
              <w:rPr>
                <w:sz w:val="20"/>
                <w:szCs w:val="20"/>
                <w:color w:val="auto"/>
              </w:rPr>
            </w:pPr>
            <w:r>
              <w:rPr>
                <w:rFonts w:ascii="Arial" w:cs="Arial" w:eastAsia="Arial" w:hAnsi="Arial"/>
                <w:sz w:val="18"/>
                <w:szCs w:val="18"/>
                <w:color w:val="auto"/>
              </w:rPr>
              <w:t>Non-gaming</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8"/>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161,288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151,211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10,077</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680" w:type="dxa"/>
            <w:vAlign w:val="bottom"/>
          </w:tcPr>
          <w:p>
            <w:pPr>
              <w:ind w:left="260"/>
              <w:spacing w:after="0"/>
              <w:rPr>
                <w:sz w:val="20"/>
                <w:szCs w:val="20"/>
                <w:color w:val="auto"/>
              </w:rPr>
            </w:pPr>
            <w:r>
              <w:rPr>
                <w:rFonts w:ascii="Arial" w:cs="Arial" w:eastAsia="Arial" w:hAnsi="Arial"/>
                <w:sz w:val="18"/>
                <w:szCs w:val="18"/>
                <w:color w:val="auto"/>
              </w:rPr>
              <w:t>Midwest</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30,951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(6,151)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(19.9) %</w:t>
            </w:r>
          </w:p>
        </w:tc>
      </w:tr>
      <w:tr>
        <w:trPr>
          <w:trHeight w:val="228"/>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53,619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56,607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(2,988)</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 %</w:t>
            </w:r>
          </w:p>
        </w:tc>
      </w:tr>
      <w:tr>
        <w:trPr>
          <w:trHeight w:val="227"/>
        </w:trPr>
        <w:tc>
          <w:tcPr>
            <w:tcW w:w="4680" w:type="dxa"/>
            <w:vAlign w:val="bottom"/>
          </w:tcPr>
          <w:p>
            <w:pPr>
              <w:ind w:left="260"/>
              <w:spacing w:after="0"/>
              <w:rPr>
                <w:sz w:val="20"/>
                <w:szCs w:val="20"/>
                <w:color w:val="auto"/>
              </w:rPr>
            </w:pPr>
            <w:r>
              <w:rPr>
                <w:rFonts w:ascii="Arial" w:cs="Arial" w:eastAsia="Arial" w:hAnsi="Arial"/>
                <w:sz w:val="18"/>
                <w:szCs w:val="18"/>
                <w:color w:val="auto"/>
              </w:rPr>
              <w:t>East</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93,292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51,536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41,756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Central</w:t>
            </w:r>
          </w:p>
        </w:tc>
        <w:tc>
          <w:tcPr>
            <w:tcW w:w="10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50,823</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34,825</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46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10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383,822</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306,303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77,519</w:t>
            </w:r>
          </w:p>
        </w:tc>
        <w:tc>
          <w:tcPr>
            <w:tcW w:w="24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25.3</w:t>
            </w: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46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r>
      <w:tr>
        <w:trPr>
          <w:trHeight w:val="227"/>
        </w:trPr>
        <w:tc>
          <w:tcPr>
            <w:tcW w:w="4680" w:type="dxa"/>
            <w:vAlign w:val="bottom"/>
          </w:tcPr>
          <w:p>
            <w:pPr>
              <w:ind w:left="260"/>
              <w:spacing w:after="0"/>
              <w:rPr>
                <w:sz w:val="20"/>
                <w:szCs w:val="20"/>
                <w:color w:val="auto"/>
              </w:rPr>
            </w:pPr>
            <w:r>
              <w:rPr>
                <w:rFonts w:ascii="Arial" w:cs="Arial" w:eastAsia="Arial" w:hAnsi="Arial"/>
                <w:sz w:val="18"/>
                <w:szCs w:val="18"/>
                <w:color w:val="auto"/>
              </w:rPr>
              <w:t>Marketing and promotions</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129,373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106,161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23,212</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476,751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349,598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127,153</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68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65,996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46,632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19,364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charges</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(12,644)</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(93.0) %</w:t>
            </w:r>
          </w:p>
        </w:tc>
      </w:tr>
      <w:tr>
        <w:trPr>
          <w:trHeight w:val="227"/>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221,525</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157,429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64,096</w:t>
            </w:r>
          </w:p>
        </w:tc>
        <w:tc>
          <w:tcPr>
            <w:tcW w:w="24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40.7</w:t>
            </w: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4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0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2,080,752</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1,729,014</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351,738</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i w:val="1"/>
          <w:iCs w:val="1"/>
          <w:color w:val="auto"/>
        </w:rPr>
        <w:t xml:space="preserve">Gaming Revenues and Pari-Mutuel Commissions. </w:t>
      </w:r>
      <w:r>
        <w:rPr>
          <w:rFonts w:ascii="Arial" w:cs="Arial" w:eastAsia="Arial" w:hAnsi="Arial"/>
          <w:sz w:val="18"/>
          <w:szCs w:val="18"/>
          <w:color w:val="auto"/>
        </w:rPr>
        <w:t>For the year ended December 31, 2019, Elgin and Tropicana contributed $674.8 million of gaming</w:t>
      </w:r>
      <w:r>
        <w:rPr>
          <w:rFonts w:ascii="Arial" w:cs="Arial" w:eastAsia="Arial" w:hAnsi="Arial"/>
          <w:sz w:val="18"/>
          <w:szCs w:val="18"/>
          <w:i w:val="1"/>
          <w:iCs w:val="1"/>
          <w:color w:val="auto"/>
        </w:rPr>
        <w:t xml:space="preserve"> </w:t>
      </w:r>
      <w:r>
        <w:rPr>
          <w:rFonts w:ascii="Arial" w:cs="Arial" w:eastAsia="Arial" w:hAnsi="Arial"/>
          <w:sz w:val="18"/>
          <w:szCs w:val="18"/>
          <w:color w:val="auto"/>
        </w:rPr>
        <w:t>and pari-mutuel commissions. This increase in incremental revenues associated with these acquisitions was partially offset by the decline in revenues due to the Divestitures, resulting in a 16.4% increase in gaming revenues and pari-mutuel commissions over 2018.</w:t>
      </w:r>
    </w:p>
    <w:p>
      <w:pPr>
        <w:spacing w:after="0" w:line="186" w:lineRule="exact"/>
        <w:rPr>
          <w:sz w:val="20"/>
          <w:szCs w:val="20"/>
          <w:color w:val="auto"/>
        </w:rPr>
      </w:pPr>
    </w:p>
    <w:p>
      <w:pPr>
        <w:ind w:right="40" w:firstLine="555"/>
        <w:spacing w:after="0" w:line="275" w:lineRule="auto"/>
        <w:rPr>
          <w:sz w:val="20"/>
          <w:szCs w:val="20"/>
          <w:color w:val="auto"/>
        </w:rPr>
      </w:pPr>
      <w:r>
        <w:rPr>
          <w:rFonts w:ascii="Arial" w:cs="Arial" w:eastAsia="Arial" w:hAnsi="Arial"/>
          <w:sz w:val="17"/>
          <w:szCs w:val="17"/>
          <w:color w:val="auto"/>
        </w:rPr>
        <w:t>Excluding incremental Elgin and Tropicana gaming revenues and pari-mutuel commissions and the impact of the Divestitures, gaming revenues and pari-mutuel commissions decreased 6.3% for the year ended December 31, 2019 compared to 2018 due to reductions in casino volume associated with changes in promotional activity. Additionally, construction disruption affected our West segment and severe weather negatively impacted our visitor volume across all segments contributing to the declines in casino revenues for the year ended December 31, 2019.</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6" w:name="page57"/>
    <w:bookmarkEnd w:id="56"/>
    <w:p>
      <w:pPr>
        <w:ind w:right="140" w:firstLine="555"/>
        <w:spacing w:after="0" w:line="301" w:lineRule="auto"/>
        <w:rPr>
          <w:sz w:val="20"/>
          <w:szCs w:val="20"/>
          <w:color w:val="auto"/>
        </w:rPr>
      </w:pPr>
      <w:r>
        <w:rPr>
          <w:rFonts w:ascii="Arial" w:cs="Arial" w:eastAsia="Arial" w:hAnsi="Arial"/>
          <w:sz w:val="17"/>
          <w:szCs w:val="17"/>
          <w:i w:val="1"/>
          <w:iCs w:val="1"/>
          <w:color w:val="auto"/>
        </w:rPr>
        <w:t>Non-gaming Revenues</w:t>
      </w:r>
      <w:r>
        <w:rPr>
          <w:rFonts w:ascii="Arial" w:cs="Arial" w:eastAsia="Arial" w:hAnsi="Arial"/>
          <w:sz w:val="17"/>
          <w:szCs w:val="17"/>
          <w:color w:val="auto"/>
        </w:rPr>
        <w:t>. For the year ended December 31, 2019, Elgin and Tropicana contributed $316.7 million of incremental non-gaming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partially offset by declines in non-gaming revenues attributable to the Divestitures, resulting in an increase of 43.3% over 2018.</w:t>
      </w:r>
    </w:p>
    <w:p>
      <w:pPr>
        <w:spacing w:after="0" w:line="152"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Excluding incremental Elgin and Tropicana non-gaming revenues and the impact of the Divestitures, non-gaming revenues decreased 1.8% for the year ended December 31, 2019 compared to 2018. This decline was primarily driven by changes in promotional activity, construction disruption and weather that negatively impacted visitor traffic during the year ended December 31, 2019.</w:t>
      </w:r>
    </w:p>
    <w:p>
      <w:pPr>
        <w:spacing w:after="0" w:line="186"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i w:val="1"/>
          <w:iCs w:val="1"/>
          <w:color w:val="auto"/>
        </w:rPr>
        <w:t>Gaming Expenses and Pari-Mutuel Commissions</w:t>
      </w:r>
      <w:r>
        <w:rPr>
          <w:rFonts w:ascii="Arial" w:cs="Arial" w:eastAsia="Arial" w:hAnsi="Arial"/>
          <w:sz w:val="18"/>
          <w:szCs w:val="18"/>
          <w:color w:val="auto"/>
        </w:rPr>
        <w:t>. For the year ended December 31, 2019, Elgin and Tropicana contributed $275.9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incremental gaming expenses and pari-mutuel commissions which was partially offset by the Divestitures, resulting in an increase of 7.1% in gaming expenses and pari-mutuel commissions over 2018.</w:t>
      </w:r>
    </w:p>
    <w:p>
      <w:pPr>
        <w:spacing w:after="0" w:line="186"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Excluding incremental Elgin and Tropicana gaming expenses and pari-mutuel commissions, and the impact of the Divestitures, gaming expenses and pari-mutuel commissions decreased 6.3% for year ended December 31, 2019 compared to 2018. Gaming expenses declined in comparison to 2018 due to lower volume combined with savings initiatives targeted at reducing variable expenses.</w:t>
      </w:r>
    </w:p>
    <w:p>
      <w:pPr>
        <w:spacing w:after="0" w:line="186" w:lineRule="exact"/>
        <w:rPr>
          <w:sz w:val="20"/>
          <w:szCs w:val="20"/>
          <w:color w:val="auto"/>
        </w:rPr>
      </w:pPr>
    </w:p>
    <w:p>
      <w:pPr>
        <w:jc w:val="both"/>
        <w:ind w:right="220" w:firstLine="555"/>
        <w:spacing w:after="0" w:line="271" w:lineRule="auto"/>
        <w:rPr>
          <w:sz w:val="20"/>
          <w:szCs w:val="20"/>
          <w:color w:val="auto"/>
        </w:rPr>
      </w:pPr>
      <w:r>
        <w:rPr>
          <w:rFonts w:ascii="Arial" w:cs="Arial" w:eastAsia="Arial" w:hAnsi="Arial"/>
          <w:sz w:val="18"/>
          <w:szCs w:val="18"/>
          <w:i w:val="1"/>
          <w:iCs w:val="1"/>
          <w:color w:val="auto"/>
        </w:rPr>
        <w:t xml:space="preserve">Non-gaming Expenses. </w:t>
      </w:r>
      <w:r>
        <w:rPr>
          <w:rFonts w:ascii="Arial" w:cs="Arial" w:eastAsia="Arial" w:hAnsi="Arial"/>
          <w:sz w:val="18"/>
          <w:szCs w:val="18"/>
          <w:color w:val="auto"/>
        </w:rPr>
        <w:t>For the year ended December 31, 2019, Elgin and Tropicana contributed $158.0 million of incremental non-gaming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was partially offset by the Divestitures, resulting in an increase of 25.3% over 2018.</w:t>
      </w:r>
    </w:p>
    <w:p>
      <w:pPr>
        <w:spacing w:after="0" w:line="175" w:lineRule="exact"/>
        <w:rPr>
          <w:sz w:val="20"/>
          <w:szCs w:val="20"/>
          <w:color w:val="auto"/>
        </w:rPr>
      </w:pPr>
    </w:p>
    <w:p>
      <w:pPr>
        <w:jc w:val="both"/>
        <w:ind w:right="240" w:firstLine="555"/>
        <w:spacing w:after="0" w:line="259" w:lineRule="auto"/>
        <w:rPr>
          <w:sz w:val="20"/>
          <w:szCs w:val="20"/>
          <w:color w:val="auto"/>
        </w:rPr>
      </w:pPr>
      <w:r>
        <w:rPr>
          <w:rFonts w:ascii="Arial" w:cs="Arial" w:eastAsia="Arial" w:hAnsi="Arial"/>
          <w:sz w:val="18"/>
          <w:szCs w:val="18"/>
          <w:color w:val="auto"/>
        </w:rPr>
        <w:t>Excluding incremental Elgin and Tropicana non-gaming expenses, and the impact of the Divestitures, non-gaming expenses decreased 10.1% for the year ended December 31, 2019 compared to 2018. Decreased non-gaming expenses were associated with lower non-gaming revenues along with continued efforts to reduce variable expenses including labor and cost of sales.</w:t>
      </w:r>
    </w:p>
    <w:p>
      <w:pPr>
        <w:spacing w:after="0" w:line="186" w:lineRule="exact"/>
        <w:rPr>
          <w:sz w:val="20"/>
          <w:szCs w:val="20"/>
          <w:color w:val="auto"/>
        </w:rPr>
      </w:pPr>
    </w:p>
    <w:p>
      <w:pPr>
        <w:ind w:right="60" w:firstLine="555"/>
        <w:spacing w:after="0" w:line="271" w:lineRule="auto"/>
        <w:rPr>
          <w:sz w:val="20"/>
          <w:szCs w:val="20"/>
          <w:color w:val="auto"/>
        </w:rPr>
      </w:pPr>
      <w:r>
        <w:rPr>
          <w:rFonts w:ascii="Arial" w:cs="Arial" w:eastAsia="Arial" w:hAnsi="Arial"/>
          <w:sz w:val="18"/>
          <w:szCs w:val="18"/>
          <w:i w:val="1"/>
          <w:iCs w:val="1"/>
          <w:color w:val="auto"/>
        </w:rPr>
        <w:t>Marketing and Promotions Expenses</w:t>
      </w:r>
      <w:r>
        <w:rPr>
          <w:rFonts w:ascii="Arial" w:cs="Arial" w:eastAsia="Arial" w:hAnsi="Arial"/>
          <w:sz w:val="18"/>
          <w:szCs w:val="18"/>
          <w:color w:val="auto"/>
        </w:rPr>
        <w:t>. For the year ended December 31, 2019, Elgin and Tropicana contributed $68.1 million of incremental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promotions expenses which was partially offset by the Divestitures, resulting in an increase of 21.9% over 2018.</w:t>
      </w:r>
    </w:p>
    <w:p>
      <w:pPr>
        <w:spacing w:after="0" w:line="175" w:lineRule="exact"/>
        <w:rPr>
          <w:sz w:val="20"/>
          <w:szCs w:val="20"/>
          <w:color w:val="auto"/>
        </w:rPr>
      </w:pPr>
    </w:p>
    <w:p>
      <w:pPr>
        <w:ind w:right="120" w:firstLine="555"/>
        <w:spacing w:after="0" w:line="255" w:lineRule="auto"/>
        <w:rPr>
          <w:sz w:val="20"/>
          <w:szCs w:val="20"/>
          <w:color w:val="auto"/>
        </w:rPr>
      </w:pPr>
      <w:r>
        <w:rPr>
          <w:rFonts w:ascii="Arial" w:cs="Arial" w:eastAsia="Arial" w:hAnsi="Arial"/>
          <w:sz w:val="18"/>
          <w:szCs w:val="18"/>
          <w:color w:val="auto"/>
        </w:rPr>
        <w:t>Excluding incremental Elgin and Tropicana marketing and promotions expenses, and the impact of the Divestitures, consolidated marketing and promotions expense decreased 21.5% for the year ended December 31, 2019 compared to 2018. This decline was primarily due to savings achieved via the termination of certain marketing contracts, reduction in direct mail costs and continued company-wide changes in marketing and promotional activity targeted at lowering expenses.</w:t>
      </w:r>
    </w:p>
    <w:p>
      <w:pPr>
        <w:spacing w:after="0" w:line="191" w:lineRule="exact"/>
        <w:rPr>
          <w:sz w:val="20"/>
          <w:szCs w:val="20"/>
          <w:color w:val="auto"/>
        </w:rPr>
      </w:pPr>
    </w:p>
    <w:p>
      <w:pPr>
        <w:ind w:right="700" w:firstLine="555"/>
        <w:spacing w:after="0" w:line="271"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For the year ended December 31, 2019, Elgin and Tropicana contributed $213.9 million of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 which was partially offset by the Divestitures, resulting in an increase of 36.4% over 2018.</w:t>
      </w:r>
    </w:p>
    <w:p>
      <w:pPr>
        <w:spacing w:after="0" w:line="175"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Excluding incremental Elgin and Tropicana general and administrative expenses and the impact of the Divestitures, consolidated general and administrative expenses decreased 2.4% for the year ended December 31, 2019 compared to 2018 mainly due to the centralization of certain services provided to our properties and realized savings achieved through consolidated purchasing programs.</w:t>
      </w:r>
    </w:p>
    <w:p>
      <w:pPr>
        <w:spacing w:after="0" w:line="213" w:lineRule="exact"/>
        <w:rPr>
          <w:sz w:val="20"/>
          <w:szCs w:val="20"/>
          <w:color w:val="auto"/>
        </w:rPr>
      </w:pPr>
    </w:p>
    <w:p>
      <w:pPr>
        <w:ind w:right="80" w:firstLine="555"/>
        <w:spacing w:after="0" w:line="282" w:lineRule="auto"/>
        <w:rPr>
          <w:sz w:val="20"/>
          <w:szCs w:val="20"/>
          <w:color w:val="auto"/>
        </w:rPr>
      </w:pPr>
      <w:r>
        <w:rPr>
          <w:rFonts w:ascii="Arial" w:cs="Arial" w:eastAsia="Arial" w:hAnsi="Arial"/>
          <w:sz w:val="17"/>
          <w:szCs w:val="17"/>
          <w:i w:val="1"/>
          <w:iCs w:val="1"/>
          <w:color w:val="auto"/>
        </w:rPr>
        <w:t>Corporate Expenses</w:t>
      </w:r>
      <w:r>
        <w:rPr>
          <w:rFonts w:ascii="Arial" w:cs="Arial" w:eastAsia="Arial" w:hAnsi="Arial"/>
          <w:sz w:val="17"/>
          <w:szCs w:val="17"/>
          <w:color w:val="auto"/>
        </w:rPr>
        <w:t>. For the year ended December 31, 2019, corporate expenses increased $19.4 million, or 41.5%, primarily due to payroll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driven by growth related to the Company’s acquisitions. Additionally, an increase in severance expense and the associated acceleration of stock compensation expense also drove the increase in corporate expense for the year ended December 31, 2019 compared to 2018.</w:t>
      </w:r>
    </w:p>
    <w:p>
      <w:pPr>
        <w:spacing w:after="0" w:line="167" w:lineRule="exact"/>
        <w:rPr>
          <w:sz w:val="20"/>
          <w:szCs w:val="20"/>
          <w:color w:val="auto"/>
        </w:rPr>
      </w:pPr>
    </w:p>
    <w:p>
      <w:pPr>
        <w:ind w:right="40" w:firstLine="555"/>
        <w:spacing w:after="0" w:line="307" w:lineRule="auto"/>
        <w:rPr>
          <w:sz w:val="20"/>
          <w:szCs w:val="20"/>
          <w:color w:val="auto"/>
        </w:rPr>
      </w:pPr>
      <w:r>
        <w:rPr>
          <w:rFonts w:ascii="Arial" w:cs="Arial" w:eastAsia="Arial" w:hAnsi="Arial"/>
          <w:sz w:val="16"/>
          <w:szCs w:val="16"/>
          <w:i w:val="1"/>
          <w:iCs w:val="1"/>
          <w:color w:val="auto"/>
        </w:rPr>
        <w:t xml:space="preserve">Impairment Charges. </w:t>
      </w:r>
      <w:r>
        <w:rPr>
          <w:rFonts w:ascii="Arial" w:cs="Arial" w:eastAsia="Arial" w:hAnsi="Arial"/>
          <w:sz w:val="16"/>
          <w:szCs w:val="16"/>
          <w:color w:val="auto"/>
        </w:rPr>
        <w:t>We recorded an impairment charge for the year ended December 31, 2019 totaling $1.0 million related to our non-operating real</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located in Pennsylvania. We recorded impairment charges of $9.8 million related to the classifications of Vicksburg’s operations as assets held for sale and $3.8 million related to the classification of Nemacolin’s operations as assets held for sale for the year ended December 31, 2018.</w:t>
      </w:r>
    </w:p>
    <w:p>
      <w:pPr>
        <w:spacing w:after="0" w:line="150" w:lineRule="exact"/>
        <w:rPr>
          <w:sz w:val="20"/>
          <w:szCs w:val="20"/>
          <w:color w:val="auto"/>
        </w:rPr>
      </w:pPr>
    </w:p>
    <w:p>
      <w:pPr>
        <w:ind w:right="340" w:firstLine="555"/>
        <w:spacing w:after="0" w:line="301" w:lineRule="auto"/>
        <w:rPr>
          <w:sz w:val="20"/>
          <w:szCs w:val="20"/>
          <w:color w:val="auto"/>
        </w:rPr>
      </w:pPr>
      <w:r>
        <w:rPr>
          <w:rFonts w:ascii="Arial" w:cs="Arial" w:eastAsia="Arial" w:hAnsi="Arial"/>
          <w:sz w:val="17"/>
          <w:szCs w:val="17"/>
          <w:i w:val="1"/>
          <w:iCs w:val="1"/>
          <w:color w:val="auto"/>
        </w:rPr>
        <w:t>Depreciation and Amortization Expense</w:t>
      </w:r>
      <w:r>
        <w:rPr>
          <w:rFonts w:ascii="Arial" w:cs="Arial" w:eastAsia="Arial" w:hAnsi="Arial"/>
          <w:sz w:val="17"/>
          <w:szCs w:val="17"/>
          <w:color w:val="auto"/>
        </w:rPr>
        <w:t>. Elgin and Tropicana contributed $102.9 million of incremental depreciation and amortization expense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2019, which was partially offset by the Divestitures, resulting in an increase of 40.7% over 2018.</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57" w:name="page58"/>
    <w:bookmarkEnd w:id="57"/>
    <w:p>
      <w:pPr>
        <w:ind w:right="120" w:firstLine="555"/>
        <w:spacing w:after="0" w:line="259" w:lineRule="auto"/>
        <w:rPr>
          <w:sz w:val="20"/>
          <w:szCs w:val="20"/>
          <w:color w:val="auto"/>
        </w:rPr>
      </w:pPr>
      <w:r>
        <w:rPr>
          <w:rFonts w:ascii="Arial" w:cs="Arial" w:eastAsia="Arial" w:hAnsi="Arial"/>
          <w:sz w:val="18"/>
          <w:szCs w:val="18"/>
          <w:color w:val="auto"/>
        </w:rPr>
        <w:t>Excluding incremental Elgin and Tropicana depreciation and amortization expense and the impact of Divestitures, depreciation and amortization expense decreased 0.4% for the year ended December 31, 2019 compared to 2018 mainly due to ceasing depreciation and amortization expense on assets held for sale.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to the Year Ended December 31, 2017</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Variance</w:t>
            </w:r>
          </w:p>
        </w:tc>
        <w:tc>
          <w:tcPr>
            <w:tcW w:w="1080" w:type="dxa"/>
            <w:vAlign w:val="bottom"/>
          </w:tcPr>
          <w:p>
            <w:pPr>
              <w:jc w:val="right"/>
              <w:ind w:right="271"/>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r>
      <w:tr>
        <w:trPr>
          <w:trHeight w:val="221"/>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r>
      <w:tr>
        <w:trPr>
          <w:trHeight w:val="227"/>
        </w:trPr>
        <w:tc>
          <w:tcPr>
            <w:tcW w:w="460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8"/>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1440" w:type="dxa"/>
            <w:vAlign w:val="bottom"/>
            <w:gridSpan w:val="2"/>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230,558</w:t>
            </w:r>
          </w:p>
        </w:tc>
        <w:tc>
          <w:tcPr>
            <w:tcW w:w="500" w:type="dxa"/>
            <w:vAlign w:val="bottom"/>
            <w:gridSpan w:val="2"/>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43,779</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600" w:type="dxa"/>
            <w:vAlign w:val="bottom"/>
          </w:tcPr>
          <w:p>
            <w:pPr>
              <w:ind w:left="260"/>
              <w:spacing w:after="0"/>
              <w:rPr>
                <w:sz w:val="20"/>
                <w:szCs w:val="20"/>
                <w:color w:val="auto"/>
              </w:rPr>
            </w:pPr>
            <w:r>
              <w:rPr>
                <w:rFonts w:ascii="Arial" w:cs="Arial" w:eastAsia="Arial" w:hAnsi="Arial"/>
                <w:sz w:val="18"/>
                <w:szCs w:val="18"/>
                <w:color w:val="auto"/>
              </w:rPr>
              <w:t>Midwest</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345,499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231,366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114,133</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375,748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268,680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107,068</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600" w:type="dxa"/>
            <w:vAlign w:val="bottom"/>
          </w:tcPr>
          <w:p>
            <w:pPr>
              <w:ind w:left="260"/>
              <w:spacing w:after="0"/>
              <w:rPr>
                <w:sz w:val="20"/>
                <w:szCs w:val="20"/>
                <w:color w:val="auto"/>
              </w:rPr>
            </w:pPr>
            <w:r>
              <w:rPr>
                <w:rFonts w:ascii="Arial" w:cs="Arial" w:eastAsia="Arial" w:hAnsi="Arial"/>
                <w:sz w:val="18"/>
                <w:szCs w:val="18"/>
                <w:color w:val="auto"/>
              </w:rPr>
              <w:t>East</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485,047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412,202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72,845</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Central</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116,526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116,526</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46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11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1,553,378</w:t>
            </w:r>
          </w:p>
        </w:tc>
        <w:tc>
          <w:tcPr>
            <w:tcW w:w="2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1,099,027</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454,351</w:t>
            </w:r>
          </w:p>
        </w:tc>
        <w:tc>
          <w:tcPr>
            <w:tcW w:w="30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41.3</w:t>
            </w:r>
          </w:p>
        </w:tc>
        <w:tc>
          <w:tcPr>
            <w:tcW w:w="2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Non-gaming:</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27"/>
        </w:trPr>
        <w:tc>
          <w:tcPr>
            <w:tcW w:w="4600" w:type="dxa"/>
            <w:vAlign w:val="bottom"/>
          </w:tcPr>
          <w:p>
            <w:pPr>
              <w:ind w:left="260"/>
              <w:spacing w:after="0"/>
              <w:rPr>
                <w:sz w:val="20"/>
                <w:szCs w:val="20"/>
                <w:color w:val="auto"/>
              </w:rPr>
            </w:pPr>
            <w:r>
              <w:rPr>
                <w:rFonts w:ascii="Arial" w:cs="Arial" w:eastAsia="Arial" w:hAnsi="Arial"/>
                <w:sz w:val="18"/>
                <w:szCs w:val="18"/>
                <w:color w:val="auto"/>
              </w:rPr>
              <w:t>West</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252,974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223,540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29,434</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51,509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37,513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13,996</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600" w:type="dxa"/>
            <w:vAlign w:val="bottom"/>
          </w:tcPr>
          <w:p>
            <w:pPr>
              <w:ind w:left="260"/>
              <w:spacing w:after="0"/>
              <w:rPr>
                <w:sz w:val="20"/>
                <w:szCs w:val="20"/>
                <w:color w:val="auto"/>
              </w:rPr>
            </w:pPr>
            <w:r>
              <w:rPr>
                <w:rFonts w:ascii="Arial" w:cs="Arial" w:eastAsia="Arial" w:hAnsi="Arial"/>
                <w:sz w:val="18"/>
                <w:szCs w:val="18"/>
                <w:color w:val="auto"/>
              </w:rPr>
              <w:t>South</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85,433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69,579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15,854</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86,225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50,633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35,592</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600" w:type="dxa"/>
            <w:vAlign w:val="bottom"/>
          </w:tcPr>
          <w:p>
            <w:pPr>
              <w:ind w:left="260"/>
              <w:spacing w:after="0"/>
              <w:rPr>
                <w:sz w:val="20"/>
                <w:szCs w:val="20"/>
                <w:color w:val="auto"/>
              </w:rPr>
            </w:pPr>
            <w:r>
              <w:rPr>
                <w:rFonts w:ascii="Arial" w:cs="Arial" w:eastAsia="Arial" w:hAnsi="Arial"/>
                <w:sz w:val="18"/>
                <w:szCs w:val="18"/>
                <w:color w:val="auto"/>
              </w:rPr>
              <w:t>Central</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25,959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25,959</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w:t>
            </w:r>
          </w:p>
        </w:tc>
        <w:tc>
          <w:tcPr>
            <w:tcW w:w="1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46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1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502,629</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381,771</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120,858</w:t>
            </w:r>
          </w:p>
        </w:tc>
        <w:tc>
          <w:tcPr>
            <w:tcW w:w="30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31.7</w:t>
            </w:r>
          </w:p>
        </w:tc>
        <w:tc>
          <w:tcPr>
            <w:tcW w:w="2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46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Net Revenues</w:t>
            </w:r>
          </w:p>
        </w:tc>
        <w:tc>
          <w:tcPr>
            <w:tcW w:w="1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2,056,007</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1,480,798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575,209</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46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Gaming and Pari-Mutuel Commissions:</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27"/>
        </w:trPr>
        <w:tc>
          <w:tcPr>
            <w:tcW w:w="4600" w:type="dxa"/>
            <w:vAlign w:val="bottom"/>
          </w:tcPr>
          <w:p>
            <w:pPr>
              <w:ind w:left="260"/>
              <w:spacing w:after="0"/>
              <w:rPr>
                <w:sz w:val="20"/>
                <w:szCs w:val="20"/>
                <w:color w:val="auto"/>
              </w:rPr>
            </w:pPr>
            <w:r>
              <w:rPr>
                <w:rFonts w:ascii="Arial" w:cs="Arial" w:eastAsia="Arial" w:hAnsi="Arial"/>
                <w:sz w:val="18"/>
                <w:szCs w:val="18"/>
                <w:color w:val="auto"/>
              </w:rPr>
              <w:t>West</w:t>
            </w:r>
          </w:p>
        </w:tc>
        <w:tc>
          <w:tcPr>
            <w:tcW w:w="144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86,622</w:t>
            </w:r>
          </w:p>
        </w:tc>
        <w:tc>
          <w:tcPr>
            <w:tcW w:w="50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73,304</w:t>
            </w:r>
          </w:p>
        </w:tc>
        <w:tc>
          <w:tcPr>
            <w:tcW w:w="22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13,318</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141,641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96,989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44,652</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600" w:type="dxa"/>
            <w:vAlign w:val="bottom"/>
          </w:tcPr>
          <w:p>
            <w:pPr>
              <w:ind w:left="260"/>
              <w:spacing w:after="0"/>
              <w:rPr>
                <w:sz w:val="20"/>
                <w:szCs w:val="20"/>
                <w:color w:val="auto"/>
              </w:rPr>
            </w:pPr>
            <w:r>
              <w:rPr>
                <w:rFonts w:ascii="Arial" w:cs="Arial" w:eastAsia="Arial" w:hAnsi="Arial"/>
                <w:sz w:val="18"/>
                <w:szCs w:val="18"/>
                <w:color w:val="auto"/>
              </w:rPr>
              <w:t>South</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180,325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134,661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45,664</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286,202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256,135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30,067</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600" w:type="dxa"/>
            <w:vAlign w:val="bottom"/>
          </w:tcPr>
          <w:p>
            <w:pPr>
              <w:ind w:left="260"/>
              <w:spacing w:after="0"/>
              <w:rPr>
                <w:sz w:val="20"/>
                <w:szCs w:val="20"/>
                <w:color w:val="auto"/>
              </w:rPr>
            </w:pPr>
            <w:r>
              <w:rPr>
                <w:rFonts w:ascii="Arial" w:cs="Arial" w:eastAsia="Arial" w:hAnsi="Arial"/>
                <w:sz w:val="18"/>
                <w:szCs w:val="18"/>
                <w:color w:val="auto"/>
              </w:rPr>
              <w:t>Central</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54,499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54,499</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460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1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749,289</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561,089</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188,200</w:t>
            </w:r>
          </w:p>
        </w:tc>
        <w:tc>
          <w:tcPr>
            <w:tcW w:w="3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2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4600" w:type="dxa"/>
            <w:vAlign w:val="bottom"/>
          </w:tcPr>
          <w:p>
            <w:pPr>
              <w:spacing w:after="0"/>
              <w:rPr>
                <w:sz w:val="20"/>
                <w:szCs w:val="20"/>
                <w:color w:val="auto"/>
              </w:rPr>
            </w:pPr>
            <w:r>
              <w:rPr>
                <w:rFonts w:ascii="Arial" w:cs="Arial" w:eastAsia="Arial" w:hAnsi="Arial"/>
                <w:sz w:val="18"/>
                <w:szCs w:val="18"/>
                <w:color w:val="auto"/>
              </w:rPr>
              <w:t>Non-gaming</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8"/>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151,211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141,510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9,701</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600" w:type="dxa"/>
            <w:vAlign w:val="bottom"/>
          </w:tcPr>
          <w:p>
            <w:pPr>
              <w:ind w:left="260"/>
              <w:spacing w:after="0"/>
              <w:rPr>
                <w:sz w:val="20"/>
                <w:szCs w:val="20"/>
                <w:color w:val="auto"/>
              </w:rPr>
            </w:pPr>
            <w:r>
              <w:rPr>
                <w:rFonts w:ascii="Arial" w:cs="Arial" w:eastAsia="Arial" w:hAnsi="Arial"/>
                <w:sz w:val="18"/>
                <w:szCs w:val="18"/>
                <w:color w:val="auto"/>
              </w:rPr>
              <w:t>Midwest</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30,951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26,271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4,680</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56,607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49,280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7,327</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600" w:type="dxa"/>
            <w:vAlign w:val="bottom"/>
          </w:tcPr>
          <w:p>
            <w:pPr>
              <w:ind w:left="260"/>
              <w:spacing w:after="0"/>
              <w:rPr>
                <w:sz w:val="20"/>
                <w:szCs w:val="20"/>
                <w:color w:val="auto"/>
              </w:rPr>
            </w:pPr>
            <w:r>
              <w:rPr>
                <w:rFonts w:ascii="Arial" w:cs="Arial" w:eastAsia="Arial" w:hAnsi="Arial"/>
                <w:sz w:val="18"/>
                <w:szCs w:val="18"/>
                <w:color w:val="auto"/>
              </w:rPr>
              <w:t>East</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51,536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16,018</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Central</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15,998</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46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11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306,303</w:t>
            </w:r>
          </w:p>
        </w:tc>
        <w:tc>
          <w:tcPr>
            <w:tcW w:w="2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252,579</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53,724</w:t>
            </w:r>
          </w:p>
        </w:tc>
        <w:tc>
          <w:tcPr>
            <w:tcW w:w="30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46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27"/>
        </w:trPr>
        <w:tc>
          <w:tcPr>
            <w:tcW w:w="4600" w:type="dxa"/>
            <w:vAlign w:val="bottom"/>
          </w:tcPr>
          <w:p>
            <w:pPr>
              <w:ind w:left="260"/>
              <w:spacing w:after="0"/>
              <w:rPr>
                <w:sz w:val="20"/>
                <w:szCs w:val="20"/>
                <w:color w:val="auto"/>
              </w:rPr>
            </w:pPr>
            <w:r>
              <w:rPr>
                <w:rFonts w:ascii="Arial" w:cs="Arial" w:eastAsia="Arial" w:hAnsi="Arial"/>
                <w:sz w:val="18"/>
                <w:szCs w:val="18"/>
                <w:color w:val="auto"/>
              </w:rPr>
              <w:t>Marketing and promotions</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106,161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83,174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22,987</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349,598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241,037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108,561</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60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46,632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30,739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15,893</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charges</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38,016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(24,414)</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(64.2) %</w:t>
            </w:r>
          </w:p>
        </w:tc>
      </w:tr>
      <w:tr>
        <w:trPr>
          <w:trHeight w:val="227"/>
        </w:trPr>
        <w:tc>
          <w:tcPr>
            <w:tcW w:w="4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157,429</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105,891</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51,538</w:t>
            </w:r>
          </w:p>
        </w:tc>
        <w:tc>
          <w:tcPr>
            <w:tcW w:w="30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48.7</w:t>
            </w:r>
          </w:p>
        </w:tc>
        <w:tc>
          <w:tcPr>
            <w:tcW w:w="2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4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1,729,014</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1,312,525</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416,489</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4600" w:type="dxa"/>
            <w:vAlign w:val="bottom"/>
          </w:tcPr>
          <w:p>
            <w:pPr>
              <w:spacing w:after="0"/>
              <w:rPr>
                <w:sz w:val="24"/>
                <w:szCs w:val="24"/>
                <w:color w:val="auto"/>
              </w:rPr>
            </w:pPr>
          </w:p>
        </w:tc>
        <w:tc>
          <w:tcPr>
            <w:tcW w:w="1440" w:type="dxa"/>
            <w:vAlign w:val="bottom"/>
            <w:gridSpan w:val="2"/>
          </w:tcPr>
          <w:p>
            <w:pPr>
              <w:jc w:val="right"/>
              <w:ind w:right="151"/>
              <w:spacing w:after="0"/>
              <w:rPr>
                <w:sz w:val="20"/>
                <w:szCs w:val="20"/>
                <w:color w:val="auto"/>
              </w:rPr>
            </w:pPr>
            <w:r>
              <w:rPr>
                <w:rFonts w:ascii="Arial" w:cs="Arial" w:eastAsia="Arial" w:hAnsi="Arial"/>
                <w:sz w:val="18"/>
                <w:szCs w:val="18"/>
                <w:color w:val="auto"/>
              </w:rPr>
              <w:t>57</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7231380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8" w:name="page59"/>
    <w:bookmarkEnd w:id="58"/>
    <w:p>
      <w:pPr>
        <w:ind w:right="120" w:firstLine="555"/>
        <w:spacing w:after="0" w:line="259" w:lineRule="auto"/>
        <w:rPr>
          <w:sz w:val="20"/>
          <w:szCs w:val="20"/>
          <w:color w:val="auto"/>
        </w:rPr>
      </w:pPr>
      <w:r>
        <w:rPr>
          <w:rFonts w:ascii="Arial" w:cs="Arial" w:eastAsia="Arial" w:hAnsi="Arial"/>
          <w:sz w:val="18"/>
          <w:szCs w:val="18"/>
          <w:i w:val="1"/>
          <w:iCs w:val="1"/>
          <w:color w:val="auto"/>
        </w:rPr>
        <w:t xml:space="preserve">Gaming Revenues and Pari-Mutuel Commissions. </w:t>
      </w:r>
      <w:r>
        <w:rPr>
          <w:rFonts w:ascii="Arial" w:cs="Arial" w:eastAsia="Arial" w:hAnsi="Arial"/>
          <w:sz w:val="18"/>
          <w:szCs w:val="18"/>
          <w:color w:val="auto"/>
        </w:rPr>
        <w:t>For the year ended December 31, 2018, Isle, Elgin and Tropicana contributed $454.7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gaming and pari-mutuel commissions driving a 41.3% increase over 2017. Excluding these incremental revenues, gaming and pari-mutuel commissions were flat for the year ended December 31, 2018 compared to 2017.</w:t>
      </w:r>
    </w:p>
    <w:p>
      <w:pPr>
        <w:spacing w:after="0" w:line="213" w:lineRule="exact"/>
        <w:rPr>
          <w:sz w:val="20"/>
          <w:szCs w:val="20"/>
          <w:color w:val="auto"/>
        </w:rPr>
      </w:pPr>
    </w:p>
    <w:p>
      <w:pPr>
        <w:ind w:right="360" w:firstLine="555"/>
        <w:spacing w:after="0" w:line="259" w:lineRule="auto"/>
        <w:rPr>
          <w:sz w:val="20"/>
          <w:szCs w:val="20"/>
          <w:color w:val="auto"/>
        </w:rPr>
      </w:pPr>
      <w:r>
        <w:rPr>
          <w:rFonts w:ascii="Arial" w:cs="Arial" w:eastAsia="Arial" w:hAnsi="Arial"/>
          <w:sz w:val="18"/>
          <w:szCs w:val="18"/>
          <w:i w:val="1"/>
          <w:iCs w:val="1"/>
          <w:color w:val="auto"/>
        </w:rPr>
        <w:t>Non-gaming Revenues</w:t>
      </w:r>
      <w:r>
        <w:rPr>
          <w:rFonts w:ascii="Arial" w:cs="Arial" w:eastAsia="Arial" w:hAnsi="Arial"/>
          <w:sz w:val="18"/>
          <w:szCs w:val="18"/>
          <w:color w:val="auto"/>
        </w:rPr>
        <w:t>. For the year ended December 31, 2018, Isle, Elgin and Tropicana contributed $121.0 million of incremental non-gaming</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resulting in an increase of 31.7% over 2017. Excluding these incremental revenues, non-gaming revenues for the year ended December 31, 2018 remained flat compared to 2017.</w:t>
      </w:r>
    </w:p>
    <w:p>
      <w:pPr>
        <w:spacing w:after="0" w:line="186" w:lineRule="exact"/>
        <w:rPr>
          <w:sz w:val="20"/>
          <w:szCs w:val="20"/>
          <w:color w:val="auto"/>
        </w:rPr>
      </w:pPr>
    </w:p>
    <w:p>
      <w:pPr>
        <w:ind w:right="20" w:firstLine="555"/>
        <w:spacing w:after="0" w:line="254" w:lineRule="auto"/>
        <w:rPr>
          <w:sz w:val="20"/>
          <w:szCs w:val="20"/>
          <w:color w:val="auto"/>
        </w:rPr>
      </w:pPr>
      <w:r>
        <w:rPr>
          <w:rFonts w:ascii="Arial" w:cs="Arial" w:eastAsia="Arial" w:hAnsi="Arial"/>
          <w:sz w:val="18"/>
          <w:szCs w:val="18"/>
          <w:i w:val="1"/>
          <w:iCs w:val="1"/>
          <w:color w:val="auto"/>
        </w:rPr>
        <w:t>Gaming Expenses and Pari-Mutuel Commissions</w:t>
      </w:r>
      <w:r>
        <w:rPr>
          <w:rFonts w:ascii="Arial" w:cs="Arial" w:eastAsia="Arial" w:hAnsi="Arial"/>
          <w:sz w:val="18"/>
          <w:szCs w:val="18"/>
          <w:color w:val="auto"/>
        </w:rPr>
        <w:t>. For the year ended December 31, 2018, Isle, Elgin and Tropicana contributed $197.5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incremental gaming and pari-mutuel commissions resulting in an increase of 33.5% over 2017. Excluding these incremental expenses, gaming and pari-mutuel commissions declined 1.7% for the year ended December 31, 2018 compared to 2017 mainly due to savings initiatives targeted at reducing variable expenses. Successful efforts to control costs and maximize departmental profit across all segments also drove the margin improvements for the year ended December 31, 2018.</w:t>
      </w:r>
    </w:p>
    <w:p>
      <w:pPr>
        <w:spacing w:after="0" w:line="189" w:lineRule="exact"/>
        <w:rPr>
          <w:sz w:val="20"/>
          <w:szCs w:val="20"/>
          <w:color w:val="auto"/>
        </w:rPr>
      </w:pPr>
    </w:p>
    <w:p>
      <w:pPr>
        <w:ind w:right="80" w:firstLine="555"/>
        <w:spacing w:after="0" w:line="275" w:lineRule="auto"/>
        <w:rPr>
          <w:sz w:val="20"/>
          <w:szCs w:val="20"/>
          <w:color w:val="auto"/>
        </w:rPr>
      </w:pPr>
      <w:r>
        <w:rPr>
          <w:rFonts w:ascii="Arial" w:cs="Arial" w:eastAsia="Arial" w:hAnsi="Arial"/>
          <w:sz w:val="17"/>
          <w:szCs w:val="17"/>
          <w:i w:val="1"/>
          <w:iCs w:val="1"/>
          <w:color w:val="auto"/>
        </w:rPr>
        <w:t xml:space="preserve">Non-gaming Expenses. </w:t>
      </w:r>
      <w:r>
        <w:rPr>
          <w:rFonts w:ascii="Arial" w:cs="Arial" w:eastAsia="Arial" w:hAnsi="Arial"/>
          <w:sz w:val="17"/>
          <w:szCs w:val="17"/>
          <w:color w:val="auto"/>
        </w:rPr>
        <w:t>For the year ended December 31, 2018, Isle, Elgin and Tropicana contributed $74.2 million of incremental non-gaming</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resulting in an increase of 21.3% over 2017. Excluding incremental expenses, non-gaming expenses declined 8.1% for the year ended December 31, 2018 compared to 2017. This decrease was attributable to continued efforts to reduce variable costs with a focus on labor, food and beverage cost of sales, marketing spend and synergies achieved via company-wide purchasing consolidation programs.</w:t>
      </w:r>
    </w:p>
    <w:p>
      <w:pPr>
        <w:spacing w:after="0" w:line="175" w:lineRule="exact"/>
        <w:rPr>
          <w:sz w:val="20"/>
          <w:szCs w:val="20"/>
          <w:color w:val="auto"/>
        </w:rPr>
      </w:pPr>
    </w:p>
    <w:p>
      <w:pPr>
        <w:ind w:right="200" w:firstLine="555"/>
        <w:spacing w:after="0" w:line="275" w:lineRule="auto"/>
        <w:rPr>
          <w:sz w:val="20"/>
          <w:szCs w:val="20"/>
          <w:color w:val="auto"/>
        </w:rPr>
      </w:pPr>
      <w:r>
        <w:rPr>
          <w:rFonts w:ascii="Arial" w:cs="Arial" w:eastAsia="Arial" w:hAnsi="Arial"/>
          <w:sz w:val="17"/>
          <w:szCs w:val="17"/>
          <w:i w:val="1"/>
          <w:iCs w:val="1"/>
          <w:color w:val="auto"/>
        </w:rPr>
        <w:t>Marketing and Promotions Expenses</w:t>
      </w:r>
      <w:r>
        <w:rPr>
          <w:rFonts w:ascii="Arial" w:cs="Arial" w:eastAsia="Arial" w:hAnsi="Arial"/>
          <w:sz w:val="17"/>
          <w:szCs w:val="17"/>
          <w:color w:val="auto"/>
        </w:rPr>
        <w:t>. For the year ended December 31, 2018, Isle, Elgin and Tropicana contributed $35.6 million of incremental</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and promotions expenses resulting in an increase of 27.6% over 2017. Excluding these incremental expenses, marketing and promotions declined 15.1% for the year ended December 31, 2018 compared to 2017 mainly due to synergies achieved via the elimination or consolidation of certain marketing contracts and company-wide reductions in marketing, direct mail and promotional spend.</w:t>
      </w:r>
    </w:p>
    <w:p>
      <w:pPr>
        <w:spacing w:after="0" w:line="175"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Isle, Elgin and Tropicana contributed $114.8 million of incremental general and administrative expenses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2018 resulting in an increase of 45.0% over 2017. Excluding these incremental expenses, general and administrative expenses declined 2.6% for the year ended December 31, 2018 compared to 2017 primarily due to the centralization of certain corporate services provided to our properties and realized savings.</w:t>
      </w:r>
    </w:p>
    <w:p>
      <w:pPr>
        <w:spacing w:after="0" w:line="231" w:lineRule="exact"/>
        <w:rPr>
          <w:sz w:val="20"/>
          <w:szCs w:val="20"/>
          <w:color w:val="auto"/>
        </w:rPr>
      </w:pPr>
    </w:p>
    <w:p>
      <w:pPr>
        <w:ind w:right="160" w:firstLine="555"/>
        <w:spacing w:after="0" w:line="259" w:lineRule="auto"/>
        <w:rPr>
          <w:sz w:val="20"/>
          <w:szCs w:val="20"/>
          <w:color w:val="auto"/>
        </w:rPr>
      </w:pPr>
      <w:r>
        <w:rPr>
          <w:rFonts w:ascii="Arial" w:cs="Arial" w:eastAsia="Arial" w:hAnsi="Arial"/>
          <w:sz w:val="18"/>
          <w:szCs w:val="18"/>
          <w:i w:val="1"/>
          <w:iCs w:val="1"/>
          <w:color w:val="auto"/>
        </w:rPr>
        <w:t>Corporate Expenses</w:t>
      </w:r>
      <w:r>
        <w:rPr>
          <w:rFonts w:ascii="Arial" w:cs="Arial" w:eastAsia="Arial" w:hAnsi="Arial"/>
          <w:sz w:val="18"/>
          <w:szCs w:val="18"/>
          <w:color w:val="auto"/>
        </w:rPr>
        <w:t>. For the year ended December 31, 2018, corporate expenses increased $15.9 million, a 51.7% increase over 2017,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payroll and other expenses associated with additional corporate costs, including stock compensation expense, associated with growth related to our acquisitions.</w:t>
      </w:r>
    </w:p>
    <w:p>
      <w:pPr>
        <w:spacing w:after="0" w:line="186" w:lineRule="exact"/>
        <w:rPr>
          <w:sz w:val="20"/>
          <w:szCs w:val="20"/>
          <w:color w:val="auto"/>
        </w:rPr>
      </w:pPr>
    </w:p>
    <w:p>
      <w:pPr>
        <w:ind w:right="60" w:firstLine="555"/>
        <w:spacing w:after="0" w:line="271" w:lineRule="auto"/>
        <w:rPr>
          <w:sz w:val="20"/>
          <w:szCs w:val="20"/>
          <w:color w:val="auto"/>
        </w:rPr>
      </w:pPr>
      <w:r>
        <w:rPr>
          <w:rFonts w:ascii="Arial" w:cs="Arial" w:eastAsia="Arial" w:hAnsi="Arial"/>
          <w:sz w:val="18"/>
          <w:szCs w:val="18"/>
          <w:i w:val="1"/>
          <w:iCs w:val="1"/>
          <w:color w:val="auto"/>
        </w:rPr>
        <w:t xml:space="preserve">Impairment Charges. </w:t>
      </w:r>
      <w:r>
        <w:rPr>
          <w:rFonts w:ascii="Arial" w:cs="Arial" w:eastAsia="Arial" w:hAnsi="Arial"/>
          <w:sz w:val="18"/>
          <w:szCs w:val="18"/>
          <w:color w:val="auto"/>
        </w:rPr>
        <w:t>In conjunction with the classification of Nemacolin’s and Vicksburg’s operations as assets held for sale, we recorded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totaling $3.8 million and $9.8 million, respectively, for the year ended December 31, 2018.</w:t>
      </w:r>
    </w:p>
    <w:p>
      <w:pPr>
        <w:spacing w:after="0" w:line="175" w:lineRule="exact"/>
        <w:rPr>
          <w:sz w:val="20"/>
          <w:szCs w:val="20"/>
          <w:color w:val="auto"/>
        </w:rPr>
      </w:pPr>
    </w:p>
    <w:p>
      <w:pPr>
        <w:jc w:val="both"/>
        <w:ind w:right="20" w:firstLine="555"/>
        <w:spacing w:after="0" w:line="282" w:lineRule="auto"/>
        <w:rPr>
          <w:sz w:val="20"/>
          <w:szCs w:val="20"/>
          <w:color w:val="auto"/>
        </w:rPr>
      </w:pPr>
      <w:r>
        <w:rPr>
          <w:rFonts w:ascii="Arial" w:cs="Arial" w:eastAsia="Arial" w:hAnsi="Arial"/>
          <w:sz w:val="17"/>
          <w:szCs w:val="17"/>
          <w:i w:val="1"/>
          <w:iCs w:val="1"/>
          <w:color w:val="auto"/>
        </w:rPr>
        <w:t>Depreciation and Amortization Expense</w:t>
      </w:r>
      <w:r>
        <w:rPr>
          <w:rFonts w:ascii="Arial" w:cs="Arial" w:eastAsia="Arial" w:hAnsi="Arial"/>
          <w:sz w:val="17"/>
          <w:szCs w:val="17"/>
          <w:color w:val="auto"/>
        </w:rPr>
        <w:t>. Isle, Elgin and Tropicana contributed $50.1 million of incremental depreciation and amortization expense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2018 resulting in an increase of 48.7% over 2017. Excluding the incremental expense, depreciation and amortization expense rose 1.3% for the year ended December 31, 2018 compared to 2017 mainly due to asset additions at our three Reno properties.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360"/>
          </w:cols>
          <w:pgMar w:left="240" w:top="379" w:right="299" w:bottom="1440" w:gutter="0" w:footer="0" w:header="0"/>
        </w:sectPr>
      </w:pPr>
    </w:p>
    <w:bookmarkStart w:id="59" w:name="page60"/>
    <w:bookmarkEnd w:id="59"/>
    <w:p>
      <w:pPr>
        <w:ind w:right="60"/>
        <w:spacing w:after="0" w:line="276" w:lineRule="auto"/>
        <w:rPr>
          <w:sz w:val="20"/>
          <w:szCs w:val="20"/>
          <w:color w:val="auto"/>
        </w:rPr>
      </w:pPr>
      <w:r>
        <w:rPr>
          <w:rFonts w:ascii="Arial" w:cs="Arial" w:eastAsia="Arial" w:hAnsi="Arial"/>
          <w:sz w:val="18"/>
          <w:szCs w:val="18"/>
          <w:b w:val="1"/>
          <w:bCs w:val="1"/>
          <w:color w:val="auto"/>
        </w:rPr>
        <w:t>Supplemental Unaudited Presentation of Consolidated Adjusted Earnings before Interest, Taxes, Depreciation and Amortization (“EBITDA”) for the Years Ended December 31, 2019 and 2018</w:t>
      </w:r>
    </w:p>
    <w:p>
      <w:pPr>
        <w:spacing w:after="0" w:line="63" w:lineRule="exact"/>
        <w:rPr>
          <w:sz w:val="20"/>
          <w:szCs w:val="20"/>
          <w:color w:val="auto"/>
        </w:rPr>
      </w:pPr>
    </w:p>
    <w:p>
      <w:pPr>
        <w:ind w:firstLine="555"/>
        <w:spacing w:after="0" w:line="283" w:lineRule="auto"/>
        <w:rPr>
          <w:sz w:val="20"/>
          <w:szCs w:val="20"/>
          <w:color w:val="auto"/>
        </w:rPr>
      </w:pPr>
      <w:r>
        <w:rPr>
          <w:rFonts w:ascii="Arial" w:cs="Arial" w:eastAsia="Arial" w:hAnsi="Arial"/>
          <w:sz w:val="16"/>
          <w:szCs w:val="16"/>
          <w:color w:val="auto"/>
        </w:rPr>
        <w:t>Adjusted EBITDA (defined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the Company’s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operating income (loss) before depreciation and amortization, stock-based compensation, transaction expenses, severance expense, selling costs associated with the disposition of properties, proceeds from the terminated sale of Vicksburg, preopening expenses, costs associated with resolving the historical Tropicana bankruptcy, business interruption insurance proceeds, real estate tax settlements, other than temporary impairments on investments, impairment charges, equity in income (loss) of unconsolidated affiliates, (gain) loss on the sale or disposal of property and equipment, (gain) loss on property divestitures, and other non-cash regulatory gaming assessments. Adjusted EBITDA also excludes expense associated with our Master Lease with GLPI as the transaction was accounted for as a financing obligation. Adjusted EBITDA is not a measure of performance or liquidity calculated in accordance with accounting principles generally accepted in the United States (“US GAAP”),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payments under our Master Lease, and certain regulatory gaming assessments, which can be significant. As a result, Adjusted EBITDA should not be considered as a measure of our liquidity. Other companies that provide EBITDA information may calculate EBITDA differently than we do. The definition of Adjusted EBITDA may not be the same as the definitions used in any of our debt agreements.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656" w:right="25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9"/>
              </w:rPr>
              <w:t>Year Ended December 31, 2019</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6"/>
              </w:rPr>
              <w:t>Operating</w:t>
            </w:r>
          </w:p>
        </w:tc>
        <w:tc>
          <w:tcPr>
            <w:tcW w:w="80" w:type="dxa"/>
            <w:vAlign w:val="bottom"/>
          </w:tcPr>
          <w:p>
            <w:pPr>
              <w:spacing w:after="0"/>
              <w:rPr>
                <w:sz w:val="11"/>
                <w:szCs w:val="11"/>
                <w:color w:val="auto"/>
              </w:rPr>
            </w:pPr>
          </w:p>
        </w:tc>
        <w:tc>
          <w:tcPr>
            <w:tcW w:w="108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w w:val="93"/>
              </w:rPr>
              <w:t>Depreciation 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Stock-Based</w:t>
            </w:r>
          </w:p>
        </w:tc>
        <w:tc>
          <w:tcPr>
            <w:tcW w:w="100" w:type="dxa"/>
            <w:vAlign w:val="bottom"/>
          </w:tcPr>
          <w:p>
            <w:pPr>
              <w:spacing w:after="0"/>
              <w:rPr>
                <w:sz w:val="11"/>
                <w:szCs w:val="11"/>
                <w:color w:val="auto"/>
              </w:rPr>
            </w:pPr>
          </w:p>
        </w:tc>
        <w:tc>
          <w:tcPr>
            <w:tcW w:w="880" w:type="dxa"/>
            <w:vAlign w:val="bottom"/>
          </w:tcPr>
          <w:p>
            <w:pPr>
              <w:jc w:val="right"/>
              <w:ind w:right="61"/>
              <w:spacing w:after="0" w:line="131" w:lineRule="exact"/>
              <w:rPr>
                <w:sz w:val="20"/>
                <w:szCs w:val="20"/>
                <w:color w:val="auto"/>
              </w:rPr>
            </w:pPr>
            <w:r>
              <w:rPr>
                <w:rFonts w:ascii="Arial" w:cs="Arial" w:eastAsia="Arial" w:hAnsi="Arial"/>
                <w:sz w:val="14"/>
                <w:szCs w:val="14"/>
                <w:b w:val="1"/>
                <w:bCs w:val="1"/>
                <w:color w:val="auto"/>
                <w:w w:val="90"/>
              </w:rPr>
              <w:t>Transaction</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2"/>
                <w:szCs w:val="12"/>
                <w:b w:val="1"/>
                <w:bCs w:val="1"/>
                <w:color w:val="auto"/>
              </w:rPr>
              <w:t>(4)</w:t>
            </w:r>
          </w:p>
        </w:tc>
        <w:tc>
          <w:tcPr>
            <w:tcW w:w="140" w:type="dxa"/>
            <w:vAlign w:val="bottom"/>
          </w:tcPr>
          <w:p>
            <w:pPr>
              <w:spacing w:after="0"/>
              <w:rPr>
                <w:sz w:val="11"/>
                <w:szCs w:val="11"/>
                <w:color w:val="auto"/>
              </w:rPr>
            </w:pPr>
          </w:p>
        </w:tc>
        <w:tc>
          <w:tcPr>
            <w:tcW w:w="860" w:type="dxa"/>
            <w:vAlign w:val="bottom"/>
          </w:tcPr>
          <w:p>
            <w:pPr>
              <w:jc w:val="right"/>
              <w:ind w:right="161"/>
              <w:spacing w:after="0" w:line="131" w:lineRule="exact"/>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2"/>
              </w:rPr>
              <w:t>Compensation</w:t>
            </w:r>
          </w:p>
        </w:tc>
        <w:tc>
          <w:tcPr>
            <w:tcW w:w="10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4"/>
                <w:szCs w:val="14"/>
                <w:b w:val="1"/>
                <w:bCs w:val="1"/>
                <w:color w:val="auto"/>
                <w:w w:val="85"/>
              </w:rPr>
              <w:t xml:space="preserve">Expenses </w:t>
            </w:r>
            <w:r>
              <w:rPr>
                <w:rFonts w:ascii="Arial" w:cs="Arial" w:eastAsia="Arial" w:hAnsi="Arial"/>
                <w:sz w:val="12"/>
                <w:szCs w:val="12"/>
                <w:b w:val="1"/>
                <w:bCs w:val="1"/>
                <w:color w:val="auto"/>
                <w:w w:val="85"/>
              </w:rPr>
              <w:t>(3)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Including Divestitures:</w:t>
            </w: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gridSpan w:val="2"/>
          </w:tcPr>
          <w:p>
            <w:pPr>
              <w:spacing w:after="0"/>
              <w:rPr>
                <w:sz w:val="20"/>
                <w:szCs w:val="20"/>
                <w:color w:val="auto"/>
              </w:rPr>
            </w:pPr>
            <w:r>
              <w:rPr>
                <w:rFonts w:ascii="Arial" w:cs="Arial" w:eastAsia="Arial" w:hAnsi="Arial"/>
                <w:sz w:val="16"/>
                <w:szCs w:val="16"/>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84,992</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55,035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5"/>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930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140,957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114,180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25,145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140,551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gridSpan w:val="2"/>
          </w:tcPr>
          <w:p>
            <w:pPr>
              <w:spacing w:after="0"/>
              <w:rPr>
                <w:sz w:val="20"/>
                <w:szCs w:val="20"/>
                <w:color w:val="auto"/>
              </w:rPr>
            </w:pPr>
            <w:r>
              <w:rPr>
                <w:rFonts w:ascii="Arial" w:cs="Arial" w:eastAsia="Arial" w:hAnsi="Arial"/>
                <w:sz w:val="16"/>
                <w:szCs w:val="16"/>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74,622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39,165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114,871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133,317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48,064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181,866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gridSpan w:val="2"/>
          </w:tcPr>
          <w:p>
            <w:pPr>
              <w:spacing w:after="0"/>
              <w:rPr>
                <w:sz w:val="20"/>
                <w:szCs w:val="20"/>
                <w:color w:val="auto"/>
              </w:rPr>
            </w:pPr>
            <w:r>
              <w:rPr>
                <w:rFonts w:ascii="Arial" w:cs="Arial" w:eastAsia="Arial" w:hAnsi="Arial"/>
                <w:sz w:val="16"/>
                <w:szCs w:val="16"/>
                <w:color w:val="auto"/>
              </w:rPr>
              <w:t>Central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105,772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46,849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152,893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(102,910)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7,267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19,663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84,658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(42,337)</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(33,659)</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240" w:type="dxa"/>
            <w:vAlign w:val="bottom"/>
            <w:tcBorders>
              <w:bottom w:val="single" w:sz="8" w:color="CFF0FC"/>
            </w:tcBorders>
          </w:tcPr>
          <w:p>
            <w:pPr>
              <w:ind w:left="100"/>
              <w:spacing w:after="0"/>
              <w:rPr>
                <w:sz w:val="20"/>
                <w:szCs w:val="20"/>
                <w:color w:val="auto"/>
              </w:rPr>
            </w:pPr>
            <w:r>
              <w:rPr>
                <w:rFonts w:ascii="Arial" w:cs="Arial" w:eastAsia="Arial" w:hAnsi="Arial"/>
                <w:sz w:val="16"/>
                <w:szCs w:val="16"/>
                <w:b w:val="1"/>
                <w:bCs w:val="1"/>
                <w:color w:val="auto"/>
              </w:rPr>
              <w:t>Total Including Divestitures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409,973</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221,525</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19,719</w:t>
            </w:r>
          </w:p>
        </w:tc>
        <w:tc>
          <w:tcPr>
            <w:tcW w:w="2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84,658</w:t>
            </w:r>
          </w:p>
        </w:tc>
        <w:tc>
          <w:tcPr>
            <w:tcW w:w="20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(38,396)</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697,479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6"/>
                <w:szCs w:val="16"/>
                <w:b w:val="1"/>
                <w:bCs w:val="1"/>
                <w:color w:val="auto"/>
              </w:rPr>
              <w:t>Divestitures: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West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ind w:right="5"/>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4260" w:type="dxa"/>
            <w:vAlign w:val="bottom"/>
            <w:gridSpan w:val="2"/>
          </w:tcPr>
          <w:p>
            <w:pPr>
              <w:spacing w:after="0"/>
              <w:rPr>
                <w:sz w:val="20"/>
                <w:szCs w:val="20"/>
                <w:color w:val="auto"/>
              </w:rPr>
            </w:pPr>
            <w:r>
              <w:rPr>
                <w:rFonts w:ascii="Arial" w:cs="Arial" w:eastAsia="Arial" w:hAnsi="Arial"/>
                <w:sz w:val="16"/>
                <w:szCs w:val="16"/>
                <w:color w:val="auto"/>
              </w:rPr>
              <w:t>Midwest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24,069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South</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4260" w:type="dxa"/>
            <w:vAlign w:val="bottom"/>
            <w:gridSpan w:val="2"/>
          </w:tcPr>
          <w:p>
            <w:pPr>
              <w:spacing w:after="0"/>
              <w:rPr>
                <w:sz w:val="20"/>
                <w:szCs w:val="20"/>
                <w:color w:val="auto"/>
              </w:rPr>
            </w:pPr>
            <w:r>
              <w:rPr>
                <w:rFonts w:ascii="Arial" w:cs="Arial" w:eastAsia="Arial" w:hAnsi="Arial"/>
                <w:sz w:val="16"/>
                <w:szCs w:val="16"/>
                <w:color w:val="auto"/>
              </w:rPr>
              <w:t>East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15,574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Central</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4260" w:type="dxa"/>
            <w:vAlign w:val="bottom"/>
            <w:gridSpan w:val="2"/>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40" w:type="dxa"/>
            <w:vAlign w:val="bottom"/>
            <w:tcBorders>
              <w:top w:val="single" w:sz="8" w:color="CFF0FC"/>
              <w:bottom w:val="single" w:sz="8" w:color="CFF0FC"/>
            </w:tcBorders>
            <w:shd w:val="clear" w:color="auto" w:fill="CFF0FC"/>
          </w:tcPr>
          <w:p>
            <w:pPr>
              <w:ind w:left="100"/>
              <w:spacing w:after="0"/>
              <w:rPr>
                <w:sz w:val="20"/>
                <w:szCs w:val="20"/>
                <w:color w:val="auto"/>
              </w:rPr>
            </w:pPr>
            <w:r>
              <w:rPr>
                <w:rFonts w:ascii="Arial" w:cs="Arial" w:eastAsia="Arial" w:hAnsi="Arial"/>
                <w:sz w:val="16"/>
                <w:szCs w:val="16"/>
                <w:b w:val="1"/>
                <w:bCs w:val="1"/>
                <w:color w:val="auto"/>
              </w:rPr>
              <w:t>Total Divestitures (1)</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39,643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7,982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1,090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48,740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Excluding Divestitures:</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gridSpan w:val="2"/>
          </w:tcPr>
          <w:p>
            <w:pPr>
              <w:spacing w:after="0"/>
              <w:rPr>
                <w:sz w:val="20"/>
                <w:szCs w:val="20"/>
                <w:color w:val="auto"/>
              </w:rPr>
            </w:pPr>
            <w:r>
              <w:rPr>
                <w:rFonts w:ascii="Arial" w:cs="Arial" w:eastAsia="Arial" w:hAnsi="Arial"/>
                <w:sz w:val="16"/>
                <w:szCs w:val="16"/>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84,992</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55,035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5"/>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930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140,957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90,111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21,005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111,652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gridSpan w:val="2"/>
          </w:tcPr>
          <w:p>
            <w:pPr>
              <w:spacing w:after="0"/>
              <w:rPr>
                <w:sz w:val="20"/>
                <w:szCs w:val="20"/>
                <w:color w:val="auto"/>
              </w:rPr>
            </w:pPr>
            <w:r>
              <w:rPr>
                <w:rFonts w:ascii="Arial" w:cs="Arial" w:eastAsia="Arial" w:hAnsi="Arial"/>
                <w:sz w:val="16"/>
                <w:szCs w:val="16"/>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74,622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39,165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114,871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117,743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44,222</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162,025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gridSpan w:val="2"/>
          </w:tcPr>
          <w:p>
            <w:pPr>
              <w:spacing w:after="0"/>
              <w:rPr>
                <w:sz w:val="20"/>
                <w:szCs w:val="20"/>
                <w:color w:val="auto"/>
              </w:rPr>
            </w:pPr>
            <w:r>
              <w:rPr>
                <w:rFonts w:ascii="Arial" w:cs="Arial" w:eastAsia="Arial" w:hAnsi="Arial"/>
                <w:sz w:val="16"/>
                <w:szCs w:val="16"/>
                <w:color w:val="auto"/>
              </w:rPr>
              <w:t>Central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105,772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46,849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152,893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(102,910)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7,267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19,663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84,658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(42,337)</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(33,659)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40" w:type="dxa"/>
            <w:vAlign w:val="bottom"/>
          </w:tcPr>
          <w:p>
            <w:pPr>
              <w:ind w:left="100"/>
              <w:spacing w:after="0"/>
              <w:rPr>
                <w:sz w:val="20"/>
                <w:szCs w:val="20"/>
                <w:color w:val="auto"/>
              </w:rPr>
            </w:pPr>
            <w:r>
              <w:rPr>
                <w:rFonts w:ascii="Arial" w:cs="Arial" w:eastAsia="Arial" w:hAnsi="Arial"/>
                <w:sz w:val="16"/>
                <w:szCs w:val="16"/>
                <w:b w:val="1"/>
                <w:bCs w:val="1"/>
                <w:color w:val="auto"/>
              </w:rPr>
              <w:t>Total Excluding Divestitures (2)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370,330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213,543</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19,694</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84,658</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(39,486)</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648,739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9"/>
              </w:rPr>
              <w:t>Year Ended December 31, 2018</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6"/>
              </w:rPr>
              <w:t>Operating</w:t>
            </w:r>
          </w:p>
        </w:tc>
        <w:tc>
          <w:tcPr>
            <w:tcW w:w="80" w:type="dxa"/>
            <w:vAlign w:val="bottom"/>
          </w:tcPr>
          <w:p>
            <w:pPr>
              <w:spacing w:after="0"/>
              <w:rPr>
                <w:sz w:val="11"/>
                <w:szCs w:val="11"/>
                <w:color w:val="auto"/>
              </w:rPr>
            </w:pPr>
          </w:p>
        </w:tc>
        <w:tc>
          <w:tcPr>
            <w:tcW w:w="108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w w:val="93"/>
              </w:rPr>
              <w:t>Depreciation 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Stock-Based</w:t>
            </w:r>
          </w:p>
        </w:tc>
        <w:tc>
          <w:tcPr>
            <w:tcW w:w="100" w:type="dxa"/>
            <w:vAlign w:val="bottom"/>
          </w:tcPr>
          <w:p>
            <w:pPr>
              <w:spacing w:after="0"/>
              <w:rPr>
                <w:sz w:val="11"/>
                <w:szCs w:val="11"/>
                <w:color w:val="auto"/>
              </w:rPr>
            </w:pPr>
          </w:p>
        </w:tc>
        <w:tc>
          <w:tcPr>
            <w:tcW w:w="880" w:type="dxa"/>
            <w:vAlign w:val="bottom"/>
          </w:tcPr>
          <w:p>
            <w:pPr>
              <w:jc w:val="right"/>
              <w:ind w:right="61"/>
              <w:spacing w:after="0" w:line="131" w:lineRule="exact"/>
              <w:rPr>
                <w:sz w:val="20"/>
                <w:szCs w:val="20"/>
                <w:color w:val="auto"/>
              </w:rPr>
            </w:pPr>
            <w:r>
              <w:rPr>
                <w:rFonts w:ascii="Arial" w:cs="Arial" w:eastAsia="Arial" w:hAnsi="Arial"/>
                <w:sz w:val="14"/>
                <w:szCs w:val="14"/>
                <w:b w:val="1"/>
                <w:bCs w:val="1"/>
                <w:color w:val="auto"/>
                <w:w w:val="90"/>
              </w:rPr>
              <w:t>Transaction</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860" w:type="dxa"/>
            <w:vAlign w:val="bottom"/>
          </w:tcPr>
          <w:p>
            <w:pPr>
              <w:jc w:val="right"/>
              <w:ind w:right="161"/>
              <w:spacing w:after="0" w:line="131" w:lineRule="exact"/>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2"/>
              </w:rPr>
              <w:t>Compensation</w:t>
            </w:r>
          </w:p>
        </w:tc>
        <w:tc>
          <w:tcPr>
            <w:tcW w:w="10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4"/>
                <w:szCs w:val="14"/>
                <w:b w:val="1"/>
                <w:bCs w:val="1"/>
                <w:color w:val="auto"/>
                <w:w w:val="85"/>
              </w:rPr>
              <w:t xml:space="preserve">Expenses </w:t>
            </w:r>
            <w:r>
              <w:rPr>
                <w:rFonts w:ascii="Arial" w:cs="Arial" w:eastAsia="Arial" w:hAnsi="Arial"/>
                <w:sz w:val="12"/>
                <w:szCs w:val="12"/>
                <w:b w:val="1"/>
                <w:bCs w:val="1"/>
                <w:color w:val="auto"/>
                <w:w w:val="85"/>
              </w:rPr>
              <w:t>(3)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Excluding Pre-Acquisition/Including Divestitures:</w:t>
            </w: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gridSpan w:val="2"/>
          </w:tcPr>
          <w:p>
            <w:pPr>
              <w:spacing w:after="0"/>
              <w:rPr>
                <w:sz w:val="20"/>
                <w:szCs w:val="20"/>
                <w:color w:val="auto"/>
              </w:rPr>
            </w:pPr>
            <w:r>
              <w:rPr>
                <w:rFonts w:ascii="Arial" w:cs="Arial" w:eastAsia="Arial" w:hAnsi="Arial"/>
                <w:sz w:val="16"/>
                <w:szCs w:val="16"/>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84,548</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40,131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5"/>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1,542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126,189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105,809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33,083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139,242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gridSpan w:val="2"/>
          </w:tcPr>
          <w:p>
            <w:pPr>
              <w:spacing w:after="0"/>
              <w:rPr>
                <w:sz w:val="20"/>
                <w:szCs w:val="20"/>
                <w:color w:val="auto"/>
              </w:rPr>
            </w:pPr>
            <w:r>
              <w:rPr>
                <w:rFonts w:ascii="Arial" w:cs="Arial" w:eastAsia="Arial" w:hAnsi="Arial"/>
                <w:sz w:val="16"/>
                <w:szCs w:val="16"/>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64,851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37,357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10,265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112,532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97,963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27,913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5,447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131,337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gridSpan w:val="2"/>
          </w:tcPr>
          <w:p>
            <w:pPr>
              <w:spacing w:after="0"/>
              <w:rPr>
                <w:sz w:val="20"/>
                <w:szCs w:val="20"/>
                <w:color w:val="auto"/>
              </w:rPr>
            </w:pPr>
            <w:r>
              <w:rPr>
                <w:rFonts w:ascii="Arial" w:cs="Arial" w:eastAsia="Arial" w:hAnsi="Arial"/>
                <w:sz w:val="16"/>
                <w:szCs w:val="16"/>
                <w:color w:val="auto"/>
              </w:rPr>
              <w:t>Central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24,240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(67,308)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5,362</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12,937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20,842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(3,702)</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(31,869)</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240" w:type="dxa"/>
            <w:vAlign w:val="bottom"/>
            <w:tcBorders>
              <w:bottom w:val="single" w:sz="8" w:color="CFF0FC"/>
            </w:tcBorders>
          </w:tcPr>
          <w:p>
            <w:pPr>
              <w:ind w:left="100"/>
              <w:spacing w:after="0"/>
              <w:rPr>
                <w:sz w:val="20"/>
                <w:szCs w:val="20"/>
                <w:color w:val="auto"/>
              </w:rPr>
            </w:pPr>
            <w:r>
              <w:rPr>
                <w:rFonts w:ascii="Arial" w:cs="Arial" w:eastAsia="Arial" w:hAnsi="Arial"/>
                <w:sz w:val="16"/>
                <w:szCs w:val="16"/>
                <w:b w:val="1"/>
                <w:bCs w:val="1"/>
                <w:color w:val="auto"/>
                <w:w w:val="99"/>
              </w:rPr>
              <w:t>Total Excluding Pre-Acquisition/Including Divestitures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310,103</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157,429</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13,084</w:t>
            </w:r>
          </w:p>
        </w:tc>
        <w:tc>
          <w:tcPr>
            <w:tcW w:w="2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20,842</w:t>
            </w:r>
          </w:p>
        </w:tc>
        <w:tc>
          <w:tcPr>
            <w:tcW w:w="20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15,472</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516,930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6"/>
                <w:szCs w:val="16"/>
                <w:b w:val="1"/>
                <w:bCs w:val="1"/>
                <w:color w:val="auto"/>
              </w:rPr>
              <w:t>Divestitures: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West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ind w:right="5"/>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4260" w:type="dxa"/>
            <w:vAlign w:val="bottom"/>
            <w:gridSpan w:val="2"/>
          </w:tcPr>
          <w:p>
            <w:pPr>
              <w:spacing w:after="0"/>
              <w:rPr>
                <w:sz w:val="20"/>
                <w:szCs w:val="20"/>
                <w:color w:val="auto"/>
              </w:rPr>
            </w:pPr>
            <w:r>
              <w:rPr>
                <w:rFonts w:ascii="Arial" w:cs="Arial" w:eastAsia="Arial" w:hAnsi="Arial"/>
                <w:sz w:val="16"/>
                <w:szCs w:val="16"/>
                <w:color w:val="auto"/>
              </w:rPr>
              <w:t>Midwest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22,049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South</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4260" w:type="dxa"/>
            <w:vAlign w:val="bottom"/>
            <w:gridSpan w:val="2"/>
          </w:tcPr>
          <w:p>
            <w:pPr>
              <w:spacing w:after="0"/>
              <w:rPr>
                <w:sz w:val="20"/>
                <w:szCs w:val="20"/>
                <w:color w:val="auto"/>
              </w:rPr>
            </w:pPr>
            <w:r>
              <w:rPr>
                <w:rFonts w:ascii="Arial" w:cs="Arial" w:eastAsia="Arial" w:hAnsi="Arial"/>
                <w:sz w:val="16"/>
                <w:szCs w:val="16"/>
                <w:color w:val="auto"/>
              </w:rPr>
              <w:t>East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24,238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11,099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5,285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Central</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4260" w:type="dxa"/>
            <w:vAlign w:val="bottom"/>
            <w:gridSpan w:val="2"/>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40" w:type="dxa"/>
            <w:vAlign w:val="bottom"/>
            <w:tcBorders>
              <w:top w:val="single" w:sz="8" w:color="CFF0FC"/>
              <w:bottom w:val="single" w:sz="8" w:color="CFF0FC"/>
            </w:tcBorders>
            <w:shd w:val="clear" w:color="auto" w:fill="CFF0FC"/>
          </w:tcPr>
          <w:p>
            <w:pPr>
              <w:ind w:left="100"/>
              <w:spacing w:after="0"/>
              <w:rPr>
                <w:sz w:val="20"/>
                <w:szCs w:val="20"/>
                <w:color w:val="auto"/>
              </w:rPr>
            </w:pPr>
            <w:r>
              <w:rPr>
                <w:rFonts w:ascii="Arial" w:cs="Arial" w:eastAsia="Arial" w:hAnsi="Arial"/>
                <w:sz w:val="16"/>
                <w:szCs w:val="16"/>
                <w:b w:val="1"/>
                <w:bCs w:val="1"/>
                <w:color w:val="auto"/>
              </w:rPr>
              <w:t>Total Divestitures (5)</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46,287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19,504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5,342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71,190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Pre-Acquisition:</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gridSpan w:val="2"/>
          </w:tcPr>
          <w:p>
            <w:pPr>
              <w:spacing w:after="0"/>
              <w:rPr>
                <w:sz w:val="20"/>
                <w:szCs w:val="20"/>
                <w:color w:val="auto"/>
              </w:rPr>
            </w:pPr>
            <w:r>
              <w:rPr>
                <w:rFonts w:ascii="Arial" w:cs="Arial" w:eastAsia="Arial" w:hAnsi="Arial"/>
                <w:sz w:val="16"/>
                <w:szCs w:val="16"/>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13,635</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9,271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5"/>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4260" w:type="dxa"/>
            <w:vAlign w:val="bottom"/>
            <w:gridSpan w:val="2"/>
          </w:tcPr>
          <w:p>
            <w:pPr>
              <w:spacing w:after="0"/>
              <w:rPr>
                <w:sz w:val="20"/>
                <w:szCs w:val="20"/>
                <w:color w:val="auto"/>
              </w:rPr>
            </w:pPr>
            <w:r>
              <w:rPr>
                <w:rFonts w:ascii="Arial" w:cs="Arial" w:eastAsia="Arial" w:hAnsi="Arial"/>
                <w:sz w:val="16"/>
                <w:szCs w:val="16"/>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46,261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24,444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70,864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gridSpan w:val="2"/>
          </w:tcPr>
          <w:p>
            <w:pPr>
              <w:spacing w:after="0"/>
              <w:rPr>
                <w:sz w:val="20"/>
                <w:szCs w:val="20"/>
                <w:color w:val="auto"/>
              </w:rPr>
            </w:pPr>
            <w:r>
              <w:rPr>
                <w:rFonts w:ascii="Arial" w:cs="Arial" w:eastAsia="Arial" w:hAnsi="Arial"/>
                <w:sz w:val="16"/>
                <w:szCs w:val="16"/>
                <w:color w:val="auto"/>
              </w:rPr>
              <w:t>Central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22,939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(52,127)</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31,101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28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Total Pre-Acquisition (6)</w:t>
            </w: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4280" w:type="dxa"/>
            <w:vAlign w:val="bottom"/>
            <w:vMerge w:val="continue"/>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78,229</w:t>
            </w:r>
          </w:p>
        </w:tc>
        <w:tc>
          <w:tcPr>
            <w:tcW w:w="140" w:type="dxa"/>
            <w:vAlign w:val="bottom"/>
          </w:tcPr>
          <w:p>
            <w:pPr>
              <w:spacing w:after="0"/>
              <w:rPr>
                <w:sz w:val="21"/>
                <w:szCs w:val="21"/>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64,267</w:t>
            </w:r>
          </w:p>
        </w:tc>
        <w:tc>
          <w:tcPr>
            <w:tcW w:w="200" w:type="dxa"/>
            <w:vAlign w:val="bottom"/>
          </w:tcPr>
          <w:p>
            <w:pPr>
              <w:spacing w:after="0"/>
              <w:rPr>
                <w:sz w:val="21"/>
                <w:szCs w:val="21"/>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2"/>
          </w:tcPr>
          <w:p>
            <w:pPr>
              <w:jc w:val="right"/>
              <w:ind w:right="145"/>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4,259</w:t>
            </w:r>
          </w:p>
        </w:tc>
        <w:tc>
          <w:tcPr>
            <w:tcW w:w="520" w:type="dxa"/>
            <w:vAlign w:val="bottom"/>
            <w:gridSpan w:val="2"/>
          </w:tcPr>
          <w:p>
            <w:pPr>
              <w:jc w:val="right"/>
              <w:ind w:right="145"/>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31,935</w:t>
            </w:r>
          </w:p>
        </w:tc>
        <w:tc>
          <w:tcPr>
            <w:tcW w:w="220" w:type="dxa"/>
            <w:vAlign w:val="bottom"/>
          </w:tcPr>
          <w:p>
            <w:pPr>
              <w:spacing w:after="0"/>
              <w:rPr>
                <w:sz w:val="21"/>
                <w:szCs w:val="21"/>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178,690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2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6"/>
                <w:szCs w:val="16"/>
                <w:b w:val="1"/>
                <w:bCs w:val="1"/>
                <w:color w:val="auto"/>
              </w:rPr>
              <w:t>Including Pre-Acquisition/Excluding Divestitures: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West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98,183</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49,402</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(32)</w:t>
            </w: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FF0FC"/>
          </w:tcPr>
          <w:p>
            <w:pPr>
              <w:jc w:val="right"/>
              <w:ind w:right="145"/>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1,550</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149,103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00" w:type="dxa"/>
            <w:vAlign w:val="bottom"/>
            <w:gridSpan w:val="2"/>
          </w:tcPr>
          <w:p>
            <w:pPr>
              <w:spacing w:after="0"/>
              <w:rPr>
                <w:sz w:val="20"/>
                <w:szCs w:val="20"/>
                <w:color w:val="auto"/>
              </w:rPr>
            </w:pPr>
            <w:r>
              <w:rPr>
                <w:rFonts w:ascii="Arial" w:cs="Arial" w:eastAsia="Arial" w:hAnsi="Arial"/>
                <w:sz w:val="16"/>
                <w:szCs w:val="16"/>
                <w:color w:val="auto"/>
              </w:rPr>
              <w:t>Midwest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83,760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24,678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108,687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South</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65,206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43,433</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10,285</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118,983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00" w:type="dxa"/>
            <w:vAlign w:val="bottom"/>
            <w:gridSpan w:val="2"/>
          </w:tcPr>
          <w:p>
            <w:pPr>
              <w:spacing w:after="0"/>
              <w:rPr>
                <w:sz w:val="20"/>
                <w:szCs w:val="20"/>
                <w:color w:val="auto"/>
              </w:rPr>
            </w:pPr>
            <w:r>
              <w:rPr>
                <w:rFonts w:ascii="Arial" w:cs="Arial" w:eastAsia="Arial" w:hAnsi="Arial"/>
                <w:sz w:val="16"/>
                <w:szCs w:val="16"/>
                <w:color w:val="auto"/>
              </w:rPr>
              <w:t>East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119,986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41,258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161,566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Central</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94,345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36,522</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2,323</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133,190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00" w:type="dxa"/>
            <w:vAlign w:val="bottom"/>
            <w:gridSpan w:val="2"/>
          </w:tcPr>
          <w:p>
            <w:pPr>
              <w:spacing w:after="0"/>
              <w:rPr>
                <w:sz w:val="20"/>
                <w:szCs w:val="20"/>
                <w:color w:val="auto"/>
              </w:rPr>
            </w:pPr>
            <w:r>
              <w:rPr>
                <w:rFonts w:ascii="Arial" w:cs="Arial" w:eastAsia="Arial" w:hAnsi="Arial"/>
                <w:sz w:val="16"/>
                <w:szCs w:val="16"/>
                <w:color w:val="auto"/>
              </w:rPr>
              <w:t>Corporate and Other</w:t>
            </w: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(119,435)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6,899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12,937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25,101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27,399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(47,099)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tcBorders>
              <w:top w:val="single" w:sz="8" w:color="CFF0FC"/>
              <w:bottom w:val="single" w:sz="8" w:color="CFF0FC"/>
            </w:tcBorders>
            <w:shd w:val="clear" w:color="auto" w:fill="CFF0FC"/>
          </w:tcPr>
          <w:p>
            <w:pPr>
              <w:ind w:left="100"/>
              <w:spacing w:after="0"/>
              <w:rPr>
                <w:sz w:val="20"/>
                <w:szCs w:val="20"/>
                <w:color w:val="auto"/>
              </w:rPr>
            </w:pPr>
            <w:r>
              <w:rPr>
                <w:rFonts w:ascii="Arial" w:cs="Arial" w:eastAsia="Arial" w:hAnsi="Arial"/>
                <w:sz w:val="16"/>
                <w:szCs w:val="16"/>
                <w:b w:val="1"/>
                <w:bCs w:val="1"/>
                <w:color w:val="auto"/>
                <w:w w:val="95"/>
              </w:rPr>
              <w:t>Total Including Pre-Acquisition/Excluding Divestitures (7)</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342,045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202,192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13,027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25,101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42,065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624,430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560" w:right="40" w:hanging="553"/>
        <w:spacing w:after="0" w:line="287" w:lineRule="auto"/>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Figures are for Presque for the period beginning January 1, 2019 and ending January 11, 2019, Nemacolin for the period beginning January 1, 2019 and ending March 8, 2019 and Mountaineer, Cape Girardeau and Caruthersville for the period beginning January 1, 2019 and ending December 5, 2019.</w:t>
      </w:r>
    </w:p>
    <w:p>
      <w:pPr>
        <w:ind w:left="560" w:right="100" w:hanging="553"/>
        <w:spacing w:after="0" w:line="279" w:lineRule="auto"/>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Total figures for 2019 exclude results of operations for Presque, Nemacolin, Mountaineer, Cape Girardeau and Caruthersville. Such presentation does not conform to GAAP or the Securities and Exchange Commission rules for pro forma presentation; however, we believe that the additional financial information will be helpful to investors in comparing current results with results of prior periods. This is non-GAAP data and should not be considered a substitute for data prepared in accordance with GAAP, but should be viewed in addition to the results of operations reported by the Company.</w:t>
      </w:r>
    </w:p>
    <w:p>
      <w:pPr>
        <w:ind w:left="560" w:right="120" w:hanging="553"/>
        <w:spacing w:after="0" w:line="248" w:lineRule="auto"/>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Transaction expenses represent primarily costs related to the pending acquisition of Caesars for the year ended December 31, 2019 and costs related to the acquisitions of Elgin, Tropicana and Isle for the year ended December 31, 2018.</w:t>
      </w:r>
    </w:p>
    <w:p>
      <w:pPr>
        <w:ind w:left="560" w:right="140" w:hanging="553"/>
        <w:spacing w:after="0" w:line="279" w:lineRule="auto"/>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Other, for the year ended December 31, 2019, is comprised of severance expense, (gain) loss on the sale or disposal of property and equipment, equity in income (loss) of unconsolidated affiliate, impairment charges, costs associated with resolving the historical Tropicana bankruptcy, the (gain) loss associated with the sales of Presque, Nemacolin, Mountaineer, Cape Girardeau and Caruthersville and selling costs associated with the closed and pending divestitures of Mountaineer, Cape Girardeau, Caruthersville, Kansas City, Vicksburg and Shreveport.</w:t>
      </w:r>
    </w:p>
    <w:p>
      <w:pPr>
        <w:ind w:left="560" w:hanging="553"/>
        <w:spacing w:after="0"/>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Figures are for Presque, Nemacolin, Mountaineer, Cape Girardeau and Caruthersville for the year ended December 31, 2018.</w:t>
      </w:r>
    </w:p>
    <w:p>
      <w:pPr>
        <w:spacing w:after="0" w:line="7" w:lineRule="exact"/>
        <w:rPr>
          <w:rFonts w:ascii="Arial" w:cs="Arial" w:eastAsia="Arial" w:hAnsi="Arial"/>
          <w:sz w:val="18"/>
          <w:szCs w:val="18"/>
          <w:color w:val="auto"/>
        </w:rPr>
      </w:pPr>
    </w:p>
    <w:p>
      <w:pPr>
        <w:jc w:val="both"/>
        <w:ind w:left="560" w:right="160" w:hanging="553"/>
        <w:spacing w:after="0" w:line="248" w:lineRule="auto"/>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Figures are for Tropicana for the nine months ended September 30, 2018 and for Elgin for the period beginning January 1, 2018 and ending August 6, 2018. Such figures are based on unaudited internal financial statements and have not been reviewed by the Company’s auditors and do not conform to GAAP.</w:t>
      </w:r>
    </w:p>
    <w:p>
      <w:pPr>
        <w:ind w:left="560" w:right="100" w:hanging="553"/>
        <w:spacing w:after="0" w:line="279" w:lineRule="auto"/>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Total figures for the year ended December 31, 2018 include combined results of operations for Elgin, Tropicana and the Company and exclude results of operations for Presque, Nemacolin, Mountaineer, Cape Girardeau and Caruthersville. Such presentation is unaudited and does not conform with GAAP or the Securities and Exchange Commission rules for pro forma presentation; however, we believe that the additional financial information will be helpful to investors in comparing current results with results of prior periods. This is non-GAAP data and should not be considered a substitute for data prepared in accordance to GAAP, but should be viewed in addition to the results of operations reported by the Company.</w:t>
      </w:r>
    </w:p>
    <w:p>
      <w:pPr>
        <w:spacing w:after="0" w:line="1" w:lineRule="exact"/>
        <w:rPr>
          <w:rFonts w:ascii="Arial" w:cs="Arial" w:eastAsia="Arial" w:hAnsi="Arial"/>
          <w:sz w:val="16"/>
          <w:szCs w:val="16"/>
          <w:color w:val="auto"/>
        </w:rPr>
      </w:pPr>
    </w:p>
    <w:p>
      <w:pPr>
        <w:ind w:left="560" w:right="140" w:hanging="553"/>
        <w:spacing w:after="0" w:line="250" w:lineRule="auto"/>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for the year ended December 31, 2018, is comprised of severance expense, (gain) loss on the sale or disposal of property and equipment, equity in income (loss) of an unconsolidated affiliate, preopening expenses, impairment charges at Vicksburg and Nemacolin, proceeds from the terminated sale of Vicksburg, other non-cash regulatory gaming assessments and selling costs associated with the divestitures of Presque, Nemacolin, the terminated sale of Vicksburg and the purchase of Tropicana and Elgin.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ind w:right="60" w:firstLine="555"/>
        <w:spacing w:after="0" w:line="271" w:lineRule="auto"/>
        <w:rPr>
          <w:sz w:val="20"/>
          <w:szCs w:val="20"/>
          <w:color w:val="auto"/>
        </w:rPr>
      </w:pPr>
      <w:r>
        <w:rPr>
          <w:rFonts w:ascii="Arial" w:cs="Arial" w:eastAsia="Arial" w:hAnsi="Arial"/>
          <w:sz w:val="18"/>
          <w:szCs w:val="18"/>
          <w:color w:val="auto"/>
        </w:rPr>
        <w:t>We are a holding company and our only significant assets are ownership interests in our subsidiaries. Our ability to fund our obligations depends on the cash flow of our subsidiaries and the ability of our subsidiaries to distribute or otherwise make funds available to us.</w:t>
      </w:r>
    </w:p>
    <w:p>
      <w:pPr>
        <w:spacing w:after="0" w:line="202"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Our primary sources of liquidity and capital resources have been existing cash, cash flow from operations, borrowings under our revolving credit facility, proceeds from the issuance of debt securities and proceeds from our 2019 dispositions of Presque, Mountaineer, Cape Girardeau and Caruthersville. As of December 31, 2019, we had $482.0 million of available borrowing capacity, after consideration of $18.0 million in outstanding letters of credit, and no outstanding balance under our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62" w:name="page63"/>
    <w:bookmarkEnd w:id="62"/>
    <w:p>
      <w:pPr>
        <w:ind w:right="220"/>
        <w:spacing w:after="0" w:line="271" w:lineRule="auto"/>
        <w:rPr>
          <w:sz w:val="20"/>
          <w:szCs w:val="20"/>
          <w:color w:val="auto"/>
        </w:rPr>
      </w:pPr>
      <w:r>
        <w:rPr>
          <w:rFonts w:ascii="Arial" w:cs="Arial" w:eastAsia="Arial" w:hAnsi="Arial"/>
          <w:sz w:val="18"/>
          <w:szCs w:val="18"/>
          <w:color w:val="auto"/>
        </w:rPr>
        <w:t>Revolving Credit Facility. In 2019, we utilized $360.0 million of net proceeds from the sales of Presque, Mountaineer, Cape Girardeau and Caruthersville to repay a portion of amounts outstanding under the Term Loan.</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cash requirements can fluctuate significantly depending on our decisions with respect to business acquisitions or divestitures and strategic capital</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investments to maintain the quality of our properties. We expect that our primary capital requirements going forward will relate to the operation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maintenance of our properties, taxes, servicing our outstanding indebtedness, rent payments under our Master Lease, continued costs associated with the Elgin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and Tropicana acquisitions and funding the Caesars acquisition. Pursuant to the A&amp;R Commitment Letter, the Commitment Parties committed to arrange and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provide the Company with: (w) a $1,000.0 million senior secured revolving credit facility, (x) a $3,000.0 million senior secured term loan B facility, (y) 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$3,250.0 million senior secured 364-day bridge facility and (z) a $1,800.0 million senior unsecured bridge loan facility and (ii) Caesars Resort Collection, LLC,</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 subsidiary of Caesars, with a $2,400.0 million senior secured incremental term loan B facility (collectively, the “Debt Financing”). We expect to fund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anticipated Caesars acquisition with a combination of proceeds from the Debt Financing, the sale-leaseback transactions with VICI with respect to Harrah’s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New Orleans, Harrah’s Laughlin and Harrah’s Atlantic City, the consideration received from VICI received in connection with amendments to the CPLV Lease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and Non-CPLV Lease contemplated by the MTA, asset divestitures, existing cash on our balance sheet and cash flow generated by the Company and Caesars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prior to the acquisition. During 2020, we plan to spend approximately $240.0 million on capital expenditures.</w:t>
      </w:r>
    </w:p>
    <w:p>
      <w:pPr>
        <w:spacing w:after="0" w:line="208"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We expect that cash generated from operations, borrowings under the Debt Financing and proceeds from the transactions contemplated by the MTA and the announced asset sales, net of associated taxes, will be sufficient to fund our operations and capital requirements, consummate the Caesars acquisition and service our outstanding indebtedness for the next twelve months.</w:t>
      </w:r>
    </w:p>
    <w:p>
      <w:pPr>
        <w:spacing w:after="0" w:line="186" w:lineRule="exact"/>
        <w:rPr>
          <w:sz w:val="20"/>
          <w:szCs w:val="20"/>
          <w:color w:val="auto"/>
        </w:rPr>
      </w:pPr>
    </w:p>
    <w:p>
      <w:pPr>
        <w:jc w:val="both"/>
        <w:ind w:right="280" w:firstLine="555"/>
        <w:spacing w:after="0" w:line="307" w:lineRule="auto"/>
        <w:rPr>
          <w:sz w:val="20"/>
          <w:szCs w:val="20"/>
          <w:color w:val="auto"/>
        </w:rPr>
      </w:pPr>
      <w:r>
        <w:rPr>
          <w:rFonts w:ascii="Arial" w:cs="Arial" w:eastAsia="Arial" w:hAnsi="Arial"/>
          <w:sz w:val="16"/>
          <w:szCs w:val="16"/>
          <w:color w:val="auto"/>
        </w:rPr>
        <w:t>At December 31, 2019, we had consolidated cash and cash equivalents of $206.3 million, excluding restricted cash. At December 31, 2018, we had consolidated cash and cash equivalents of $230.8 million, excluding restricted cash. This decrease in cash was primarily due to significant payments on our credit facility and investments in capital improvements, which were partially offset by cash generated from operations and proceeds from the Divestitures.</w:t>
      </w:r>
    </w:p>
    <w:p>
      <w:pPr>
        <w:spacing w:after="0" w:line="150"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i w:val="1"/>
          <w:iCs w:val="1"/>
          <w:color w:val="auto"/>
        </w:rPr>
        <w:t xml:space="preserve">Operating Cash Flow. </w:t>
      </w:r>
      <w:r>
        <w:rPr>
          <w:rFonts w:ascii="Arial" w:cs="Arial" w:eastAsia="Arial" w:hAnsi="Arial"/>
          <w:sz w:val="18"/>
          <w:szCs w:val="18"/>
          <w:color w:val="auto"/>
        </w:rPr>
        <w:t>In 2019, cash flows provided by operating activities totaled $312.5 million compared to $323.3 million in 2018. The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cash was primarily due to increased transaction costs, which was partially offset by incremental operating cash generated by the acquired Elgin and Tropicana properties as well as changes in the balance sheet accounts in the normal course of business.</w:t>
      </w:r>
    </w:p>
    <w:p>
      <w:pPr>
        <w:spacing w:after="0" w:line="186" w:lineRule="exact"/>
        <w:rPr>
          <w:sz w:val="20"/>
          <w:szCs w:val="20"/>
          <w:color w:val="auto"/>
        </w:rPr>
      </w:pPr>
    </w:p>
    <w:p>
      <w:pPr>
        <w:ind w:right="160" w:firstLine="555"/>
        <w:spacing w:after="0" w:line="259" w:lineRule="auto"/>
        <w:rPr>
          <w:sz w:val="20"/>
          <w:szCs w:val="20"/>
          <w:color w:val="auto"/>
        </w:rPr>
      </w:pPr>
      <w:r>
        <w:rPr>
          <w:rFonts w:ascii="Arial" w:cs="Arial" w:eastAsia="Arial" w:hAnsi="Arial"/>
          <w:sz w:val="18"/>
          <w:szCs w:val="18"/>
          <w:color w:val="auto"/>
        </w:rPr>
        <w:t>In 2018, cash flows provided by operating activities totaled $323.3 million compared to $129.9 million in 2017. The increase in operating cash was primarily due to incremental operating cash generated by the acquired Elgin and Tropicana properties and decreased transaction costs combined with changes in the balance sheet accounts in the normal course of business.</w:t>
      </w:r>
    </w:p>
    <w:p>
      <w:pPr>
        <w:spacing w:after="0" w:line="186" w:lineRule="exact"/>
        <w:rPr>
          <w:sz w:val="20"/>
          <w:szCs w:val="20"/>
          <w:color w:val="auto"/>
        </w:rPr>
      </w:pPr>
    </w:p>
    <w:p>
      <w:pPr>
        <w:ind w:right="20" w:firstLine="555"/>
        <w:spacing w:after="0" w:line="282" w:lineRule="auto"/>
        <w:rPr>
          <w:sz w:val="20"/>
          <w:szCs w:val="20"/>
          <w:color w:val="auto"/>
        </w:rPr>
      </w:pPr>
      <w:r>
        <w:rPr>
          <w:rFonts w:ascii="Arial" w:cs="Arial" w:eastAsia="Arial" w:hAnsi="Arial"/>
          <w:sz w:val="17"/>
          <w:szCs w:val="17"/>
          <w:i w:val="1"/>
          <w:iCs w:val="1"/>
          <w:color w:val="auto"/>
        </w:rPr>
        <w:t>Investing Cash Flow and Capital Expenditures</w:t>
      </w:r>
      <w:r>
        <w:rPr>
          <w:rFonts w:ascii="Arial" w:cs="Arial" w:eastAsia="Arial" w:hAnsi="Arial"/>
          <w:sz w:val="17"/>
          <w:szCs w:val="17"/>
          <w:color w:val="auto"/>
        </w:rPr>
        <w:t>. Net cash flows provided by investing activities totaled $369.5 million in 2019 compared to $1.3 billion</w:t>
      </w:r>
      <w:r>
        <w:rPr>
          <w:rFonts w:ascii="Arial" w:cs="Arial" w:eastAsia="Arial" w:hAnsi="Arial"/>
          <w:sz w:val="17"/>
          <w:szCs w:val="17"/>
          <w:i w:val="1"/>
          <w:iCs w:val="1"/>
          <w:color w:val="auto"/>
        </w:rPr>
        <w:t xml:space="preserve"> </w:t>
      </w:r>
      <w:r>
        <w:rPr>
          <w:rFonts w:ascii="Arial" w:cs="Arial" w:eastAsia="Arial" w:hAnsi="Arial"/>
          <w:sz w:val="17"/>
          <w:szCs w:val="17"/>
          <w:color w:val="auto"/>
        </w:rPr>
        <w:t>used in 2018. Net cash flows provided by investing activities in 2019 were primarily attributable to $536.1 million in net proceeds from the Divestitures. Capital expenditures totaled $170.8 million for the year ended December 31, 2019 related to growth and maintenance capital projects.</w:t>
      </w:r>
    </w:p>
    <w:p>
      <w:pPr>
        <w:spacing w:after="0" w:line="167" w:lineRule="exact"/>
        <w:rPr>
          <w:sz w:val="20"/>
          <w:szCs w:val="20"/>
          <w:color w:val="auto"/>
        </w:rPr>
      </w:pPr>
    </w:p>
    <w:p>
      <w:pPr>
        <w:jc w:val="both"/>
        <w:ind w:right="180" w:firstLine="555"/>
        <w:spacing w:after="0" w:line="282" w:lineRule="auto"/>
        <w:rPr>
          <w:sz w:val="20"/>
          <w:szCs w:val="20"/>
          <w:color w:val="auto"/>
        </w:rPr>
      </w:pPr>
      <w:r>
        <w:rPr>
          <w:rFonts w:ascii="Arial" w:cs="Arial" w:eastAsia="Arial" w:hAnsi="Arial"/>
          <w:sz w:val="17"/>
          <w:szCs w:val="17"/>
          <w:color w:val="auto"/>
        </w:rPr>
        <w:t>Net cash flows used in investing activities totaled $1.3 billion in 2018 compared to $1.4 billion in 2017. Net cash flows used in investing activities in 2018 were primarily due to $307.3 million cash paid in the Elgin Acquisition and $806.0 million cash paid in the Tropicana Acquisition. Additionally, capital expenditures totaled $147.4 million for the year ended December 31, 2018 related to growth and maintenance capital projects.</w:t>
      </w:r>
    </w:p>
    <w:p>
      <w:pPr>
        <w:spacing w:after="0" w:line="167" w:lineRule="exact"/>
        <w:rPr>
          <w:sz w:val="20"/>
          <w:szCs w:val="20"/>
          <w:color w:val="auto"/>
        </w:rPr>
      </w:pPr>
    </w:p>
    <w:p>
      <w:pPr>
        <w:jc w:val="both"/>
        <w:ind w:right="180" w:firstLine="555"/>
        <w:spacing w:after="0" w:line="271" w:lineRule="auto"/>
        <w:rPr>
          <w:sz w:val="20"/>
          <w:szCs w:val="20"/>
          <w:color w:val="auto"/>
        </w:rPr>
      </w:pPr>
      <w:r>
        <w:rPr>
          <w:rFonts w:ascii="Arial" w:cs="Arial" w:eastAsia="Arial" w:hAnsi="Arial"/>
          <w:sz w:val="18"/>
          <w:szCs w:val="18"/>
          <w:i w:val="1"/>
          <w:iCs w:val="1"/>
          <w:color w:val="auto"/>
        </w:rPr>
        <w:t>Financing Cash Flow</w:t>
      </w:r>
      <w:r>
        <w:rPr>
          <w:rFonts w:ascii="Arial" w:cs="Arial" w:eastAsia="Arial" w:hAnsi="Arial"/>
          <w:sz w:val="18"/>
          <w:szCs w:val="18"/>
          <w:color w:val="auto"/>
        </w:rPr>
        <w:t>. Net cash used in financing activities in 2019 totaled $712.2 million and was principally due to $278.0 million of net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revolving credit facility and $458.0 million of payments on the Term Loan.</w:t>
      </w:r>
    </w:p>
    <w:p>
      <w:pPr>
        <w:spacing w:after="0" w:line="175" w:lineRule="exact"/>
        <w:rPr>
          <w:sz w:val="20"/>
          <w:szCs w:val="20"/>
          <w:color w:val="auto"/>
        </w:rPr>
      </w:pPr>
    </w:p>
    <w:p>
      <w:pPr>
        <w:jc w:val="both"/>
        <w:ind w:right="300" w:firstLine="555"/>
        <w:spacing w:after="0" w:line="259" w:lineRule="auto"/>
        <w:rPr>
          <w:sz w:val="20"/>
          <w:szCs w:val="20"/>
          <w:color w:val="auto"/>
        </w:rPr>
      </w:pPr>
      <w:r>
        <w:rPr>
          <w:rFonts w:ascii="Arial" w:cs="Arial" w:eastAsia="Arial" w:hAnsi="Arial"/>
          <w:sz w:val="18"/>
          <w:szCs w:val="18"/>
          <w:color w:val="auto"/>
        </w:rPr>
        <w:t>Net cash provided by financing activities in 2018 totaled $1.0 billion and was principally due to $600.0 million of proceeds from the issuance of the 6.0% senior notes due 2026 in conjunction with the Tropicana Acquisition, $246.0 million of proceeds from the Lumière Loan (defined below) and $245.0 million of net borrowings under our revolving credit facility related to the Elgin Acquisition.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63" w:name="page64"/>
    <w:bookmarkEnd w:id="63"/>
    <w:p>
      <w:pPr>
        <w:ind w:right="160" w:firstLine="555"/>
        <w:spacing w:after="0" w:line="275"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The Company will pay approximately $28.0 million in cash taxes in 2020 related to the gain on the sales of Mountaineer, Cape</w:t>
      </w:r>
      <w:r>
        <w:rPr>
          <w:rFonts w:ascii="Arial" w:cs="Arial" w:eastAsia="Arial" w:hAnsi="Arial"/>
          <w:sz w:val="17"/>
          <w:szCs w:val="17"/>
          <w:i w:val="1"/>
          <w:iCs w:val="1"/>
          <w:color w:val="auto"/>
        </w:rPr>
        <w:t xml:space="preserve"> </w:t>
      </w:r>
      <w:r>
        <w:rPr>
          <w:rFonts w:ascii="Arial" w:cs="Arial" w:eastAsia="Arial" w:hAnsi="Arial"/>
          <w:sz w:val="17"/>
          <w:szCs w:val="17"/>
          <w:color w:val="auto"/>
        </w:rPr>
        <w:t>Girardeau and Caruthersville in addition to cash taxes related to the Company’s operations, subject to any changes as a result of the Merger. During the year ended December 31, 2019, the Company made cash payments for income taxes, net of refunds, totaling $51.1 million, of which $42.7 million, net of refunds, was related to taxes owed in conjunction with the Tropicana Acquisition and sale of Presque.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 and Master Lease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Senior Notes due 2023</w:t>
      </w:r>
    </w:p>
    <w:p>
      <w:pPr>
        <w:spacing w:after="0" w:line="114" w:lineRule="exact"/>
        <w:rPr>
          <w:sz w:val="20"/>
          <w:szCs w:val="20"/>
          <w:color w:val="auto"/>
        </w:rPr>
      </w:pPr>
    </w:p>
    <w:p>
      <w:pPr>
        <w:jc w:val="both"/>
        <w:ind w:firstLine="555"/>
        <w:spacing w:after="0" w:line="282" w:lineRule="auto"/>
        <w:rPr>
          <w:sz w:val="20"/>
          <w:szCs w:val="20"/>
          <w:color w:val="auto"/>
        </w:rPr>
      </w:pPr>
      <w:r>
        <w:rPr>
          <w:rFonts w:ascii="Arial" w:cs="Arial" w:eastAsia="Arial" w:hAnsi="Arial"/>
          <w:sz w:val="17"/>
          <w:szCs w:val="17"/>
          <w:color w:val="auto"/>
        </w:rPr>
        <w:t>On July 23, 2015, we issued at par $375.0 million in aggregate principal amount of 7.0% senior notes due 2023 (“7% Senior Notes due 2023”) pursuant to the indenture, dated as of July 23, 2015 (the “2023 Indenture”), between us and U.S. Bank, National Association, as Trustee. The 7% Senior Notes due 2023 will mature on August 1, 2023, with interest payable semi-annually in arrears on February 1 and August 1 of each year.</w:t>
      </w:r>
    </w:p>
    <w:p>
      <w:pPr>
        <w:spacing w:after="0" w:line="167"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On or after August 1, 2018, we may redeem all or a portion of the 7% Senior Notes due 2023 upon not less than 30 nor more than 60 days’ notice, at the redemption prices (expressed as percentages of the principal amount) set forth below plus accrued and unpaid interest and additional interest, if any, on the 7% Senior Notes due 2023 redeemed, to the applicable redemption date, if redeemed during the twelve month period beginning on August 1 of the years indicated below:</w:t>
      </w:r>
    </w:p>
    <w:p>
      <w:pPr>
        <w:spacing w:after="0" w:line="196" w:lineRule="exact"/>
        <w:rPr>
          <w:sz w:val="20"/>
          <w:szCs w:val="20"/>
          <w:color w:val="auto"/>
        </w:rPr>
      </w:pPr>
    </w:p>
    <w:tbl>
      <w:tblPr>
        <w:tblLayout w:type="fixed"/>
        <w:tblInd w:w="2300" w:type="dxa"/>
        <w:tblCellMar>
          <w:top w:w="0" w:type="dxa"/>
          <w:left w:w="0" w:type="dxa"/>
          <w:bottom w:w="0" w:type="dxa"/>
          <w:right w:w="0" w:type="dxa"/>
        </w:tblCellMar>
      </w:tblPr>
      <w:tr>
        <w:trPr>
          <w:trHeight w:val="170"/>
        </w:trPr>
        <w:tc>
          <w:tcPr>
            <w:tcW w:w="554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4"/>
                <w:szCs w:val="14"/>
                <w:color w:val="auto"/>
              </w:rPr>
            </w:pPr>
          </w:p>
        </w:tc>
      </w:tr>
      <w:tr>
        <w:trPr>
          <w:trHeight w:val="221"/>
        </w:trPr>
        <w:tc>
          <w:tcPr>
            <w:tcW w:w="5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105.250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42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101.750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540" w:type="dxa"/>
            <w:vAlign w:val="bottom"/>
            <w:gridSpan w:val="2"/>
          </w:tcPr>
          <w:p>
            <w:pPr>
              <w:spacing w:after="0"/>
              <w:rPr>
                <w:sz w:val="20"/>
                <w:szCs w:val="20"/>
                <w:color w:val="auto"/>
              </w:rPr>
            </w:pPr>
            <w:r>
              <w:rPr>
                <w:rFonts w:ascii="Arial" w:cs="Arial" w:eastAsia="Arial" w:hAnsi="Arial"/>
                <w:sz w:val="18"/>
                <w:szCs w:val="18"/>
                <w:color w:val="auto"/>
              </w:rPr>
              <w:t>2021 and thereafter</w:t>
            </w:r>
          </w:p>
        </w:tc>
        <w:tc>
          <w:tcPr>
            <w:tcW w:w="106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40"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If we experience certain change of control events (as defined in the 2023 Indenture), we must offer to repurchase the 7% Senior Notes due 2023 at 101% of their principal amount, plus accrued and unpaid interest to the applicable repurchase date. If we sell asset under certain circumstances and does not use the proceeds for specified purposes, we must offer to repurchase the 7% Senior Notes due 2023 at 100% of their principal amount, plus accrued and unpaid interest to the applicable repurchase date.</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7% Senior Notes due 2023 are subject to redemption imposed by gaming laws and regulations of applicable gaming regulatory authorities.</w:t>
      </w:r>
    </w:p>
    <w:p>
      <w:pPr>
        <w:spacing w:after="0" w:line="233" w:lineRule="exact"/>
        <w:rPr>
          <w:sz w:val="20"/>
          <w:szCs w:val="20"/>
          <w:color w:val="auto"/>
        </w:rPr>
      </w:pPr>
    </w:p>
    <w:p>
      <w:pPr>
        <w:ind w:right="260" w:firstLine="555"/>
        <w:spacing w:after="0" w:line="271" w:lineRule="auto"/>
        <w:rPr>
          <w:sz w:val="20"/>
          <w:szCs w:val="20"/>
          <w:color w:val="auto"/>
        </w:rPr>
      </w:pPr>
      <w:r>
        <w:rPr>
          <w:rFonts w:ascii="Arial" w:cs="Arial" w:eastAsia="Arial" w:hAnsi="Arial"/>
          <w:sz w:val="18"/>
          <w:szCs w:val="18"/>
          <w:color w:val="auto"/>
        </w:rPr>
        <w:t>The 2023 Indenture contains certain covenants limiting, among other things, our ability and the ability of our subsidiaries (other than its unrestricted subsidiaries) to:</w:t>
      </w:r>
    </w:p>
    <w:p>
      <w:pPr>
        <w:spacing w:after="0" w:line="68" w:lineRule="exact"/>
        <w:rPr>
          <w:sz w:val="20"/>
          <w:szCs w:val="20"/>
          <w:color w:val="auto"/>
        </w:rPr>
      </w:pPr>
    </w:p>
    <w:p>
      <w:pPr>
        <w:ind w:left="1100" w:hanging="544"/>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114" w:lineRule="exact"/>
        <w:rPr>
          <w:rFonts w:ascii="Arial" w:cs="Arial" w:eastAsia="Arial" w:hAnsi="Arial"/>
          <w:sz w:val="18"/>
          <w:szCs w:val="18"/>
          <w:color w:val="auto"/>
        </w:rPr>
      </w:pPr>
    </w:p>
    <w:p>
      <w:pPr>
        <w:ind w:left="1100" w:right="340" w:hanging="544"/>
        <w:spacing w:after="0" w:line="271" w:lineRule="auto"/>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7% Senior Notes due 2023 or the guarantees of the 7% Senior Notes due 2023;</w:t>
      </w:r>
    </w:p>
    <w:p>
      <w:pPr>
        <w:spacing w:after="0" w:line="67" w:lineRule="exact"/>
        <w:rPr>
          <w:rFonts w:ascii="Arial" w:cs="Arial" w:eastAsia="Arial" w:hAnsi="Arial"/>
          <w:sz w:val="18"/>
          <w:szCs w:val="18"/>
          <w:color w:val="auto"/>
        </w:rPr>
      </w:pPr>
    </w:p>
    <w:p>
      <w:pPr>
        <w:ind w:left="1100" w:hanging="544"/>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our assets;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engage in lines of business other than our core business and related businesses; and</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1"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These covenants are subject to a number of exceptions and qualifications as set forth in the 2023 Indenture. The 2023 Indenture also provides for customary events of default which, if any of them occurs, would permit or require the principal of and accrued interest on such 7% Senior Notes due 2023 to be declared due and payable.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6% Senior Notes due 2025</w:t>
      </w:r>
    </w:p>
    <w:p>
      <w:pPr>
        <w:spacing w:after="0" w:line="114" w:lineRule="exact"/>
        <w:rPr>
          <w:sz w:val="20"/>
          <w:szCs w:val="20"/>
          <w:color w:val="auto"/>
        </w:rPr>
      </w:pPr>
    </w:p>
    <w:p>
      <w:pPr>
        <w:ind w:right="280" w:firstLine="555"/>
        <w:spacing w:after="0" w:line="255" w:lineRule="auto"/>
        <w:rPr>
          <w:sz w:val="20"/>
          <w:szCs w:val="20"/>
          <w:color w:val="auto"/>
        </w:rPr>
      </w:pPr>
      <w:r>
        <w:rPr>
          <w:rFonts w:ascii="Arial" w:cs="Arial" w:eastAsia="Arial" w:hAnsi="Arial"/>
          <w:sz w:val="18"/>
          <w:szCs w:val="18"/>
          <w:color w:val="auto"/>
        </w:rPr>
        <w:t>On March 29, 2017, Eagle II Acquisition Company LLC (“Eagle II”), our wholly-owned subsidiary, issued $375.0 million in aggregate principal amount of 6.0% Senior Notes due 2025 (the “6% Senior Notes due 2025”) pursuant to an indenture, dated as of March 29, 2017 (the “2025 Indenture”), between Eagle II and U.S. Bank, National Association, as Trustee. The 6% Senior Notes due 2025 will mature on April 1, 2025, with interest payable semi-annually in arrears on April 1 and October 1.</w:t>
      </w:r>
    </w:p>
    <w:p>
      <w:pPr>
        <w:spacing w:after="0" w:line="191" w:lineRule="exact"/>
        <w:rPr>
          <w:sz w:val="20"/>
          <w:szCs w:val="20"/>
          <w:color w:val="auto"/>
        </w:rPr>
      </w:pPr>
    </w:p>
    <w:p>
      <w:pPr>
        <w:ind w:firstLine="555"/>
        <w:spacing w:after="0" w:line="275" w:lineRule="auto"/>
        <w:rPr>
          <w:sz w:val="20"/>
          <w:szCs w:val="20"/>
          <w:color w:val="auto"/>
        </w:rPr>
      </w:pPr>
      <w:r>
        <w:rPr>
          <w:rFonts w:ascii="Arial" w:cs="Arial" w:eastAsia="Arial" w:hAnsi="Arial"/>
          <w:sz w:val="17"/>
          <w:szCs w:val="17"/>
          <w:color w:val="auto"/>
        </w:rPr>
        <w:t>On September 13, 2017, we issued an additional $500.0 million principal amount of the 6% Senior Notes due 2025 at an issue price equal to 105.5% of the principal amount of the 6% Senior Notes due 2025. The additional notes were issued pursuant to the 2025 Indenture that governs the 6% Senior Notes due 2025. We used the proceeds of the offering to repay $78.0 million of outstanding borrowings under the revolving credit facility and used the remainder to repay $444.5 million outstanding borrowings under the term loan facility and related accrued interest.</w:t>
      </w:r>
    </w:p>
    <w:p>
      <w:pPr>
        <w:spacing w:after="0" w:line="175"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On or after April 1, 2020, we may redeem all or a portion of the 6% Senior Notes due 2025 upon not less than 30 nor more than 60 days’ notice, at the redemption prices (expressed as percentages of the principal amount) set forth below plus accrued and unpaid interest and additional interest, if any, on the 6% Senior Notes due 2025 redeemed, to the applicable redemption date, if redeemed during the 12-month period beginning on April 1 of the years indicated below:</w:t>
      </w:r>
    </w:p>
    <w:p>
      <w:pPr>
        <w:spacing w:after="0" w:line="196" w:lineRule="exact"/>
        <w:rPr>
          <w:sz w:val="20"/>
          <w:szCs w:val="20"/>
          <w:color w:val="auto"/>
        </w:rPr>
      </w:pPr>
    </w:p>
    <w:tbl>
      <w:tblPr>
        <w:tblLayout w:type="fixed"/>
        <w:tblInd w:w="2300" w:type="dxa"/>
        <w:tblCellMar>
          <w:top w:w="0" w:type="dxa"/>
          <w:left w:w="0" w:type="dxa"/>
          <w:bottom w:w="0" w:type="dxa"/>
          <w:right w:w="0" w:type="dxa"/>
        </w:tblCellMar>
      </w:tblPr>
      <w:tr>
        <w:trPr>
          <w:trHeight w:val="170"/>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140" w:type="dxa"/>
            <w:vAlign w:val="bottom"/>
          </w:tcPr>
          <w:p>
            <w:pPr>
              <w:jc w:val="right"/>
              <w:ind w:right="154"/>
              <w:spacing w:after="0"/>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4"/>
                <w:szCs w:val="14"/>
                <w:color w:val="auto"/>
              </w:rPr>
            </w:pPr>
          </w:p>
        </w:tc>
      </w:tr>
      <w:tr>
        <w:trPr>
          <w:trHeight w:val="221"/>
        </w:trPr>
        <w:tc>
          <w:tcPr>
            <w:tcW w:w="5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104.500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34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101.500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460" w:type="dxa"/>
            <w:vAlign w:val="bottom"/>
            <w:gridSpan w:val="2"/>
          </w:tcPr>
          <w:p>
            <w:pPr>
              <w:spacing w:after="0"/>
              <w:rPr>
                <w:sz w:val="20"/>
                <w:szCs w:val="20"/>
                <w:color w:val="auto"/>
              </w:rPr>
            </w:pPr>
            <w:r>
              <w:rPr>
                <w:rFonts w:ascii="Arial" w:cs="Arial" w:eastAsia="Arial" w:hAnsi="Arial"/>
                <w:sz w:val="18"/>
                <w:szCs w:val="18"/>
                <w:color w:val="auto"/>
              </w:rPr>
              <w:t>2023 and thereafter</w:t>
            </w:r>
          </w:p>
        </w:tc>
        <w:tc>
          <w:tcPr>
            <w:tcW w:w="114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40"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Prior to April 1, 2020, we may redeem all or a portion of the 6% Senior Notes due 2025 at a price equal to 100% of the 6% Senior Notes due 2025 redeemed plus accrued and unpaid interest to the redemption date, plus a make-whole premium. At any time prior to April 1, 2020, we are also entitled to redeem up to 35% of the original aggregate principal amount of the 6% Senior Notes due 2025 with proceeds of certain equity financings at a redemption price equal to 106% of the principal amount of the 6% Senior Notes due 2025 redeemed, plus accrued and unpaid interest. If we experience certain change of control events (as defined in the 2025 Indenture), we must offer to repurchase the 6% Senior Notes due 2025 at 101% of their principal amount, plus accrued and unpaid interest to the applicable repurchase date. If we sell assets under certain circumstances and do not use the proceeds for specified purposes, we must offer to repurchase the 6% Senior Notes due 2025 at 100% of their principal amount, plus accrued and unpaid interest to the applicable repurchase date.</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6% Senior Notes due 2025 are subject to redemption imposed by gaming laws and regulations of applicable gaming regulatory authorities.</w:t>
      </w:r>
    </w:p>
    <w:p>
      <w:pPr>
        <w:spacing w:after="0" w:line="233" w:lineRule="exact"/>
        <w:rPr>
          <w:sz w:val="20"/>
          <w:szCs w:val="20"/>
          <w:color w:val="auto"/>
        </w:rPr>
      </w:pPr>
    </w:p>
    <w:p>
      <w:pPr>
        <w:ind w:right="260" w:firstLine="555"/>
        <w:spacing w:after="0" w:line="271" w:lineRule="auto"/>
        <w:rPr>
          <w:sz w:val="20"/>
          <w:szCs w:val="20"/>
          <w:color w:val="auto"/>
        </w:rPr>
      </w:pPr>
      <w:r>
        <w:rPr>
          <w:rFonts w:ascii="Arial" w:cs="Arial" w:eastAsia="Arial" w:hAnsi="Arial"/>
          <w:sz w:val="18"/>
          <w:szCs w:val="18"/>
          <w:color w:val="auto"/>
        </w:rPr>
        <w:t>The 2025 Indenture contains certain covenants limiting, among other things, our ability and the ability of our subsidiaries (other than its unrestricted subsidiaries) to:</w:t>
      </w:r>
    </w:p>
    <w:p>
      <w:pPr>
        <w:spacing w:after="0" w:line="68" w:lineRule="exact"/>
        <w:rPr>
          <w:sz w:val="20"/>
          <w:szCs w:val="20"/>
          <w:color w:val="auto"/>
        </w:rPr>
      </w:pPr>
    </w:p>
    <w:p>
      <w:pPr>
        <w:ind w:left="1100" w:hanging="544"/>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114" w:lineRule="exact"/>
        <w:rPr>
          <w:rFonts w:ascii="Arial" w:cs="Arial" w:eastAsia="Arial" w:hAnsi="Arial"/>
          <w:sz w:val="18"/>
          <w:szCs w:val="18"/>
          <w:color w:val="auto"/>
        </w:rPr>
      </w:pPr>
    </w:p>
    <w:p>
      <w:pPr>
        <w:ind w:left="1100" w:right="340" w:hanging="544"/>
        <w:spacing w:after="0" w:line="271" w:lineRule="auto"/>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6% Senior Notes due 2025 or the guarantees of the 6% Senior Notes due 2025;</w:t>
      </w:r>
    </w:p>
    <w:p>
      <w:pPr>
        <w:spacing w:after="0" w:line="67" w:lineRule="exact"/>
        <w:rPr>
          <w:rFonts w:ascii="Arial" w:cs="Arial" w:eastAsia="Arial" w:hAnsi="Arial"/>
          <w:sz w:val="18"/>
          <w:szCs w:val="18"/>
          <w:color w:val="auto"/>
        </w:rPr>
      </w:pPr>
    </w:p>
    <w:p>
      <w:pPr>
        <w:ind w:left="1100" w:hanging="544"/>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our assets;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engage in lines of business other than our core business and related businesses; and</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660" w:right="259" w:bottom="1440" w:gutter="0" w:footer="0" w:header="0"/>
        </w:sectPr>
      </w:pPr>
    </w:p>
    <w:bookmarkStart w:id="65" w:name="page66"/>
    <w:bookmarkEnd w:id="65"/>
    <w:p>
      <w:pPr>
        <w:ind w:right="200" w:firstLine="555"/>
        <w:spacing w:after="0" w:line="259" w:lineRule="auto"/>
        <w:rPr>
          <w:sz w:val="20"/>
          <w:szCs w:val="20"/>
          <w:color w:val="auto"/>
        </w:rPr>
      </w:pPr>
      <w:r>
        <w:rPr>
          <w:rFonts w:ascii="Arial" w:cs="Arial" w:eastAsia="Arial" w:hAnsi="Arial"/>
          <w:sz w:val="18"/>
          <w:szCs w:val="18"/>
          <w:color w:val="auto"/>
        </w:rPr>
        <w:t>These covenants are subject to a number of exceptions and qualifications as set forth in the 6% Senior Notes Indenture due 2025. The 2025 Indenture also provides for customary events of default which, if any of them occurs, would permit or require the principal of and accrued interest on such 6% Senior Notes due 2025 to be declared due and payable.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 due 2026</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September 20, 2018, Delta Merger Sub, Inc. (“Escrow Issuer”), a Delaware corporation and a wholly-owned subsidiary of the Company, issued</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$600 million in aggregate principal amount of 6.0% senior notes due 2026 (the “6% Senior Notes due 2026”) pursuant to an indenture, dated as of September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20, 2018 (the “2026 Indenture”), between Escrow Issuer and U.S. Bank, National Association, as Trustee. Interest on the 6% Senior Notes due 2026 will be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paid semi-annually in arrears on March 15 and September 15. The Company and the subsidiary guarantors assumed the obligations under the 2026 Indenture in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the consummation of the Tropicana Acquisition.</w:t>
      </w:r>
    </w:p>
    <w:p>
      <w:pPr>
        <w:spacing w:after="0" w:line="208" w:lineRule="exact"/>
        <w:rPr>
          <w:sz w:val="20"/>
          <w:szCs w:val="20"/>
          <w:color w:val="auto"/>
        </w:rPr>
      </w:pPr>
    </w:p>
    <w:p>
      <w:pPr>
        <w:ind w:right="300" w:firstLine="555"/>
        <w:spacing w:after="0" w:line="255" w:lineRule="auto"/>
        <w:rPr>
          <w:sz w:val="20"/>
          <w:szCs w:val="20"/>
          <w:color w:val="auto"/>
        </w:rPr>
      </w:pPr>
      <w:r>
        <w:rPr>
          <w:rFonts w:ascii="Arial" w:cs="Arial" w:eastAsia="Arial" w:hAnsi="Arial"/>
          <w:sz w:val="18"/>
          <w:szCs w:val="18"/>
          <w:color w:val="auto"/>
        </w:rPr>
        <w:t>On or after September 15, 2021, the Company may redeem all or a portion of the 6% Senior Notes due 2026 upon not less than 30 nor more than 60 days’ notice, at the redemption prices (expressed as percentages of the principal amount) set forth below plus accrued and unpaid interest and additional interest, if any, on the 6% Senior Notes due 2026 redeemed, to the applicable redemption date, if redeemed during the 12-month period beginning on September 15 of the years indicated below:</w:t>
      </w:r>
    </w:p>
    <w:p>
      <w:pPr>
        <w:spacing w:after="0" w:line="196" w:lineRule="exact"/>
        <w:rPr>
          <w:sz w:val="20"/>
          <w:szCs w:val="20"/>
          <w:color w:val="auto"/>
        </w:rPr>
      </w:pPr>
    </w:p>
    <w:tbl>
      <w:tblPr>
        <w:tblLayout w:type="fixed"/>
        <w:tblInd w:w="2300" w:type="dxa"/>
        <w:tblCellMar>
          <w:top w:w="0" w:type="dxa"/>
          <w:left w:w="0" w:type="dxa"/>
          <w:bottom w:w="0" w:type="dxa"/>
          <w:right w:w="0" w:type="dxa"/>
        </w:tblCellMar>
      </w:tblPr>
      <w:tr>
        <w:trPr>
          <w:trHeight w:val="170"/>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140" w:type="dxa"/>
            <w:vAlign w:val="bottom"/>
          </w:tcPr>
          <w:p>
            <w:pPr>
              <w:jc w:val="right"/>
              <w:ind w:right="154"/>
              <w:spacing w:after="0"/>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4"/>
                <w:szCs w:val="14"/>
                <w:color w:val="auto"/>
              </w:rPr>
            </w:pPr>
          </w:p>
        </w:tc>
      </w:tr>
      <w:tr>
        <w:trPr>
          <w:trHeight w:val="221"/>
        </w:trPr>
        <w:tc>
          <w:tcPr>
            <w:tcW w:w="5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104.500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34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101.500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460" w:type="dxa"/>
            <w:vAlign w:val="bottom"/>
            <w:gridSpan w:val="2"/>
          </w:tcPr>
          <w:p>
            <w:pPr>
              <w:spacing w:after="0"/>
              <w:rPr>
                <w:sz w:val="20"/>
                <w:szCs w:val="20"/>
                <w:color w:val="auto"/>
              </w:rPr>
            </w:pPr>
            <w:r>
              <w:rPr>
                <w:rFonts w:ascii="Arial" w:cs="Arial" w:eastAsia="Arial" w:hAnsi="Arial"/>
                <w:sz w:val="18"/>
                <w:szCs w:val="18"/>
                <w:color w:val="auto"/>
              </w:rPr>
              <w:t>2024 and thereafter</w:t>
            </w:r>
          </w:p>
        </w:tc>
        <w:tc>
          <w:tcPr>
            <w:tcW w:w="114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ind w:right="100" w:firstLine="555"/>
        <w:spacing w:after="0" w:line="269" w:lineRule="auto"/>
        <w:rPr>
          <w:sz w:val="20"/>
          <w:szCs w:val="20"/>
          <w:color w:val="auto"/>
        </w:rPr>
      </w:pPr>
      <w:r>
        <w:rPr>
          <w:rFonts w:ascii="Arial" w:cs="Arial" w:eastAsia="Arial" w:hAnsi="Arial"/>
          <w:sz w:val="17"/>
          <w:szCs w:val="17"/>
          <w:color w:val="auto"/>
        </w:rPr>
        <w:t>Prior to September 15, 2021, we may redeem all or a portion of the 6% Senior Notes due 2026 at a price equal to 100% of the 6% Senior Notes due 2026 redeemed plus accrued and unpaid interest to the redemption date, plus a make-whole premium. At any time prior to September 15, 2021, we are also entitled to redeem up to 35% of the original aggregate principal amount of the 6% Senior Notes due 2026 with proceeds of certain equity financings at a redemption price equal to 106% of the principal amount of the 6% Senior Notes due 2026 redeemed, plus accrued and unpaid interest. Upon the occurrence of a Change of Control (if the 6% Senior Notes due 2026 do not have investment grade status) or a Change of Control Triggering Event (each as defined in the 2026 Indenture), the Company must offer to repurchase the 6% Senior Notes due 2026 at 101% of their principal amount, plus accrued and unpaid interest to the applicable repurchase date.</w:t>
      </w:r>
    </w:p>
    <w:p>
      <w:pPr>
        <w:spacing w:after="0" w:line="179" w:lineRule="exact"/>
        <w:rPr>
          <w:sz w:val="20"/>
          <w:szCs w:val="20"/>
          <w:color w:val="auto"/>
        </w:rPr>
      </w:pPr>
    </w:p>
    <w:p>
      <w:pPr>
        <w:jc w:val="both"/>
        <w:ind w:right="20" w:firstLine="555"/>
        <w:spacing w:after="0" w:line="259" w:lineRule="auto"/>
        <w:rPr>
          <w:sz w:val="20"/>
          <w:szCs w:val="20"/>
          <w:color w:val="auto"/>
        </w:rPr>
      </w:pPr>
      <w:r>
        <w:rPr>
          <w:rFonts w:ascii="Arial" w:cs="Arial" w:eastAsia="Arial" w:hAnsi="Arial"/>
          <w:sz w:val="18"/>
          <w:szCs w:val="18"/>
          <w:color w:val="auto"/>
        </w:rPr>
        <w:t>If the Company sells assets under certain circumstances and does not use the proceeds for specified purposes, the Company must apply the net proceeds of such sale to make an offer to repurchase the 6% Senior Notes due 2026 at 100% of their principal amount, plus accrued and unpaid interest to the applicable repurchase date.</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6% Senior Notes due 2026 are subject to redemption imposed by gaming laws and regulations of applicable gaming regulatory authorities.</w:t>
      </w:r>
    </w:p>
    <w:p>
      <w:pPr>
        <w:spacing w:after="0" w:line="23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2026 Indenture contains certain covenants limiting, among other things, the Company’s ability to:</w:t>
      </w:r>
    </w:p>
    <w:p>
      <w:pPr>
        <w:spacing w:after="0" w:line="114" w:lineRule="exact"/>
        <w:rPr>
          <w:sz w:val="20"/>
          <w:szCs w:val="20"/>
          <w:color w:val="auto"/>
        </w:rPr>
      </w:pPr>
    </w:p>
    <w:p>
      <w:pPr>
        <w:ind w:left="1100" w:hanging="544"/>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create, incur or suffer to exist certain liens;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 dividends or make distributions on capital stock or repurchase capital stock;</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place restrictions on the ability of subsidiaries to pay dividends or make other distributions to the Issuer;</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sell certain assets or merge with or consolidate into other companies; and</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enter into certain types of transactions with the stockholders and affiliates.</w:t>
      </w:r>
    </w:p>
    <w:p>
      <w:pPr>
        <w:spacing w:after="0" w:line="2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These covenants are subject to a number of exceptions and qualifications as set forth in the 2026 Indenture. The 2026 Indenture also provides for events of default which, if any of them occurs, would permit or require the principal of and accrued interest on such 6% Senior Notes due 2026 to be declared due and payable.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6" w:name="page67"/>
    <w:bookmarkEnd w:id="66"/>
    <w:p>
      <w:pPr>
        <w:ind w:right="140" w:firstLine="555"/>
        <w:spacing w:after="0" w:line="307" w:lineRule="auto"/>
        <w:rPr>
          <w:sz w:val="20"/>
          <w:szCs w:val="20"/>
          <w:color w:val="auto"/>
        </w:rPr>
      </w:pPr>
      <w:r>
        <w:rPr>
          <w:rFonts w:ascii="Arial" w:cs="Arial" w:eastAsia="Arial" w:hAnsi="Arial"/>
          <w:sz w:val="16"/>
          <w:szCs w:val="16"/>
          <w:color w:val="auto"/>
        </w:rPr>
        <w:t>The Company applied the net proceeds of the sale of the 6% Senior Notes due 2026, together with borrowings under its existing revolving credit, cash on hand and Tropicana’s cash on hand, to pay the consideration payable by the Company pursuant to the merger agreement, repay all of the debt outstanding under Tropicana’s existing credit facility and pay fees and costs associated with the Tropicana Acquisition that closed on October 1, 2018.</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and Revolving Credit Facility</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is party to a credit agreement with JPMorgan Chase Bank, N.A., as administrative agent, and the lenders party thereto dated as of</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April 17, 2017 (as amended, the “Credit Facility”), consisting of a $1.45 billion term loan facility (the “Term Loan Facility” or “Term Loan”) and a</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$500.0 million revolving credit facility (the “Revolving Credit Facility”). The Company’s obligations under the Revolving Credit Facility will mature on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October 1, 2023. The Company’s obligations under the Term Loan Facility will mature on April 17, 2024. The Company was required to make quarterly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principal payments of $3.6 million on the Term Loan Facility on the last day of each fiscal quarter beginning on June 30, 2017 but satisfied this requirement as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 result of the principal prepayment of $444.5 million on September 13, 2017 in conjunction with the issuance of the additional 6% Senior Notes due 2025. In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addition, the Company is required to make mandatory payments of amounts outstanding under the Credit Facility with the proceeds of certain casualty events,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debt issuances, and asset sales and, depending on its consolidated total leverage ratio, the Company may be required to apply a portion of its excess cash flow</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to repay amounts outstanding under the Credit Facility.</w:t>
      </w:r>
    </w:p>
    <w:p>
      <w:pPr>
        <w:spacing w:after="0" w:line="249"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As of December 31, 2019, we had $498.8 million of borrowings outstanding under the Term Loan and no outstanding balance under the Revolving Credit Facility. We had $482.0 million of available borrowing capacity, after consideration of $18.0 million in outstanding letters of credit, under our Revolving Credit Facility as of December 31, 2019. In 2019, we utilized $360.0 million of net proceeds from the sales of Presque, Mountaineer, Cape Girardeau and Caruthersville to repay a portion of amounts outstanding under the Term Loan.</w:t>
      </w:r>
    </w:p>
    <w:p>
      <w:pPr>
        <w:spacing w:after="0" w:line="191"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The interest rate per annum applicable to loans under the Revolving Credit Facility is, at our option, either LIBOR plus a margin ranging from 1.75% to 2.50% or a base rate plus a margin from 0.75% to 1.50%. The margin is based on our total leverage ratio. The interest rate per annum applicable to the loans under the Term Loan Facility is, at our option, either LIBOR plus 2.25% or a base rate plus 1.25%; provided, however, that in no event will LIBOR be less than zero or the base rate be less than 1.00%. Additionally, we pay a commitment fee on the unused portion of the Revolving Credit Facility of 0.50% per annum. As of December 31, 2019, the weighted average interest rate on the Term Loan was 4.05%.</w:t>
      </w:r>
    </w:p>
    <w:p>
      <w:pPr>
        <w:spacing w:after="0" w:line="177" w:lineRule="exact"/>
        <w:rPr>
          <w:sz w:val="20"/>
          <w:szCs w:val="20"/>
          <w:color w:val="auto"/>
        </w:rPr>
      </w:pPr>
    </w:p>
    <w:p>
      <w:pPr>
        <w:ind w:right="80" w:firstLine="555"/>
        <w:spacing w:after="0" w:line="284" w:lineRule="auto"/>
        <w:rPr>
          <w:sz w:val="20"/>
          <w:szCs w:val="20"/>
          <w:color w:val="auto"/>
        </w:rPr>
      </w:pPr>
      <w:r>
        <w:rPr>
          <w:rFonts w:ascii="Arial" w:cs="Arial" w:eastAsia="Arial" w:hAnsi="Arial"/>
          <w:sz w:val="16"/>
          <w:szCs w:val="16"/>
          <w:color w:val="auto"/>
        </w:rPr>
        <w:t>We applied the net proceeds of the Term Loan Facility and borrowings under the Revolving Credit Facility totaling $135 million, together with the proceeds of the 6% Senior Notes due 2025 and cash on hand, to (i) pay the cash portion of the consideration payable in our acquisition of Isle, (ii) refinance all of the debt outstanding under Isle’s existing credit facility, (iii) redeem or otherwise repurchase all of Isle’s outstanding 5.875% Senior Notes due 2021 and</w:t>
      </w:r>
    </w:p>
    <w:p>
      <w:pPr>
        <w:spacing w:after="0" w:line="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8.875% Senior Subordinated Notes due 2020, (iv) repay all amounts outstanding under our prior credit facility and (v) pay fees and costs associated with our acquisition of Isle and such financing transactions.</w:t>
      </w:r>
    </w:p>
    <w:p>
      <w:pPr>
        <w:spacing w:after="0" w:line="188"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Our obligations under the Revolving Credit Facility will mature on October 1, 2023. Our obligations under the Term Loan Facility will mature on April 17, 2024. We were required to make quarterly principal payments in an amount equal to $3.6 million on the Term Loan Facility on the last day of each fiscal quarter beginning on June 30, 2017. We satisfied this requirement as a result of the principal prepayment of $444.5 million on September 13, 2017 in conjunction with the issuance of the additional 6% Senior Notes due 2025. In addition, we are required to make mandatory payments of amounts outstanding under the Credit Facility with the proceeds of certain casualty events, debt issuances, and asset sales and, depending on its consolidated total leverage ratio, we are required to apply a portion of its excess cash flow to repay amounts outstanding under the Credit Facility.</w:t>
      </w:r>
    </w:p>
    <w:p>
      <w:pPr>
        <w:spacing w:after="0" w:line="179" w:lineRule="exact"/>
        <w:rPr>
          <w:sz w:val="20"/>
          <w:szCs w:val="20"/>
          <w:color w:val="auto"/>
        </w:rPr>
      </w:pPr>
    </w:p>
    <w:p>
      <w:pPr>
        <w:ind w:right="240" w:firstLine="555"/>
        <w:spacing w:after="0" w:line="288" w:lineRule="auto"/>
        <w:rPr>
          <w:sz w:val="20"/>
          <w:szCs w:val="20"/>
          <w:color w:val="auto"/>
        </w:rPr>
      </w:pPr>
      <w:r>
        <w:rPr>
          <w:rFonts w:ascii="Arial" w:cs="Arial" w:eastAsia="Arial" w:hAnsi="Arial"/>
          <w:sz w:val="16"/>
          <w:szCs w:val="16"/>
          <w:color w:val="auto"/>
        </w:rPr>
        <w:t>The Credit Facility is secured by substantially all of our personal property assets and substantially all personal property assets of each subsidiary that guaranties the Credit Facility (other than certain subsidiary guarantors designated as immaterial), whether owned on the closing date of the Credit Facility or thereafter acquired, and mortgages on the real property and improvements owned or leased by us or the credit facility guarantors. The Credit Facility is also secured by a pledge of all of the equity owned by us and the credit facility guarantors (subject to certain gaming law restrictions). The credit agreement governing the Credit Facility contains a number of customary covenants that, among other things, restrict, subject to certain exceptions, our ability and the ability of the Credit Facility guarantors to incur additional indebtedness, create liens, engage in mergers, consolidations or asset dispositions, make distributions, make investments, loans or advances, engage in certain transactions with affiliates or subsidiaries or make capital expenditures.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7" w:name="page68"/>
    <w:bookmarkEnd w:id="67"/>
    <w:p>
      <w:pPr>
        <w:ind w:right="40" w:firstLine="555"/>
        <w:spacing w:after="0" w:line="282" w:lineRule="auto"/>
        <w:rPr>
          <w:sz w:val="20"/>
          <w:szCs w:val="20"/>
          <w:color w:val="auto"/>
        </w:rPr>
      </w:pPr>
      <w:r>
        <w:rPr>
          <w:rFonts w:ascii="Arial" w:cs="Arial" w:eastAsia="Arial" w:hAnsi="Arial"/>
          <w:sz w:val="17"/>
          <w:szCs w:val="17"/>
          <w:color w:val="auto"/>
        </w:rPr>
        <w:t>The Credit Facility contains a number of customary covenants that, among other things, restrict, subject to certain exceptions, our ability and the ability of the subsidiary guarantors to incur debt; create liens; engage in mergers, consolidations or asset dispositions; pay dividends or make distributions; make investments, loans or advances; engage in certain transactions with affiliates or subsidiaries; or modify their lines of business.</w:t>
      </w:r>
    </w:p>
    <w:p>
      <w:pPr>
        <w:spacing w:after="0" w:line="167" w:lineRule="exact"/>
        <w:rPr>
          <w:sz w:val="20"/>
          <w:szCs w:val="20"/>
          <w:color w:val="auto"/>
        </w:rPr>
      </w:pPr>
    </w:p>
    <w:p>
      <w:pPr>
        <w:ind w:right="40" w:firstLine="555"/>
        <w:spacing w:after="0" w:line="287" w:lineRule="auto"/>
        <w:rPr>
          <w:sz w:val="20"/>
          <w:szCs w:val="20"/>
          <w:color w:val="auto"/>
        </w:rPr>
      </w:pPr>
      <w:r>
        <w:rPr>
          <w:rFonts w:ascii="Arial" w:cs="Arial" w:eastAsia="Arial" w:hAnsi="Arial"/>
          <w:sz w:val="16"/>
          <w:szCs w:val="16"/>
          <w:color w:val="auto"/>
        </w:rPr>
        <w:t>The Credit Facility also includes certain financial covenants, including the requirements that we maintain throughout the term of the Credit Facility and measured as of the end of each fiscal quarter, and solely with respect to loans under the Revolving Credit Facility, a maximum consolidated total leverage ratio of not more than 6.50 to 1.00 for the period beginning on the closing date and ending with the fiscal quarter ending December 31, 2018, 6.00 to 1.00 for the period beginning with the fiscal quarter beginning January 1, 2019 and ending with the fiscal quarter ending December 31, 2019, and 5.50 to 1.00 for the period beginning with the fiscal quarter beginning January 1, 2020 and thereafter. We will also be required to maintain an interest coverage ratio in an amount not less than 2.00 to 1.00 measured on the last day of each fiscal quarter beginning on the closing date, and ending with the fiscal quarter ending December 31, 2018, 2.50 to 1.00 for the period beginning with the fiscal quarter beginning January 1, 2019 and ending with the fiscal quarter ending December 31, 2019, and 2.75 to 1.00 for the period beginning with the fiscal quarter beginning January 1, 2020 and thereafter.</w:t>
      </w:r>
    </w:p>
    <w:p>
      <w:pPr>
        <w:spacing w:after="0" w:line="167" w:lineRule="exact"/>
        <w:rPr>
          <w:sz w:val="20"/>
          <w:szCs w:val="20"/>
          <w:color w:val="auto"/>
        </w:rPr>
      </w:pPr>
    </w:p>
    <w:p>
      <w:pPr>
        <w:ind w:right="40" w:firstLine="555"/>
        <w:spacing w:after="0" w:line="252" w:lineRule="auto"/>
        <w:rPr>
          <w:sz w:val="20"/>
          <w:szCs w:val="20"/>
          <w:color w:val="auto"/>
        </w:rPr>
      </w:pPr>
      <w:r>
        <w:rPr>
          <w:rFonts w:ascii="Arial" w:cs="Arial" w:eastAsia="Arial" w:hAnsi="Arial"/>
          <w:sz w:val="18"/>
          <w:szCs w:val="18"/>
          <w:color w:val="auto"/>
        </w:rPr>
        <w:t>The Credit Facility contains a number of customary events of default, including, among others, for the non-payment of principal, interest or other amounts, the inaccuracy of certain representations and warranties, the failure to perform or observe certain covenants, a cross default to our other indebtedness including the 6% Senior Notes due 2025 and 7% Senior Notes due 2023, certain events of bankruptcy or insolvency; certain ERISA events, the invalidity of certain loan documents, certain changes of control and the loss of certain classes of licenses to conduct gaming. If any event of default occurs, the lenders under the Credit Facility would be entitled to take various actions, including accelerating amounts outstanding thereunder and taking all actions permitted to be taken by a secured creditor.</w:t>
      </w:r>
    </w:p>
    <w:p>
      <w:pPr>
        <w:spacing w:after="0" w:line="195" w:lineRule="exact"/>
        <w:rPr>
          <w:sz w:val="20"/>
          <w:szCs w:val="20"/>
          <w:color w:val="auto"/>
        </w:rPr>
      </w:pPr>
    </w:p>
    <w:p>
      <w:pPr>
        <w:ind w:right="60" w:firstLine="555"/>
        <w:spacing w:after="0" w:line="307" w:lineRule="auto"/>
        <w:rPr>
          <w:sz w:val="20"/>
          <w:szCs w:val="20"/>
          <w:color w:val="auto"/>
        </w:rPr>
      </w:pPr>
      <w:r>
        <w:rPr>
          <w:rFonts w:ascii="Arial" w:cs="Arial" w:eastAsia="Arial" w:hAnsi="Arial"/>
          <w:sz w:val="16"/>
          <w:szCs w:val="16"/>
          <w:color w:val="auto"/>
        </w:rPr>
        <w:t>On June 6, 2018, we executed an amendment that modified certain covenants in the Credit Facility to allow for considerations related to the acquisition of Tropicana. The borrowing capacity of the Revolving Credit Facility increased from $300.0 million to $500.0 million effective substantially concurrently with the consummation of the Tropicana Acquisition on October 1, 2018 and the maturity date of the Revolving Credit Facility extended to October 1, 2023.</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Lumière Loan</w:t>
      </w:r>
    </w:p>
    <w:p>
      <w:pPr>
        <w:spacing w:after="0" w:line="114" w:lineRule="exact"/>
        <w:rPr>
          <w:sz w:val="20"/>
          <w:szCs w:val="20"/>
          <w:color w:val="auto"/>
        </w:rPr>
      </w:pPr>
    </w:p>
    <w:p>
      <w:pPr>
        <w:ind w:firstLine="555"/>
        <w:spacing w:after="0" w:line="265" w:lineRule="auto"/>
        <w:rPr>
          <w:sz w:val="20"/>
          <w:szCs w:val="20"/>
          <w:color w:val="auto"/>
        </w:rPr>
      </w:pPr>
      <w:r>
        <w:rPr>
          <w:rFonts w:ascii="Arial" w:cs="Arial" w:eastAsia="Arial" w:hAnsi="Arial"/>
          <w:sz w:val="17"/>
          <w:szCs w:val="17"/>
          <w:color w:val="auto"/>
        </w:rPr>
        <w:t>We borrowed $246 million from GLPI to fund the purchase price of the real estate underlying Lumière. The Lumière Loan bears interest at a rate equal to (i) 9.09% until October 1, 2019 and (ii) 9.27% until October 1, 2020, and matures on October 1, 2020. The Lumière Loan was secured by a first priority mortgage on the Lumière real property that was released pursuant to its terms on October 1, 2019. In connection with the issuance of the Lumière Loan, we agreed to use our commercially reasonable efforts to transfer one or more of the Grand Victoria Casino, Isle Casino Bettendorf, Isle Casino Hotel Waterloo, Isle of Capri Lula, Lady Luck Casino Vicksburg and Mountaineer Casino, Racetrack and Resort or such other property or properties mutually acceptable to us and GLPI, provided that the aggregate value of such property, individually or collectively, is at least $246 million (the “Replacement Property”), to GLPI with a simultaneous leaseback to us of such Replacement Property. In connection with such Replacement Property sale, (i) we and GLPI will enter into an amendment to the Master Lease to revise the economic terms to include the Replacement Property, (ii) GLPI, or one of its affiliates, will assume the Lumière Loan and Tropicana St. Louis RE’s obligations under the Lumière Loan in consideration of the acquisition of the Replacement Property and our obligations under the Lumière Loan will be deemed to have been satisfied and (iii) in the event the value of the Replacement Property is greater than our outstanding obligations under the Lumière Loan, GLPI will pay us the difference between the value of the Replacement Property and the amount of outstanding obligations under the Lumière Loan. If such Replacement Property transaction is not consummated prior to the maturity date of the Lumière Loan, other than as a result of certain failures to perform by GLPI, then the amounts outstanding will be paid in full and the rent under the Master Lease will automatically increase, subject to certain escalations.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114" w:lineRule="exact"/>
        <w:rPr>
          <w:sz w:val="20"/>
          <w:szCs w:val="20"/>
          <w:color w:val="auto"/>
        </w:rPr>
      </w:pPr>
    </w:p>
    <w:p>
      <w:pPr>
        <w:ind w:right="480" w:firstLine="555"/>
        <w:spacing w:after="0" w:line="271" w:lineRule="auto"/>
        <w:rPr>
          <w:sz w:val="20"/>
          <w:szCs w:val="20"/>
          <w:color w:val="auto"/>
        </w:rPr>
      </w:pPr>
      <w:r>
        <w:rPr>
          <w:rFonts w:ascii="Arial" w:cs="Arial" w:eastAsia="Arial" w:hAnsi="Arial"/>
          <w:sz w:val="18"/>
          <w:szCs w:val="18"/>
          <w:color w:val="auto"/>
        </w:rPr>
        <w:t>As of December 31, 2019, we were in compliance with all of the covenants under the 7% Senior Notes due 2023, 6% Senior Notes due 2025, 6% Senior Notes due 2026, the Credit Facility and the Lumière Loan.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Lease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8" w:name="page69"/>
    <w:bookmarkEnd w:id="68"/>
    <w:p>
      <w:pPr>
        <w:ind w:right="20" w:firstLine="555"/>
        <w:spacing w:after="0" w:line="282" w:lineRule="auto"/>
        <w:rPr>
          <w:sz w:val="20"/>
          <w:szCs w:val="20"/>
          <w:color w:val="auto"/>
        </w:rPr>
      </w:pPr>
      <w:r>
        <w:rPr>
          <w:rFonts w:ascii="Arial" w:cs="Arial" w:eastAsia="Arial" w:hAnsi="Arial"/>
          <w:sz w:val="17"/>
          <w:szCs w:val="17"/>
          <w:color w:val="auto"/>
        </w:rPr>
        <w:t>Our Master Lease is accounted for as a financing obligation and totaled $970.5 million as of December 31, 2019. The Master Lease contains certain covenants, including minimum capital improvement expenditures. As of December 31, 2019, we were in compliance with all of the covenants under the Master Lease. See Note 11 to our Consolidated Financial Statements for additional information about our Master Lease and related matters.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estimated contractual payment obligations as of December 31, 2019:</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54"/>
              <w:spacing w:after="0"/>
              <w:rPr>
                <w:sz w:val="20"/>
                <w:szCs w:val="20"/>
                <w:color w:val="auto"/>
              </w:rPr>
            </w:pPr>
            <w:r>
              <w:rPr>
                <w:rFonts w:ascii="Arial" w:cs="Arial" w:eastAsia="Arial" w:hAnsi="Arial"/>
                <w:sz w:val="14"/>
                <w:szCs w:val="14"/>
                <w:b w:val="1"/>
                <w:bCs w:val="1"/>
                <w:color w:val="auto"/>
                <w:w w:val="97"/>
              </w:rPr>
              <w:t>Less than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More than</w:t>
            </w:r>
          </w:p>
        </w:tc>
      </w:tr>
      <w:tr>
        <w:trPr>
          <w:trHeight w:val="170"/>
        </w:trPr>
        <w:tc>
          <w:tcPr>
            <w:tcW w:w="4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254"/>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34"/>
              <w:spacing w:after="0"/>
              <w:rPr>
                <w:sz w:val="20"/>
                <w:szCs w:val="20"/>
                <w:color w:val="auto"/>
              </w:rPr>
            </w:pPr>
            <w:r>
              <w:rPr>
                <w:rFonts w:ascii="Arial" w:cs="Arial" w:eastAsia="Arial" w:hAnsi="Arial"/>
                <w:sz w:val="14"/>
                <w:szCs w:val="14"/>
                <w:b w:val="1"/>
                <w:bCs w:val="1"/>
                <w:color w:val="auto"/>
                <w:w w:val="99"/>
              </w:rPr>
              <w:t>1 - 3 years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3 - 5 years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5 years</w:t>
            </w:r>
          </w:p>
        </w:tc>
      </w:tr>
      <w:tr>
        <w:trPr>
          <w:trHeight w:val="154"/>
        </w:trPr>
        <w:tc>
          <w:tcPr>
            <w:tcW w:w="4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54"/>
              <w:spacing w:after="0" w:line="154" w:lineRule="exact"/>
              <w:rPr>
                <w:sz w:val="20"/>
                <w:szCs w:val="20"/>
                <w:color w:val="auto"/>
              </w:rPr>
            </w:pPr>
            <w:r>
              <w:rPr>
                <w:rFonts w:ascii="Arial" w:cs="Arial" w:eastAsia="Arial" w:hAnsi="Arial"/>
                <w:sz w:val="14"/>
                <w:szCs w:val="14"/>
                <w:b w:val="1"/>
                <w:bCs w:val="1"/>
                <w:color w:val="auto"/>
                <w:w w:val="96"/>
              </w:rPr>
              <w:t>(in millions)</w:t>
            </w: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7"/>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Contractual cash obligations: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Long-term debt obligations(1)</w:t>
            </w:r>
          </w:p>
        </w:tc>
        <w:tc>
          <w:tcPr>
            <w:tcW w:w="10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2,597.3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246.2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874.1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1,476.7</w:t>
            </w:r>
          </w:p>
        </w:tc>
        <w:tc>
          <w:tcPr>
            <w:tcW w:w="120" w:type="dxa"/>
            <w:vAlign w:val="bottom"/>
          </w:tcPr>
          <w:p>
            <w:pPr>
              <w:spacing w:after="0"/>
              <w:rPr>
                <w:sz w:val="19"/>
                <w:szCs w:val="19"/>
                <w:color w:val="auto"/>
              </w:rPr>
            </w:pPr>
          </w:p>
        </w:tc>
      </w:tr>
      <w:tr>
        <w:trPr>
          <w:trHeight w:val="228"/>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Estimated interest payments on long-term debt(2)</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FF0FC"/>
          </w:tcPr>
          <w:p>
            <w:pPr>
              <w:spacing w:after="0"/>
              <w:rPr>
                <w:sz w:val="19"/>
                <w:szCs w:val="19"/>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Operating leases(3)</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651.4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561.6</w:t>
            </w:r>
          </w:p>
        </w:tc>
        <w:tc>
          <w:tcPr>
            <w:tcW w:w="120" w:type="dxa"/>
            <w:vAlign w:val="bottom"/>
          </w:tcPr>
          <w:p>
            <w:pPr>
              <w:spacing w:after="0"/>
              <w:rPr>
                <w:sz w:val="19"/>
                <w:szCs w:val="19"/>
                <w:color w:val="auto"/>
              </w:rPr>
            </w:pPr>
          </w:p>
        </w:tc>
      </w:tr>
      <w:tr>
        <w:trPr>
          <w:trHeight w:val="228"/>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Purchase and other contractual obligations(4)</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w:t>
            </w:r>
          </w:p>
        </w:tc>
        <w:tc>
          <w:tcPr>
            <w:tcW w:w="120" w:type="dxa"/>
            <w:vAlign w:val="bottom"/>
            <w:shd w:val="clear" w:color="auto" w:fill="CFF0FC"/>
          </w:tcPr>
          <w:p>
            <w:pPr>
              <w:spacing w:after="0"/>
              <w:rPr>
                <w:sz w:val="19"/>
                <w:szCs w:val="19"/>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Minimum purse obligations(5)</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8"/>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Contingent earn-out payments(6)</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Obligation to GLPI(7)</w:t>
            </w:r>
          </w:p>
        </w:tc>
        <w:tc>
          <w:tcPr>
            <w:tcW w:w="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3,871.0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3,412.4</w:t>
            </w:r>
          </w:p>
        </w:tc>
        <w:tc>
          <w:tcPr>
            <w:tcW w:w="120" w:type="dxa"/>
            <w:vAlign w:val="bottom"/>
            <w:tcBorders>
              <w:bottom w:val="single" w:sz="8" w:color="CFF0FC"/>
            </w:tcBorders>
          </w:tcPr>
          <w:p>
            <w:pPr>
              <w:spacing w:after="0"/>
              <w:rPr>
                <w:sz w:val="19"/>
                <w:szCs w:val="19"/>
                <w:color w:val="auto"/>
              </w:rPr>
            </w:pPr>
          </w:p>
        </w:tc>
      </w:tr>
      <w:tr>
        <w:trPr>
          <w:trHeight w:val="221"/>
        </w:trPr>
        <w:tc>
          <w:tcPr>
            <w:tcW w:w="43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7,997.1</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533.1</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516.6</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1,332.2</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5,615.3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ind w:left="560" w:right="200" w:hanging="553"/>
        <w:spacing w:after="0" w:line="255"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amounts are included in our consolidated balance sheets, which are included elsewhere in this report. See Note 11 to our consolidated financial statements for additional information about our debt and related matters.</w:t>
      </w:r>
    </w:p>
    <w:p>
      <w:pPr>
        <w:spacing w:after="0" w:line="1" w:lineRule="exact"/>
        <w:rPr>
          <w:rFonts w:ascii="Arial" w:cs="Arial" w:eastAsia="Arial" w:hAnsi="Arial"/>
          <w:sz w:val="18"/>
          <w:szCs w:val="18"/>
          <w:color w:val="auto"/>
        </w:rPr>
      </w:pPr>
    </w:p>
    <w:p>
      <w:pPr>
        <w:ind w:left="560" w:right="340" w:hanging="553"/>
        <w:spacing w:after="0" w:line="248"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Estimated interest payments on long-term debt are based on LIBOR rates and principal amounts outstanding on the Credit Facility at December 31, 2019.</w:t>
      </w:r>
    </w:p>
    <w:p>
      <w:pPr>
        <w:ind w:left="560" w:hanging="553"/>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operating lease obligations are described in Note 3 to our consolidated financial statements.</w:t>
      </w:r>
    </w:p>
    <w:p>
      <w:pPr>
        <w:spacing w:after="0" w:line="7" w:lineRule="exact"/>
        <w:rPr>
          <w:rFonts w:ascii="Arial" w:cs="Arial" w:eastAsia="Arial" w:hAnsi="Arial"/>
          <w:sz w:val="18"/>
          <w:szCs w:val="18"/>
          <w:color w:val="auto"/>
        </w:rPr>
      </w:pPr>
    </w:p>
    <w:p>
      <w:pPr>
        <w:ind w:left="560" w:hanging="553"/>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any construction or other contracts which are not operating or capital leases.</w:t>
      </w:r>
    </w:p>
    <w:p>
      <w:pPr>
        <w:spacing w:after="0" w:line="7" w:lineRule="exact"/>
        <w:rPr>
          <w:rFonts w:ascii="Arial" w:cs="Arial" w:eastAsia="Arial" w:hAnsi="Arial"/>
          <w:sz w:val="18"/>
          <w:szCs w:val="18"/>
          <w:color w:val="auto"/>
        </w:rPr>
      </w:pPr>
    </w:p>
    <w:p>
      <w:pPr>
        <w:ind w:left="560" w:right="240" w:hanging="553"/>
        <w:spacing w:after="0" w:line="248"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Pompano is required to pay minimum purses of $7.75 million per race year per the terms of the agreement with the horsemen, which expires on May 21, 2020.</w:t>
      </w:r>
    </w:p>
    <w:p>
      <w:pPr>
        <w:ind w:left="560" w:right="20" w:hanging="553"/>
        <w:spacing w:after="0" w:line="214" w:lineRule="exact"/>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connection with the 2003 purchase of Scioto Downs, certain stockholders of Scioto Downs elected the option to receive cash and contingent earn</w:t>
      </w:r>
      <w:r>
        <w:rPr>
          <w:rFonts w:ascii="MS PGothic" w:cs="MS PGothic" w:eastAsia="MS PGothic" w:hAnsi="MS PGothic"/>
          <w:sz w:val="18"/>
          <w:szCs w:val="18"/>
          <w:color w:val="auto"/>
        </w:rPr>
        <w:t>‑</w:t>
      </w:r>
      <w:r>
        <w:rPr>
          <w:rFonts w:ascii="Arial" w:cs="Arial" w:eastAsia="Arial" w:hAnsi="Arial"/>
          <w:sz w:val="18"/>
          <w:szCs w:val="18"/>
          <w:color w:val="auto"/>
        </w:rPr>
        <w:t>out payments (“CEP Rights”) in lieu of all cash for their outstanding shares of Scioto Downs’ common stock. The triggering event occurred when Scioto Downs received its permanent VLT license in May 2012 and commenced gaming operations. As a result, we recorded a liability for the estimated ten-year payout to the stockholders who elected to receive the CEP Rights. The future obligation was calculated based on Scioto Downs’ projected EBITDA for the ten calendar years beginning January 1, 2013.</w:t>
      </w:r>
    </w:p>
    <w:p>
      <w:pPr>
        <w:spacing w:after="0" w:line="1" w:lineRule="exact"/>
        <w:rPr>
          <w:rFonts w:ascii="Arial" w:cs="Arial" w:eastAsia="Arial" w:hAnsi="Arial"/>
          <w:sz w:val="18"/>
          <w:szCs w:val="18"/>
          <w:color w:val="auto"/>
        </w:rPr>
      </w:pPr>
    </w:p>
    <w:p>
      <w:pPr>
        <w:ind w:left="560" w:right="40" w:hanging="553"/>
        <w:spacing w:after="0" w:line="256"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Master Lease annual estimated payments consist of building base rent totaling $60.9 million, land base rent totaling $13.4 million and variable rent totaling $13.4 million. The building base rent includes an annual 2% escalation.</w:t>
      </w:r>
    </w:p>
    <w:p>
      <w:pPr>
        <w:spacing w:after="0" w:line="188" w:lineRule="exact"/>
        <w:rPr>
          <w:sz w:val="20"/>
          <w:szCs w:val="20"/>
          <w:color w:val="auto"/>
        </w:rPr>
      </w:pPr>
    </w:p>
    <w:p>
      <w:pPr>
        <w:ind w:right="280" w:firstLine="555"/>
        <w:spacing w:after="0" w:line="335" w:lineRule="auto"/>
        <w:rPr>
          <w:sz w:val="20"/>
          <w:szCs w:val="20"/>
          <w:color w:val="auto"/>
        </w:rPr>
      </w:pPr>
      <w:r>
        <w:rPr>
          <w:rFonts w:ascii="Arial" w:cs="Arial" w:eastAsia="Arial" w:hAnsi="Arial"/>
          <w:sz w:val="16"/>
          <w:szCs w:val="16"/>
          <w:color w:val="auto"/>
        </w:rPr>
        <w:t>The table above excludes certain commitments as of December 31, 2019, for which the timing of expenditures associated with such commitments is unknown, or contractual agreements have not been executed, or the guaranteed maximum price for such contractual agreements has not been agreed upon.</w:t>
      </w:r>
    </w:p>
    <w:p>
      <w:pPr>
        <w:spacing w:after="0" w:line="129" w:lineRule="exact"/>
        <w:rPr>
          <w:sz w:val="20"/>
          <w:szCs w:val="20"/>
          <w:color w:val="auto"/>
        </w:rPr>
      </w:pPr>
    </w:p>
    <w:p>
      <w:pPr>
        <w:ind w:right="380" w:firstLine="555"/>
        <w:spacing w:after="0" w:line="219" w:lineRule="exact"/>
        <w:rPr>
          <w:sz w:val="20"/>
          <w:szCs w:val="20"/>
          <w:color w:val="auto"/>
        </w:rPr>
      </w:pPr>
      <w:r>
        <w:rPr>
          <w:rFonts w:ascii="Arial" w:cs="Arial" w:eastAsia="Arial" w:hAnsi="Arial"/>
          <w:sz w:val="18"/>
          <w:szCs w:val="18"/>
          <w:color w:val="auto"/>
        </w:rPr>
        <w:t>The repayment of our long</w:t>
      </w:r>
      <w:r>
        <w:rPr>
          <w:rFonts w:ascii="MS PGothic" w:cs="MS PGothic" w:eastAsia="MS PGothic" w:hAnsi="MS PGothic"/>
          <w:sz w:val="18"/>
          <w:szCs w:val="18"/>
          <w:color w:val="auto"/>
        </w:rPr>
        <w:t>‑</w:t>
      </w:r>
      <w:r>
        <w:rPr>
          <w:rFonts w:ascii="Arial" w:cs="Arial" w:eastAsia="Arial" w:hAnsi="Arial"/>
          <w:sz w:val="18"/>
          <w:szCs w:val="18"/>
          <w:color w:val="auto"/>
        </w:rPr>
        <w:t>term debt, which consists of indebtedness evidenced by the 6% Senior Notes due 2025, 6% Senior Notes due 2026, 7% Senior Notes due 2023 and the Credit Facility, is subject to acceleration upon the occurrence of an event of default under the indentures governing these obligations.</w:t>
      </w:r>
    </w:p>
    <w:p>
      <w:pPr>
        <w:spacing w:after="0" w:line="202"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We routinely enter into operational contracts in the ordinary course of our business, including construction contracts for minor projects that are not material to our business or financial condition as a whole. Our commitments relating to these contracts are recognized as liabilities in our consolidated balance sheets when services are provided with respect to such contracts.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currently have any off-balance sheet arrangements.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69" w:name="page70"/>
    <w:bookmarkEnd w:id="69"/>
    <w:p>
      <w:pPr>
        <w:ind w:left="560"/>
        <w:spacing w:after="0"/>
        <w:rPr>
          <w:sz w:val="20"/>
          <w:szCs w:val="20"/>
          <w:color w:val="auto"/>
        </w:rPr>
      </w:pPr>
      <w:r>
        <w:rPr>
          <w:rFonts w:ascii="Arial" w:cs="Arial" w:eastAsia="Arial" w:hAnsi="Arial"/>
          <w:sz w:val="18"/>
          <w:szCs w:val="18"/>
          <w:color w:val="auto"/>
        </w:rPr>
        <w:t>We do not believe that inflation has had a significant impact on our revenues, results of operations or cash flows since inception.</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18" w:lineRule="exact"/>
        <w:rPr>
          <w:sz w:val="20"/>
          <w:szCs w:val="20"/>
          <w:color w:val="auto"/>
        </w:rPr>
      </w:pPr>
    </w:p>
    <w:p>
      <w:pPr>
        <w:ind w:right="20" w:firstLine="555"/>
        <w:spacing w:after="0" w:line="275" w:lineRule="auto"/>
        <w:rPr>
          <w:sz w:val="20"/>
          <w:szCs w:val="20"/>
          <w:color w:val="auto"/>
        </w:rPr>
      </w:pPr>
      <w:r>
        <w:rPr>
          <w:rFonts w:ascii="Arial" w:cs="Arial" w:eastAsia="Arial" w:hAnsi="Arial"/>
          <w:sz w:val="17"/>
          <w:szCs w:val="17"/>
          <w:color w:val="auto"/>
        </w:rPr>
        <w:t>We are faced with certain contingencies involving litigation and environmental remediation and compliance. These commitments and contingencies are discussed in greater detail in “</w:t>
      </w:r>
      <w:r>
        <w:rPr>
          <w:rFonts w:ascii="Arial" w:cs="Arial" w:eastAsia="Arial" w:hAnsi="Arial"/>
          <w:sz w:val="17"/>
          <w:szCs w:val="17"/>
          <w:i w:val="1"/>
          <w:iCs w:val="1"/>
          <w:color w:val="auto"/>
        </w:rPr>
        <w:t>Part I, Item 3. Legal Proceedings</w:t>
      </w:r>
      <w:r>
        <w:rPr>
          <w:rFonts w:ascii="Arial" w:cs="Arial" w:eastAsia="Arial" w:hAnsi="Arial"/>
          <w:sz w:val="17"/>
          <w:szCs w:val="17"/>
          <w:color w:val="auto"/>
        </w:rPr>
        <w:t>” and Note 18 to our consolidated financial statements, both of which are included elsewhere in this report. In addition, new competition may have a material adverse effect on our revenues and could have a similar adverse effect on our liquidity. See “</w:t>
      </w:r>
      <w:r>
        <w:rPr>
          <w:rFonts w:ascii="Arial" w:cs="Arial" w:eastAsia="Arial" w:hAnsi="Arial"/>
          <w:sz w:val="17"/>
          <w:szCs w:val="17"/>
          <w:i w:val="1"/>
          <w:iCs w:val="1"/>
          <w:color w:val="auto"/>
        </w:rPr>
        <w:t>Part I, Item 1A. Risk Factors—Risks Related to Our Business</w:t>
      </w:r>
      <w:r>
        <w:rPr>
          <w:rFonts w:ascii="Arial" w:cs="Arial" w:eastAsia="Arial" w:hAnsi="Arial"/>
          <w:sz w:val="17"/>
          <w:szCs w:val="17"/>
          <w:color w:val="auto"/>
        </w:rPr>
        <w:t>” which is included elsewhere in this report.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18" w:lineRule="exact"/>
        <w:rPr>
          <w:sz w:val="20"/>
          <w:szCs w:val="20"/>
          <w:color w:val="auto"/>
        </w:rPr>
      </w:pPr>
    </w:p>
    <w:p>
      <w:pPr>
        <w:ind w:right="160" w:firstLine="555"/>
        <w:spacing w:after="0" w:line="307" w:lineRule="auto"/>
        <w:rPr>
          <w:sz w:val="20"/>
          <w:szCs w:val="20"/>
          <w:color w:val="auto"/>
        </w:rPr>
      </w:pPr>
      <w:r>
        <w:rPr>
          <w:rFonts w:ascii="Arial" w:cs="Arial" w:eastAsia="Arial" w:hAnsi="Arial"/>
          <w:sz w:val="16"/>
          <w:szCs w:val="16"/>
          <w:color w:val="auto"/>
        </w:rPr>
        <w:t>Our significant accounting policies are included in Note 2 to our consolidated financial statements, which are included elsewhere in this report. These policies, along with the underlying assumptions and judgments made by our management in their application, have a significant impact on our consolidated financial statements. These judgments are subject to an inherent degree of uncertainty and actual results could differ from our estimates.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4"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We applied the provisions of Accounting Standards Codification (“ASC”) Topic 805, “Business Combinations,” in the accounting for our acquisitions of Isle, Elgin, Tropicana and our previous acquisitions. It required us to recognize the assets acquired and the liabilities assumed at their acquisition date fair values. Goodwill as of their respective acquisition dates were measured as the excess of consideration transferred over the net of the acquisition date fair values of the assets acquired and the liabilities assumed.</w:t>
      </w:r>
    </w:p>
    <w:p>
      <w:pPr>
        <w:spacing w:after="0" w:line="191" w:lineRule="exact"/>
        <w:rPr>
          <w:sz w:val="20"/>
          <w:szCs w:val="20"/>
          <w:color w:val="auto"/>
        </w:rPr>
      </w:pPr>
    </w:p>
    <w:p>
      <w:pPr>
        <w:ind w:right="20" w:firstLine="555"/>
        <w:spacing w:after="0" w:line="281" w:lineRule="auto"/>
        <w:rPr>
          <w:sz w:val="20"/>
          <w:szCs w:val="20"/>
          <w:color w:val="auto"/>
        </w:rPr>
      </w:pPr>
      <w:r>
        <w:rPr>
          <w:rFonts w:ascii="Arial" w:cs="Arial" w:eastAsia="Arial" w:hAnsi="Arial"/>
          <w:sz w:val="16"/>
          <w:szCs w:val="16"/>
          <w:color w:val="auto"/>
        </w:rPr>
        <w:t>Accounting for business combinations required our management to make significant estimates and assumptions, including our estimate of the fair value of intangible assets, such as gaming licenses, trade names and loyalty programs. Although we believe the assumptions and estimates made have been reasonable and appropriate, they are inherently uncertain. For our gaming license valuation, our properties’ estimated future cash flows were the primary assumption in the respective intangible valuations. Cash flow estimates included assumptions regarding factors such as recent and budgeted operating performance, net win per unit (revenue), patron visits and growth percentages. The growth percentages were developed considering general macroeconomic conditions as well as competitive impacts from current and anticipated competition through a review of customer market data, operating margins, and current regulatory, social and economic climates. The most significant of the assumptions used in the valuations included: (1) revenue growth/decline percentages;</w:t>
      </w:r>
    </w:p>
    <w:p>
      <w:pPr>
        <w:spacing w:after="0" w:line="4" w:lineRule="exact"/>
        <w:rPr>
          <w:sz w:val="20"/>
          <w:szCs w:val="20"/>
          <w:color w:val="auto"/>
        </w:rPr>
      </w:pPr>
    </w:p>
    <w:p>
      <w:pPr>
        <w:ind w:firstLine="7"/>
        <w:spacing w:after="0" w:line="250" w:lineRule="auto"/>
        <w:tabs>
          <w:tab w:leader="none" w:pos="2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discount rates; (3) effective income tax rates; (4) future terminal values and (5) capital expenditure assumptions. These assumptions were developed for each of our properties based on historical trends in the current competitive markets in which they operate, and projections of future performance and competition. The primary assumptions with respect to our trade names and loyalty program intangibles were the appropriate royalty rates and cost estimates for replacement cost analyses, respectively.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 and Pari-mutuel Commissions</w:t>
      </w:r>
    </w:p>
    <w:p>
      <w:pPr>
        <w:spacing w:after="0" w:line="114" w:lineRule="exact"/>
        <w:rPr>
          <w:sz w:val="20"/>
          <w:szCs w:val="20"/>
          <w:color w:val="auto"/>
        </w:rPr>
      </w:pPr>
    </w:p>
    <w:p>
      <w:pPr>
        <w:ind w:right="220" w:firstLine="555"/>
        <w:spacing w:after="0" w:line="268" w:lineRule="auto"/>
        <w:rPr>
          <w:sz w:val="20"/>
          <w:szCs w:val="20"/>
          <w:color w:val="auto"/>
        </w:rPr>
      </w:pPr>
      <w:r>
        <w:rPr>
          <w:rFonts w:ascii="Arial" w:cs="Arial" w:eastAsia="Arial" w:hAnsi="Arial"/>
          <w:sz w:val="17"/>
          <w:szCs w:val="17"/>
          <w:color w:val="auto"/>
        </w:rPr>
        <w:t>The Company recognizes net win from gaming activities as casino revenue, which is the difference between gaming wins and losses, not the total amount wagered. Progressive jackpots are accrued and charged to revenue at the time the obligation to pay the jackpot is established. Gaming revenues are recognized net of certain cash and free play incentives. Pari-mutuel commissions consist of commissions earned from thoroughbred and harness racing and importing of simulcast signals from other race tracks and are recognized at the time wagers are made. Such commissions are a designated portion of the wagering handle as determined by state racing commissions and are shown net of the taxes assessed by state and local agencies, as well as purses and other contractual amounts paid to horsemen associations. The Company recognizes revenues from fees earned through the exporting of simulcast signals to other race tracks at the time wagers are made and are recorded on a gross basis. Such fees are based upon a predetermined percentage of handle as contracted with the other race tracks.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Non-gaming Revenue</w:t>
      </w:r>
    </w:p>
    <w:p>
      <w:pPr>
        <w:spacing w:after="0" w:line="114"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Hotel, food and beverage, and other operating revenues are recognized as services are performed. The revenue for hotel, food and beverage contracts is the net amount collected from the customer for such goods and services. Hotel, food and beverage services have been determined to be separate, stand-alone performance obligations and the transaction price for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446" w:right="259" w:bottom="1440" w:gutter="0" w:footer="0" w:header="0"/>
        </w:sectPr>
      </w:pPr>
    </w:p>
    <w:bookmarkStart w:id="70" w:name="page71"/>
    <w:bookmarkEnd w:id="70"/>
    <w:p>
      <w:pPr>
        <w:jc w:val="both"/>
        <w:ind w:right="40"/>
        <w:spacing w:after="0" w:line="275" w:lineRule="auto"/>
        <w:rPr>
          <w:sz w:val="20"/>
          <w:szCs w:val="20"/>
          <w:color w:val="auto"/>
        </w:rPr>
      </w:pPr>
      <w:r>
        <w:rPr>
          <w:rFonts w:ascii="Arial" w:cs="Arial" w:eastAsia="Arial" w:hAnsi="Arial"/>
          <w:sz w:val="17"/>
          <w:szCs w:val="17"/>
          <w:color w:val="auto"/>
        </w:rPr>
        <w:t>such contracts is recorded as revenue as the good or service is transferred to the customer over the customer’s stay at the hotel or when the delivery is made for the food and beverage. Advance deposits for future hotel occupancy, convention space or food and beverage services contracts are recorded as deferred income until the revenue recognition criteria has been met. The Company also provides goods and services that may include multiple performance obligations, such as for packages, for which revenues are allocated on a pro rata basis based on each service's stand-alone selling price.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Complimentaries</w:t>
      </w:r>
    </w:p>
    <w:p>
      <w:pPr>
        <w:spacing w:after="0" w:line="114"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The Company offers discretionary coupons and other discretionary complimentaries to customers outside of the loyalty program. The retail value of complimentary food, beverage, hotel rooms and other services provided to customers is recognized as a reduction of revenues for the department which issued the complimentary and revenue for the department redeemed. Complimentaries provided by third parties at the discretion and under the control of the Company is recorded as an expense when incurred.</w:t>
      </w:r>
    </w:p>
    <w:p>
      <w:pPr>
        <w:spacing w:after="0" w:line="191" w:lineRule="exact"/>
        <w:rPr>
          <w:sz w:val="20"/>
          <w:szCs w:val="20"/>
          <w:color w:val="auto"/>
        </w:rPr>
      </w:pPr>
    </w:p>
    <w:p>
      <w:pPr>
        <w:ind w:right="80" w:firstLine="555"/>
        <w:spacing w:after="0" w:line="335" w:lineRule="auto"/>
        <w:rPr>
          <w:sz w:val="20"/>
          <w:szCs w:val="20"/>
          <w:color w:val="auto"/>
        </w:rPr>
      </w:pPr>
      <w:r>
        <w:rPr>
          <w:rFonts w:ascii="Arial" w:cs="Arial" w:eastAsia="Arial" w:hAnsi="Arial"/>
          <w:sz w:val="16"/>
          <w:szCs w:val="16"/>
          <w:color w:val="auto"/>
        </w:rPr>
        <w:t>For information with respect to our adoption of ASU No. 2014-09, “Revenue from Contracts with Customers,” (Topic 606) effective January 1, 2018, see “</w:t>
      </w:r>
      <w:r>
        <w:rPr>
          <w:rFonts w:ascii="Arial" w:cs="Arial" w:eastAsia="Arial" w:hAnsi="Arial"/>
          <w:sz w:val="16"/>
          <w:szCs w:val="16"/>
          <w:i w:val="1"/>
          <w:iCs w:val="1"/>
          <w:color w:val="auto"/>
        </w:rPr>
        <w:t>Note 2, Summary of Significant Accounting Policies – Recently Issued Accounting Pronouncements,</w:t>
      </w:r>
      <w:r>
        <w:rPr>
          <w:rFonts w:ascii="Arial" w:cs="Arial" w:eastAsia="Arial" w:hAnsi="Arial"/>
          <w:sz w:val="16"/>
          <w:szCs w:val="16"/>
          <w:color w:val="auto"/>
        </w:rPr>
        <w:t>” in the notes to the consolidated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4" w:lineRule="exact"/>
        <w:rPr>
          <w:sz w:val="20"/>
          <w:szCs w:val="20"/>
          <w:color w:val="auto"/>
        </w:rPr>
      </w:pPr>
    </w:p>
    <w:p>
      <w:pPr>
        <w:ind w:right="300" w:firstLine="555"/>
        <w:spacing w:after="0" w:line="255" w:lineRule="auto"/>
        <w:rPr>
          <w:sz w:val="20"/>
          <w:szCs w:val="20"/>
          <w:color w:val="auto"/>
        </w:rPr>
      </w:pPr>
      <w:r>
        <w:rPr>
          <w:rFonts w:ascii="Arial" w:cs="Arial" w:eastAsia="Arial" w:hAnsi="Arial"/>
          <w:sz w:val="18"/>
          <w:szCs w:val="18"/>
          <w:color w:val="auto"/>
        </w:rPr>
        <w:t>We and our subsidiaries file US federal income tax returns and various state and local income tax returns. Our income tax returns are subject to examination by the Internal Revenue Service (“IRS”) and other tax authorities. Positions taken in tax returns are sometimes subject to uncertainty in the tax laws and may not ultimately be accepted by the IRS or other tax authorities. See Note 13 in the accompanying consolidated financial statements for a discussion of the status and impact of examinations by tax authorities.</w:t>
      </w:r>
    </w:p>
    <w:p>
      <w:pPr>
        <w:spacing w:after="0" w:line="191" w:lineRule="exact"/>
        <w:rPr>
          <w:sz w:val="20"/>
          <w:szCs w:val="20"/>
          <w:color w:val="auto"/>
        </w:rPr>
      </w:pPr>
    </w:p>
    <w:p>
      <w:pPr>
        <w:ind w:right="20" w:firstLine="555"/>
        <w:spacing w:after="0" w:line="269" w:lineRule="auto"/>
        <w:rPr>
          <w:sz w:val="20"/>
          <w:szCs w:val="20"/>
          <w:color w:val="auto"/>
        </w:rPr>
      </w:pPr>
      <w:r>
        <w:rPr>
          <w:rFonts w:ascii="Arial" w:cs="Arial" w:eastAsia="Arial" w:hAnsi="Arial"/>
          <w:sz w:val="17"/>
          <w:szCs w:val="17"/>
          <w:color w:val="auto"/>
        </w:rPr>
        <w:t>We record income taxes under the asset and liability method, whereby deferred tax assets and liabilities are recognized based on the expected future tax consequences of temporary differences between the financial statement carrying amounts of existing assets and liabilities and their respective tax bases, and as attributable to operating loss and tax credit carryforwards. We reduce the carrying amounts of deferred tax assets by a valuation allowance if, based on the available evidence, it is more likely than not that such assets will not be realized. Accordingly, the need to establish valuation allowances for deferred tax assets is assessed periodically based on the “more likely than not” realization threshold. This assessment considers, among other matters, the nature, frequency, and severity of current and cumulative losses, forecasts of future profitability, the duration of statutory carryforward periods, our experience with operating loss and tax credit carryforwards not expiring unused, and tax planning alternatives.</w:t>
      </w:r>
    </w:p>
    <w:p>
      <w:pPr>
        <w:spacing w:after="0" w:line="179"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A valuation allowance is recognized if, based on the weight of available evidence, it is more-likely-than-not that some portion, or all, of the deferred tax asset will not be realized. Management analyzes all available positive and negative evidence regarding realization of the deferred tax assets and make an assessment of the likelihood of sufficient future taxable income.</w:t>
      </w:r>
    </w:p>
    <w:p>
      <w:pPr>
        <w:spacing w:after="0" w:line="226" w:lineRule="exact"/>
        <w:rPr>
          <w:sz w:val="20"/>
          <w:szCs w:val="20"/>
          <w:color w:val="auto"/>
        </w:rPr>
      </w:pPr>
    </w:p>
    <w:p>
      <w:pPr>
        <w:ind w:right="20" w:firstLine="555"/>
        <w:spacing w:after="0" w:line="216" w:lineRule="exact"/>
        <w:rPr>
          <w:sz w:val="20"/>
          <w:szCs w:val="20"/>
          <w:color w:val="auto"/>
        </w:rPr>
      </w:pPr>
      <w:r>
        <w:rPr>
          <w:rFonts w:ascii="Arial" w:cs="Arial" w:eastAsia="Arial" w:hAnsi="Arial"/>
          <w:sz w:val="18"/>
          <w:szCs w:val="18"/>
          <w:color w:val="auto"/>
        </w:rPr>
        <w:t>Under the applicable accounting standards, we may recognize the tax benefit from an uncertain tax position only if it is more</w:t>
      </w:r>
      <w:r>
        <w:rPr>
          <w:rFonts w:ascii="MS PGothic" w:cs="MS PGothic" w:eastAsia="MS PGothic" w:hAnsi="MS PGothic"/>
          <w:sz w:val="18"/>
          <w:szCs w:val="18"/>
          <w:color w:val="auto"/>
        </w:rPr>
        <w:t>‑</w:t>
      </w:r>
      <w:r>
        <w:rPr>
          <w:rFonts w:ascii="Arial" w:cs="Arial" w:eastAsia="Arial" w:hAnsi="Arial"/>
          <w:sz w:val="18"/>
          <w:szCs w:val="18"/>
          <w:color w:val="auto"/>
        </w:rPr>
        <w:t>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accounting standards also provide guidance on de</w:t>
      </w:r>
      <w:r>
        <w:rPr>
          <w:rFonts w:ascii="MS PGothic" w:cs="MS PGothic" w:eastAsia="MS PGothic" w:hAnsi="MS PGothic"/>
          <w:sz w:val="18"/>
          <w:szCs w:val="18"/>
          <w:color w:val="auto"/>
        </w:rPr>
        <w:t>‑</w:t>
      </w:r>
      <w:r>
        <w:rPr>
          <w:rFonts w:ascii="Arial" w:cs="Arial" w:eastAsia="Arial" w:hAnsi="Arial"/>
          <w:sz w:val="18"/>
          <w:szCs w:val="18"/>
          <w:color w:val="auto"/>
        </w:rPr>
        <w:t>recognition, classification, interest and penalties on income taxes, accounting in interim periods and disclosure requirements for uncertain tax positions. We have recorded no liability associated with uncertain tax positions at December 31, 2019 and 2018.</w:t>
      </w:r>
    </w:p>
    <w:p>
      <w:pPr>
        <w:spacing w:after="0" w:line="339"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Property and Equipment and Other Long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Lived Assets</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Property and equipment are recorded at cost, except for assets acquired in our business combinations which were adjusted for fair value under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ASC 805, and are depreciated over their remaining estimated useful life or lease term. Judgments are made in determining estimated useful lives and salvage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values of these assets. The accuracy of these estimates affects the amount of depreciation expense recognized in our financial results and whether we have 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gain or loss on the disposal of assets. We review depreciation estimates and methods as new events occur, more experience is acquired and additional</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information is obtained that would possibly change our current estimates.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71" w:name="page72"/>
    <w:bookmarkEnd w:id="71"/>
    <w:p>
      <w:pPr>
        <w:ind w:right="20" w:firstLine="555"/>
        <w:spacing w:after="0" w:line="216" w:lineRule="exact"/>
        <w:rPr>
          <w:sz w:val="20"/>
          <w:szCs w:val="20"/>
          <w:color w:val="auto"/>
        </w:rPr>
      </w:pPr>
      <w:r>
        <w:rPr>
          <w:rFonts w:ascii="Arial" w:cs="Arial" w:eastAsia="Arial" w:hAnsi="Arial"/>
          <w:sz w:val="16"/>
          <w:szCs w:val="16"/>
          <w:color w:val="auto"/>
        </w:rPr>
        <w:t>Property, equipment and other long</w:t>
      </w:r>
      <w:r>
        <w:rPr>
          <w:rFonts w:ascii="MS PGothic" w:cs="MS PGothic" w:eastAsia="MS PGothic" w:hAnsi="MS PGothic"/>
          <w:sz w:val="16"/>
          <w:szCs w:val="16"/>
          <w:color w:val="auto"/>
        </w:rPr>
        <w:t>‑</w:t>
      </w:r>
      <w:r>
        <w:rPr>
          <w:rFonts w:ascii="Arial" w:cs="Arial" w:eastAsia="Arial" w:hAnsi="Arial"/>
          <w:sz w:val="16"/>
          <w:szCs w:val="16"/>
          <w:color w:val="auto"/>
        </w:rPr>
        <w:t>lived assets are assessed for impairment in accordance with ASC 360, Property, Plant, and Equipment. We evaluate our long</w:t>
      </w:r>
      <w:r>
        <w:rPr>
          <w:rFonts w:ascii="MS PGothic" w:cs="MS PGothic" w:eastAsia="MS PGothic" w:hAnsi="MS PGothic"/>
          <w:sz w:val="16"/>
          <w:szCs w:val="16"/>
          <w:color w:val="auto"/>
        </w:rPr>
        <w:t>‑</w:t>
      </w:r>
      <w:r>
        <w:rPr>
          <w:rFonts w:ascii="Arial" w:cs="Arial" w:eastAsia="Arial" w:hAnsi="Arial"/>
          <w:sz w:val="16"/>
          <w:szCs w:val="16"/>
          <w:color w:val="auto"/>
        </w:rPr>
        <w:t>lived assets for impairment issues whenever events or circumstances indicate that the carrying amount may not be recoverable. Recoverability of these assets is determined by comparing the net carrying value to the sum of the estimated future net undiscounted cash flows expected to be generated by these assets. The amount of impairment loss, if any, is measured by the difference between the net carrying value and the estimated fair value of the asset which is typically measured using a discounted cash flow model (Level 3 of the fair value hierarchy). For assets to be disposed of, impairment is recognized based on the lower of carrying value or fair value less costs of disposal, as estimated based on comparable asset sales, offers received or a discounted cash flow model. As a result of the agreement to sell Nemacolin, an impairment charge of $3.8 million for the year ended December 31, 2018 was recorded to property and equipment due to the carrying value of net property and equipment being sold exceeding net sales proceeds. Based on the results of our periodic reviews we have not recorded any long-lived assets impairment charges during the years ended December 31, 2019 and 2017.</w:t>
      </w:r>
    </w:p>
    <w:p>
      <w:pPr>
        <w:spacing w:after="0" w:line="202" w:lineRule="exact"/>
        <w:rPr>
          <w:sz w:val="20"/>
          <w:szCs w:val="20"/>
          <w:color w:val="auto"/>
        </w:rPr>
      </w:pPr>
    </w:p>
    <w:p>
      <w:pPr>
        <w:ind w:firstLine="555"/>
        <w:spacing w:after="0" w:line="216" w:lineRule="exact"/>
        <w:rPr>
          <w:sz w:val="20"/>
          <w:szCs w:val="20"/>
          <w:color w:val="auto"/>
        </w:rPr>
      </w:pPr>
      <w:r>
        <w:rPr>
          <w:rFonts w:ascii="Arial" w:cs="Arial" w:eastAsia="Arial" w:hAnsi="Arial"/>
          <w:sz w:val="17"/>
          <w:szCs w:val="17"/>
          <w:color w:val="auto"/>
        </w:rPr>
        <w:t>For undeveloped properties, including non</w:t>
      </w:r>
      <w:r>
        <w:rPr>
          <w:rFonts w:ascii="MS PGothic" w:cs="MS PGothic" w:eastAsia="MS PGothic" w:hAnsi="MS PGothic"/>
          <w:sz w:val="17"/>
          <w:szCs w:val="17"/>
          <w:color w:val="auto"/>
        </w:rPr>
        <w:t>‑</w:t>
      </w:r>
      <w:r>
        <w:rPr>
          <w:rFonts w:ascii="Arial" w:cs="Arial" w:eastAsia="Arial" w:hAnsi="Arial"/>
          <w:sz w:val="17"/>
          <w:szCs w:val="17"/>
          <w:color w:val="auto"/>
        </w:rPr>
        <w:t>operating real properties, when indicators of impairment are present, properties are evaluated for impairment and losses are recorded when undiscounted cash flows estimated to be generated by an asset or market comparisons are less than the asset’s carrying amount. The amount of the impairment loss is calculated as the excess of the asset’s carrying value over its fair value, which is determined using a discounted cash flow analysis, management estimates or market comparisons. The fair value measurements employed for our impairment evaluations, which are subject to the assumptions and factors as previously discussed, were generally based on a review of comparable activities in the marketplace, which fall within Level 3 of the fair value hierarchy. As a result of the sale of certain non-operating real property located in Pennsylvania, we recognized an impairment charge of $1.0 million during the year ended December 31, 2019.</w:t>
      </w:r>
    </w:p>
    <w:p>
      <w:pPr>
        <w:spacing w:after="0" w:line="309"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Goodwill and Other Indefinite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lived Intangible Assets</w:t>
      </w:r>
    </w:p>
    <w:p>
      <w:pPr>
        <w:spacing w:after="0" w:line="114" w:lineRule="exact"/>
        <w:rPr>
          <w:sz w:val="20"/>
          <w:szCs w:val="20"/>
          <w:color w:val="auto"/>
        </w:rPr>
      </w:pPr>
    </w:p>
    <w:p>
      <w:pPr>
        <w:ind w:firstLine="555"/>
        <w:spacing w:after="0" w:line="267" w:lineRule="auto"/>
        <w:rPr>
          <w:sz w:val="20"/>
          <w:szCs w:val="20"/>
          <w:color w:val="auto"/>
        </w:rPr>
      </w:pPr>
      <w:r>
        <w:rPr>
          <w:rFonts w:ascii="Arial" w:cs="Arial" w:eastAsia="Arial" w:hAnsi="Arial"/>
          <w:sz w:val="17"/>
          <w:szCs w:val="17"/>
          <w:color w:val="auto"/>
        </w:rPr>
        <w:t>Goodwill represents the excess of purchase price over fair market value of net assets acquired in business combinations. Intangible assets acquired in business combinations are recorded based upon their fair value at the date of acquisition. Goodwill and indefinite-lived intangible assets must be reviewed for impairment at least annually and between annual test dates in certain circumstances. We utilize the option to perform a step zero analysis for each of our reporting units and if we conclude it was more likely than not that the fair values of certain reporting units are less than their carrying values, then we utilize the two-step quantitative analysis for such reporting units. As a result of our annual impairment tests, none of our reporting units incurred any goodwill impairment charges in 2019 and 2018. For our 2017 annual impairment tests, we concluded it was more likely than not that the fair values of certain reporting units were less than their carrying values and as a result of the two-step quantitative analysis performed in 2017, we recorded impairment charges of $34.9 million and $3.1 million related to goodwill and trade names, respectively. In conjunction with the classification of Vicksburg’s operations as assets held for sale at March 31, 2018, an impairment charge totaling $9.8 million to goodwill was recorded.</w:t>
      </w:r>
    </w:p>
    <w:p>
      <w:pPr>
        <w:spacing w:after="0" w:line="184" w:lineRule="exact"/>
        <w:rPr>
          <w:sz w:val="20"/>
          <w:szCs w:val="20"/>
          <w:color w:val="auto"/>
        </w:rPr>
      </w:pPr>
    </w:p>
    <w:p>
      <w:pPr>
        <w:ind w:right="200" w:firstLine="555"/>
        <w:spacing w:after="0" w:line="219" w:lineRule="exact"/>
        <w:rPr>
          <w:sz w:val="20"/>
          <w:szCs w:val="20"/>
          <w:color w:val="auto"/>
        </w:rPr>
      </w:pPr>
      <w:r>
        <w:rPr>
          <w:rFonts w:ascii="Arial" w:cs="Arial" w:eastAsia="Arial" w:hAnsi="Arial"/>
          <w:sz w:val="18"/>
          <w:szCs w:val="18"/>
          <w:color w:val="auto"/>
        </w:rPr>
        <w:t>Our indefinite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assets consist of racing and gaming licenses and trade names and are evaluated for impairment annually by comparing the fair value of the asset to its carrying value. Any excess of carrying value over the fair value is recognized as an impairment within the consolidated statements of income in the period of review.</w:t>
      </w:r>
    </w:p>
    <w:p>
      <w:pPr>
        <w:spacing w:after="0" w:line="202" w:lineRule="exact"/>
        <w:rPr>
          <w:sz w:val="20"/>
          <w:szCs w:val="20"/>
          <w:color w:val="auto"/>
        </w:rPr>
      </w:pPr>
    </w:p>
    <w:p>
      <w:pPr>
        <w:ind w:right="40" w:firstLine="555"/>
        <w:spacing w:after="0" w:line="267" w:lineRule="auto"/>
        <w:rPr>
          <w:sz w:val="20"/>
          <w:szCs w:val="20"/>
          <w:color w:val="auto"/>
        </w:rPr>
      </w:pPr>
      <w:r>
        <w:rPr>
          <w:rFonts w:ascii="Arial" w:cs="Arial" w:eastAsia="Arial" w:hAnsi="Arial"/>
          <w:sz w:val="17"/>
          <w:szCs w:val="17"/>
          <w:color w:val="auto"/>
        </w:rPr>
        <w:t>The gaming and racing licenses were valued in aggregate for each respective property, as these licenses are considered to be the most significant asset of the properties and the gaming licenses could not be obtained without holding the racing licenses. Therefore, a market participant would consider the licenses in aggregate. The fair value of the licenses is calculated using an excess earnings methodology, which is an income approach methodology that allocates the projected cash flows of the property to the gaming license intangible assets less charges for the use of the other identifiable assets of the property, including working capital, fixed assets, and other intangible assets. We believe this methodology is appropriate as the gaming licenses are the primary asset to the properties, the licenses are linked to each respective facility and it’s the lowest level at which discrete cash flows can be directly attributable to the assets. Under the gaming legislation applicable to our properties, licenses are property specific and can only be acquired if a buyer acquires the existing facility. Because existing licenses may not be acquired and transferred for use at a different facility, the estimated future cash flows of each of our properties was the primary assumption in the valuation of such property.</w:t>
      </w:r>
    </w:p>
    <w:p>
      <w:pPr>
        <w:spacing w:after="0" w:line="184" w:lineRule="exact"/>
        <w:rPr>
          <w:sz w:val="20"/>
          <w:szCs w:val="20"/>
          <w:color w:val="auto"/>
        </w:rPr>
      </w:pPr>
    </w:p>
    <w:p>
      <w:pPr>
        <w:ind w:right="20" w:firstLine="555"/>
        <w:spacing w:after="0" w:line="219" w:lineRule="exact"/>
        <w:rPr>
          <w:sz w:val="20"/>
          <w:szCs w:val="20"/>
          <w:color w:val="auto"/>
        </w:rPr>
      </w:pPr>
      <w:r>
        <w:rPr>
          <w:rFonts w:ascii="Arial" w:cs="Arial" w:eastAsia="Arial" w:hAnsi="Arial"/>
          <w:sz w:val="18"/>
          <w:szCs w:val="18"/>
          <w:color w:val="auto"/>
        </w:rPr>
        <w:t>We value trade names using the relief</w:t>
      </w:r>
      <w:r>
        <w:rPr>
          <w:rFonts w:ascii="MS PGothic" w:cs="MS PGothic" w:eastAsia="MS PGothic" w:hAnsi="MS PGothic"/>
          <w:sz w:val="18"/>
          <w:szCs w:val="18"/>
          <w:color w:val="auto"/>
        </w:rPr>
        <w:t>‑</w:t>
      </w:r>
      <w:r>
        <w:rPr>
          <w:rFonts w:ascii="Arial" w:cs="Arial" w:eastAsia="Arial" w:hAnsi="Arial"/>
          <w:sz w:val="18"/>
          <w:szCs w:val="18"/>
          <w:color w:val="auto"/>
        </w:rPr>
        <w:t>from</w:t>
      </w:r>
      <w:r>
        <w:rPr>
          <w:rFonts w:ascii="MS PGothic" w:cs="MS PGothic" w:eastAsia="MS PGothic" w:hAnsi="MS PGothic"/>
          <w:sz w:val="18"/>
          <w:szCs w:val="18"/>
          <w:color w:val="auto"/>
        </w:rPr>
        <w:t>‑</w:t>
      </w:r>
      <w:r>
        <w:rPr>
          <w:rFonts w:ascii="Arial" w:cs="Arial" w:eastAsia="Arial" w:hAnsi="Arial"/>
          <w:sz w:val="18"/>
          <w:szCs w:val="18"/>
          <w:color w:val="auto"/>
        </w:rPr>
        <w:t xml:space="preserve">royalty method with royalty rates range from 0.5% </w:t>
      </w:r>
      <w:r>
        <w:rPr>
          <w:rFonts w:ascii="MS PGothic" w:cs="MS PGothic" w:eastAsia="MS PGothic" w:hAnsi="MS PGothic"/>
          <w:sz w:val="18"/>
          <w:szCs w:val="18"/>
          <w:color w:val="auto"/>
        </w:rPr>
        <w:t>‑</w:t>
      </w:r>
      <w:r>
        <w:rPr>
          <w:rFonts w:ascii="Arial" w:cs="Arial" w:eastAsia="Arial" w:hAnsi="Arial"/>
          <w:sz w:val="18"/>
          <w:szCs w:val="18"/>
          <w:color w:val="auto"/>
        </w:rPr>
        <w:t xml:space="preserve"> 1.0%. Trade names recorded as part of the merger with MTR are amortized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a 3.5-year useful life and the trade names recorded as part of our acquisition of Tropicana, Elgin, Isle and acquisition of the Reno properties are not amortized (deemed indefinite-lived).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2" w:name="page73"/>
    <w:bookmarkEnd w:id="72"/>
    <w:p>
      <w:pPr>
        <w:ind w:right="420" w:firstLine="555"/>
        <w:spacing w:after="0" w:line="220" w:lineRule="exact"/>
        <w:rPr>
          <w:sz w:val="20"/>
          <w:szCs w:val="20"/>
          <w:color w:val="auto"/>
        </w:rPr>
      </w:pPr>
      <w:r>
        <w:rPr>
          <w:rFonts w:ascii="Arial" w:cs="Arial" w:eastAsia="Arial" w:hAnsi="Arial"/>
          <w:sz w:val="18"/>
          <w:szCs w:val="18"/>
          <w:color w:val="auto"/>
        </w:rPr>
        <w:t>The loyalty programs were valued using a combination of a replacement cost and lost profits analysis and the loyalty programs are amortized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a one- to five-year useful life.</w:t>
      </w:r>
    </w:p>
    <w:p>
      <w:pPr>
        <w:spacing w:after="0" w:line="202" w:lineRule="exact"/>
        <w:rPr>
          <w:sz w:val="20"/>
          <w:szCs w:val="20"/>
          <w:color w:val="auto"/>
        </w:rPr>
      </w:pPr>
    </w:p>
    <w:p>
      <w:pPr>
        <w:ind w:firstLine="555"/>
        <w:spacing w:after="0" w:line="215" w:lineRule="exact"/>
        <w:rPr>
          <w:sz w:val="20"/>
          <w:szCs w:val="20"/>
          <w:color w:val="auto"/>
        </w:rPr>
      </w:pPr>
      <w:r>
        <w:rPr>
          <w:rFonts w:ascii="Arial" w:cs="Arial" w:eastAsia="Arial" w:hAnsi="Arial"/>
          <w:sz w:val="16"/>
          <w:szCs w:val="16"/>
          <w:color w:val="auto"/>
        </w:rPr>
        <w:t>Assessing goodwill and indefinite</w:t>
      </w:r>
      <w:r>
        <w:rPr>
          <w:rFonts w:ascii="MS PGothic" w:cs="MS PGothic" w:eastAsia="MS PGothic" w:hAnsi="MS PGothic"/>
          <w:sz w:val="16"/>
          <w:szCs w:val="16"/>
          <w:color w:val="auto"/>
        </w:rPr>
        <w:t>‑</w:t>
      </w:r>
      <w:r>
        <w:rPr>
          <w:rFonts w:ascii="Arial" w:cs="Arial" w:eastAsia="Arial" w:hAnsi="Arial"/>
          <w:sz w:val="16"/>
          <w:szCs w:val="16"/>
          <w:color w:val="auto"/>
        </w:rPr>
        <w:t>lived intangible assets for impairment is a process that requires significant judgment and involves detailed qualitative and quantitative business</w:t>
      </w:r>
      <w:r>
        <w:rPr>
          <w:rFonts w:ascii="MS PGothic" w:cs="MS PGothic" w:eastAsia="MS PGothic" w:hAnsi="MS PGothic"/>
          <w:sz w:val="16"/>
          <w:szCs w:val="16"/>
          <w:color w:val="auto"/>
        </w:rPr>
        <w:t>‑</w:t>
      </w:r>
      <w:r>
        <w:rPr>
          <w:rFonts w:ascii="Arial" w:cs="Arial" w:eastAsia="Arial" w:hAnsi="Arial"/>
          <w:sz w:val="16"/>
          <w:szCs w:val="16"/>
          <w:color w:val="auto"/>
        </w:rPr>
        <w:t>specific analysis and many individual assumptions which fluctuate between assessments. Our properties’ estimated future cash flows are a primary assumption in the respective impairment analyses. Unforeseen events, changes in circumstances and market conditions and material differences in estimates of future cash flows could negatively affect the fair value of our assets and result in an impairment charge, which could be material. Cash flow estimates include assumptions regarding factors such as recent and budgeted operating performance, net win per unit (revenue), patron visits, growth percentages which are developed considering general macroeconomic conditions as well as competitive impacts from current and anticipated competition through a review of customer market data, operating margins, and current regulatory, social and economic climates. These estimates could also be negatively impacted by changes in federal, state, or local regulations, economic downturns or developments and other market conditions affecting travel and access to the properties. The most significant of the assumptions used in our valuations include: (1) revenue growth/decline percentages; (2) discount rates; (3) effective income tax rates; (4) future terminal values and (5) capital expenditure assumptions. These assumptions were developed for each property based on historical trends, the current competitive markets in which they operate, and projections of future performance and competition.</w:t>
      </w:r>
    </w:p>
    <w:p>
      <w:pPr>
        <w:spacing w:after="0" w:line="208" w:lineRule="exact"/>
        <w:rPr>
          <w:sz w:val="20"/>
          <w:szCs w:val="20"/>
          <w:color w:val="auto"/>
        </w:rPr>
      </w:pPr>
    </w:p>
    <w:p>
      <w:pPr>
        <w:ind w:right="20" w:firstLine="555"/>
        <w:spacing w:after="0" w:line="217" w:lineRule="exact"/>
        <w:rPr>
          <w:sz w:val="20"/>
          <w:szCs w:val="20"/>
          <w:color w:val="auto"/>
        </w:rPr>
      </w:pPr>
      <w:r>
        <w:rPr>
          <w:rFonts w:ascii="Arial" w:cs="Arial" w:eastAsia="Arial" w:hAnsi="Arial"/>
          <w:sz w:val="18"/>
          <w:szCs w:val="18"/>
          <w:color w:val="auto"/>
        </w:rPr>
        <w:t>We believe we have used reasonable estimates and assumptions to calculate the fair value of our goodwill reporting units and other indefinite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assets; however, these estimates and assumptions could be materially different from actual results. If actual market conditions are less favorable than those projected, or if events occur or circumstances change that would reduce the fair value of our licensing intangibles below the carrying value reflected on the consolidated balance sheet, we may be required to conduct an interim test or possibly recognize impairment charges, which may be material, in future periods.</w:t>
      </w:r>
    </w:p>
    <w:p>
      <w:pPr>
        <w:spacing w:after="0" w:line="309"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Self</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Insurance Reserves</w:t>
      </w:r>
    </w:p>
    <w:p>
      <w:pPr>
        <w:spacing w:after="0" w:line="114" w:lineRule="exact"/>
        <w:rPr>
          <w:sz w:val="20"/>
          <w:szCs w:val="20"/>
          <w:color w:val="auto"/>
        </w:rPr>
      </w:pPr>
    </w:p>
    <w:p>
      <w:pPr>
        <w:ind w:right="20" w:firstLine="555"/>
        <w:spacing w:after="0" w:line="216" w:lineRule="exact"/>
        <w:rPr>
          <w:sz w:val="20"/>
          <w:szCs w:val="20"/>
          <w:color w:val="auto"/>
        </w:rPr>
      </w:pPr>
      <w:r>
        <w:rPr>
          <w:rFonts w:ascii="Arial" w:cs="Arial" w:eastAsia="Arial" w:hAnsi="Arial"/>
          <w:sz w:val="17"/>
          <w:szCs w:val="17"/>
          <w:color w:val="auto"/>
        </w:rPr>
        <w:t>We are self</w:t>
      </w:r>
      <w:r>
        <w:rPr>
          <w:rFonts w:ascii="MS PGothic" w:cs="MS PGothic" w:eastAsia="MS PGothic" w:hAnsi="MS PGothic"/>
          <w:sz w:val="17"/>
          <w:szCs w:val="17"/>
          <w:color w:val="auto"/>
        </w:rPr>
        <w:t>‑</w:t>
      </w:r>
      <w:r>
        <w:rPr>
          <w:rFonts w:ascii="Arial" w:cs="Arial" w:eastAsia="Arial" w:hAnsi="Arial"/>
          <w:sz w:val="17"/>
          <w:szCs w:val="17"/>
          <w:color w:val="auto"/>
        </w:rPr>
        <w:t>insured for various levels of general liability, employee medical insurance coverage and workers’ compensation coverage. Insurance claims and reserves include accruals of estimated settlements for known claims, as well as accruals of estimates for claims incurred but not yet reported. We utilize independent consultants to assist management in its determination of estimated insurance liabilities. While the total cost of claims incurred depends on future developments, in managements’ opinion, recorded reserves are adequate to cover future claims payments. Self-insurance reserves for employee medical claims and workers’ compensations are included in accrued payroll and related on the consolidated balance sheets. Self</w:t>
      </w:r>
      <w:r>
        <w:rPr>
          <w:rFonts w:ascii="MS PGothic" w:cs="MS PGothic" w:eastAsia="MS PGothic" w:hAnsi="MS PGothic"/>
          <w:sz w:val="17"/>
          <w:szCs w:val="17"/>
          <w:color w:val="auto"/>
        </w:rPr>
        <w:t>‑</w:t>
      </w:r>
      <w:r>
        <w:rPr>
          <w:rFonts w:ascii="Arial" w:cs="Arial" w:eastAsia="Arial" w:hAnsi="Arial"/>
          <w:sz w:val="17"/>
          <w:szCs w:val="17"/>
          <w:color w:val="auto"/>
        </w:rPr>
        <w:t>insurance reserves for general liability claims are included in accrued other liabilities on the consolidated balance sheets.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Player Loyalty Programs</w:t>
      </w:r>
    </w:p>
    <w:p>
      <w:pPr>
        <w:spacing w:after="0" w:line="114" w:lineRule="exact"/>
        <w:rPr>
          <w:sz w:val="20"/>
          <w:szCs w:val="20"/>
          <w:color w:val="auto"/>
        </w:rPr>
      </w:pPr>
    </w:p>
    <w:p>
      <w:pPr>
        <w:ind w:right="20" w:firstLine="555"/>
        <w:spacing w:after="0" w:line="290" w:lineRule="auto"/>
        <w:rPr>
          <w:sz w:val="20"/>
          <w:szCs w:val="20"/>
          <w:color w:val="auto"/>
        </w:rPr>
      </w:pPr>
      <w:r>
        <w:rPr>
          <w:rFonts w:ascii="Arial" w:cs="Arial" w:eastAsia="Arial" w:hAnsi="Arial"/>
          <w:sz w:val="16"/>
          <w:szCs w:val="16"/>
          <w:color w:val="auto"/>
        </w:rPr>
        <w:t>We offer programs at our properties whereby participating customers can accumulate points for wagering that can be redeemed for credits for free play on slot machines, lodging, food and beverage, merchandise and, in limited situations, cash. The incentives earned by customers under these programs are based on previous revenue transactions and represent separate performance obligations. Points earned, less estimated breakage, are recorded as a reduction of casino revenues at the standalone selling price of the points when earned based upon the retail value of the benefits, historical redemption rates and estimated breakage and recognized as departmental revenue based on where such points are redeemed upon fulfillment of the performance obligation. The loyalty program liability represents a deferral of revenue until redemption occurs, which is typically less than one year.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Claims and Assessments</w:t>
      </w:r>
    </w:p>
    <w:p>
      <w:pPr>
        <w:spacing w:after="0" w:line="114" w:lineRule="exact"/>
        <w:rPr>
          <w:sz w:val="20"/>
          <w:szCs w:val="20"/>
          <w:color w:val="auto"/>
        </w:rPr>
      </w:pPr>
    </w:p>
    <w:p>
      <w:pPr>
        <w:ind w:right="20" w:firstLine="555"/>
        <w:spacing w:after="0" w:line="282" w:lineRule="auto"/>
        <w:rPr>
          <w:sz w:val="20"/>
          <w:szCs w:val="20"/>
          <w:color w:val="auto"/>
        </w:rPr>
      </w:pPr>
      <w:r>
        <w:rPr>
          <w:rFonts w:ascii="Arial" w:cs="Arial" w:eastAsia="Arial" w:hAnsi="Arial"/>
          <w:sz w:val="17"/>
          <w:szCs w:val="17"/>
          <w:color w:val="auto"/>
        </w:rPr>
        <w:t>We utilize estimates for litigation, claims and assessments. These estimates are based on our knowledge and experience regarding current and past events, as well as assumptions about future events. If our assessment of such a matter should change, we may have to change the estimates, which may have an adverse effect on our financial position, results of operations or cash flows. Actual results could differ from these estimates.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8" w:lineRule="exact"/>
        <w:rPr>
          <w:sz w:val="20"/>
          <w:szCs w:val="20"/>
          <w:color w:val="auto"/>
        </w:rPr>
      </w:pPr>
    </w:p>
    <w:p>
      <w:pPr>
        <w:jc w:val="both"/>
        <w:ind w:right="200" w:firstLine="555"/>
        <w:spacing w:after="0" w:line="335" w:lineRule="auto"/>
        <w:rPr>
          <w:sz w:val="20"/>
          <w:szCs w:val="20"/>
          <w:color w:val="auto"/>
        </w:rPr>
      </w:pPr>
      <w:r>
        <w:rPr>
          <w:rFonts w:ascii="Arial" w:cs="Arial" w:eastAsia="Arial" w:hAnsi="Arial"/>
          <w:sz w:val="16"/>
          <w:szCs w:val="16"/>
          <w:color w:val="auto"/>
        </w:rPr>
        <w:t xml:space="preserve">For information with respect to recent accounting pronouncements and the impact of these pronouncements on our consolidated financial statements, see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 </w:t>
      </w:r>
      <w:r>
        <w:rPr>
          <w:rFonts w:ascii="Arial" w:cs="Arial" w:eastAsia="Arial" w:hAnsi="Arial"/>
          <w:sz w:val="16"/>
          <w:szCs w:val="16"/>
          <w:i w:val="1"/>
          <w:iCs w:val="1"/>
          <w:color w:val="auto"/>
        </w:rPr>
        <w:t>Recently Issued Accounting Pronouncements</w:t>
      </w:r>
      <w:r>
        <w:rPr>
          <w:rFonts w:ascii="Arial" w:cs="Arial" w:eastAsia="Arial" w:hAnsi="Arial"/>
          <w:sz w:val="16"/>
          <w:szCs w:val="16"/>
          <w:color w:val="auto"/>
        </w:rPr>
        <w:t>, in the notes to the consolidated financial statements.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73" w:name="page74"/>
    <w:bookmarkEnd w:id="73"/>
    <w:p>
      <w:pPr>
        <w:spacing w:after="0"/>
        <w:tabs>
          <w:tab w:leader="none" w:pos="10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8" w:lineRule="exact"/>
        <w:rPr>
          <w:sz w:val="20"/>
          <w:szCs w:val="20"/>
          <w:color w:val="auto"/>
        </w:rPr>
      </w:pPr>
    </w:p>
    <w:p>
      <w:pPr>
        <w:ind w:right="520" w:firstLine="555"/>
        <w:spacing w:after="0" w:line="220" w:lineRule="exact"/>
        <w:rPr>
          <w:sz w:val="20"/>
          <w:szCs w:val="20"/>
          <w:color w:val="auto"/>
        </w:rPr>
      </w:pPr>
      <w:r>
        <w:rPr>
          <w:rFonts w:ascii="Arial" w:cs="Arial" w:eastAsia="Arial" w:hAnsi="Arial"/>
          <w:sz w:val="17"/>
          <w:szCs w:val="17"/>
          <w:color w:val="auto"/>
        </w:rPr>
        <w:t>Market risk is the risk of loss arising from adverse changes in market rates and prices, such as interest rates, foreign currency exchange rates and commodity prices. We are exposed to changes in interest rates primarily from variable rate long</w:t>
      </w:r>
      <w:r>
        <w:rPr>
          <w:rFonts w:ascii="MS PGothic" w:cs="MS PGothic" w:eastAsia="MS PGothic" w:hAnsi="MS PGothic"/>
          <w:sz w:val="17"/>
          <w:szCs w:val="17"/>
          <w:color w:val="auto"/>
        </w:rPr>
        <w:t>‑</w:t>
      </w:r>
      <w:r>
        <w:rPr>
          <w:rFonts w:ascii="Arial" w:cs="Arial" w:eastAsia="Arial" w:hAnsi="Arial"/>
          <w:sz w:val="17"/>
          <w:szCs w:val="17"/>
          <w:color w:val="auto"/>
        </w:rPr>
        <w:t>term debt arrangements.</w:t>
      </w:r>
    </w:p>
    <w:p>
      <w:pPr>
        <w:spacing w:after="0" w:line="202" w:lineRule="exact"/>
        <w:rPr>
          <w:sz w:val="20"/>
          <w:szCs w:val="20"/>
          <w:color w:val="auto"/>
        </w:rPr>
      </w:pPr>
    </w:p>
    <w:p>
      <w:pPr>
        <w:ind w:firstLine="555"/>
        <w:spacing w:after="0" w:line="217" w:lineRule="exact"/>
        <w:rPr>
          <w:sz w:val="20"/>
          <w:szCs w:val="20"/>
          <w:color w:val="auto"/>
        </w:rPr>
      </w:pPr>
      <w:r>
        <w:rPr>
          <w:rFonts w:ascii="Arial" w:cs="Arial" w:eastAsia="Arial" w:hAnsi="Arial"/>
          <w:sz w:val="18"/>
          <w:szCs w:val="18"/>
          <w:color w:val="auto"/>
        </w:rPr>
        <w:t>As of December 31, 2019, our variable</w:t>
      </w:r>
      <w:r>
        <w:rPr>
          <w:rFonts w:ascii="MS PGothic" w:cs="MS PGothic" w:eastAsia="MS PGothic" w:hAnsi="MS PGothic"/>
          <w:sz w:val="18"/>
          <w:szCs w:val="18"/>
          <w:color w:val="auto"/>
        </w:rPr>
        <w:t>‑</w:t>
      </w:r>
      <w:r>
        <w:rPr>
          <w:rFonts w:ascii="Arial" w:cs="Arial" w:eastAsia="Arial" w:hAnsi="Arial"/>
          <w:sz w:val="18"/>
          <w:szCs w:val="18"/>
          <w:color w:val="auto"/>
        </w:rPr>
        <w:t>rate long</w:t>
      </w:r>
      <w:r>
        <w:rPr>
          <w:rFonts w:ascii="MS PGothic" w:cs="MS PGothic" w:eastAsia="MS PGothic" w:hAnsi="MS PGothic"/>
          <w:sz w:val="18"/>
          <w:szCs w:val="18"/>
          <w:color w:val="auto"/>
        </w:rPr>
        <w:t>‑</w:t>
      </w:r>
      <w:r>
        <w:rPr>
          <w:rFonts w:ascii="Arial" w:cs="Arial" w:eastAsia="Arial" w:hAnsi="Arial"/>
          <w:sz w:val="18"/>
          <w:szCs w:val="18"/>
          <w:color w:val="auto"/>
        </w:rPr>
        <w:t>term borrowings totaled $498.8 million under the Term Loan. No amounts were outstanding under the Revolving Credit Facility. Variable</w:t>
      </w:r>
      <w:r>
        <w:rPr>
          <w:rFonts w:ascii="MS PGothic" w:cs="MS PGothic" w:eastAsia="MS PGothic" w:hAnsi="MS PGothic"/>
          <w:sz w:val="18"/>
          <w:szCs w:val="18"/>
          <w:color w:val="auto"/>
        </w:rPr>
        <w:t>‑</w:t>
      </w:r>
      <w:r>
        <w:rPr>
          <w:rFonts w:ascii="Arial" w:cs="Arial" w:eastAsia="Arial" w:hAnsi="Arial"/>
          <w:sz w:val="18"/>
          <w:szCs w:val="18"/>
          <w:color w:val="auto"/>
        </w:rPr>
        <w:t>rate borrowings under the Term Loan and the Revolving Credit Facility represented approximately 19% of our long</w:t>
      </w:r>
      <w:r>
        <w:rPr>
          <w:rFonts w:ascii="MS PGothic" w:cs="MS PGothic" w:eastAsia="MS PGothic" w:hAnsi="MS PGothic"/>
          <w:sz w:val="18"/>
          <w:szCs w:val="18"/>
          <w:color w:val="auto"/>
        </w:rPr>
        <w:t>‑</w:t>
      </w:r>
      <w:r>
        <w:rPr>
          <w:rFonts w:ascii="Arial" w:cs="Arial" w:eastAsia="Arial" w:hAnsi="Arial"/>
          <w:sz w:val="18"/>
          <w:szCs w:val="18"/>
          <w:color w:val="auto"/>
        </w:rPr>
        <w:t>term debt as of December 31, 2019, declining from 36% as of December 31, 2018. During the year ended December 31, 2019, the weighted average interest rates on our variable and fixed rate debt were 4.0% and 6.5%, respectively.</w:t>
      </w:r>
    </w:p>
    <w:p>
      <w:pPr>
        <w:spacing w:after="0" w:line="245"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LIBOR is expected to be discontinued after 2021. The interest rate per annum applicable to loans under our Credit Facility is, at our option, either LIBOR plus a margin or a base rate plus a margin. The Credit Facility permits the administrative agent to select, in its reasonable discretion, an alternative base rate in the event that LIBOR is discontinued, but there can be no assurances as to what alternative base rates may be and whether such base rate will be more or less favorable than LIBOR and any other unforeseen impacts of the potential discontinuation of LIBOR. We intend to continue monitoring the developments with respect to the potential phasing out of LIBOR after 2021 and work with our lenders to ensure any transition away from LIBOR will have minimal impact on our financial condition, but can provide no assurances regarding the impact of the discontinuation of LIBOR.</w:t>
      </w:r>
    </w:p>
    <w:p>
      <w:pPr>
        <w:spacing w:after="0" w:line="165" w:lineRule="exact"/>
        <w:rPr>
          <w:sz w:val="20"/>
          <w:szCs w:val="20"/>
          <w:color w:val="auto"/>
        </w:rPr>
      </w:pPr>
    </w:p>
    <w:p>
      <w:pPr>
        <w:jc w:val="both"/>
        <w:ind w:right="160" w:firstLine="555"/>
        <w:spacing w:after="0" w:line="282" w:lineRule="auto"/>
        <w:rPr>
          <w:sz w:val="20"/>
          <w:szCs w:val="20"/>
          <w:color w:val="auto"/>
        </w:rPr>
      </w:pPr>
      <w:r>
        <w:rPr>
          <w:rFonts w:ascii="Arial" w:cs="Arial" w:eastAsia="Arial" w:hAnsi="Arial"/>
          <w:sz w:val="17"/>
          <w:szCs w:val="17"/>
          <w:color w:val="auto"/>
        </w:rPr>
        <w:t>The Company evaluates its exposure to market risk by monitoring interest rates in the marketplace and has, on occasion, utilized derivative financial instruments to help manage this risk. The Company does not utilize derivative financial instruments for trading purposes. There were no material quantitative changes in our market risk exposure, or how such risks are managed, for the year ended December 31, 2019.</w:t>
      </w:r>
    </w:p>
    <w:p>
      <w:pPr>
        <w:spacing w:after="0" w:line="167"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The following table provides information as of December 31, 2019 about our debt obligations, including debt that is sensitive to changes in interest rates, and presents principal payments and related weighted-average interest rates by expected maturity dates. Implied forward rates should not be considered a predictor of actual future interest rates.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scheduled maturities of our long-term debt outstanding for the years ending December 31 are as follows:</w:t>
      </w:r>
    </w:p>
    <w:p>
      <w:pPr>
        <w:spacing w:after="0" w:line="29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2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Fixed Rate Debt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8"/>
                <w:szCs w:val="18"/>
                <w:color w:val="auto"/>
              </w:rPr>
            </w:pPr>
          </w:p>
        </w:tc>
        <w:tc>
          <w:tcPr>
            <w:tcW w:w="82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Thereafter</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6% Senior Notes due 2025</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875,000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875,000</w:t>
            </w:r>
          </w:p>
        </w:tc>
        <w:tc>
          <w:tcPr>
            <w:tcW w:w="2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6% Senior Notes due 2026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600,000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600,000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7% Senior Notes due 2023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375,000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375,000</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Lumière Note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246,000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246,000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Fixed Interest Rate</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26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Variable Rate Debt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Term Loan (1)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498,750</w:t>
            </w:r>
          </w:p>
        </w:tc>
        <w:tc>
          <w:tcPr>
            <w:tcW w:w="28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498,750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Average Interest Rate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560" w:right="340" w:hanging="553"/>
        <w:spacing w:after="0" w:line="301" w:lineRule="auto"/>
        <w:tabs>
          <w:tab w:leader="none" w:pos="5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upon the weighted average interest rate of borrowings outstanding under our Credit Facility as of December 31, 2019. Borrowings under the Credit Facility bear interest at a rate per annum of, at our option, either LIBOR or base rate plus an applicable spread.</w:t>
      </w:r>
    </w:p>
    <w:p>
      <w:pPr>
        <w:spacing w:after="0" w:line="192"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As of December 31, 2019, borrowings outstanding under our Term Loan were variable-rate borrowings. Assuming a 100 basis-point increase in LIBOR (in the case of the term loan, over the 1% floor specified in our credit agreement), our annual interest cost would change by $5.0 million based on gross amounts outstanding at December 31, 2019.</w:t>
      </w:r>
    </w:p>
    <w:p>
      <w:pPr>
        <w:spacing w:after="0" w:line="28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18" w:lineRule="exact"/>
        <w:rPr>
          <w:sz w:val="20"/>
          <w:szCs w:val="20"/>
          <w:color w:val="auto"/>
        </w:rPr>
      </w:pPr>
    </w:p>
    <w:p>
      <w:pPr>
        <w:ind w:right="120" w:firstLine="555"/>
        <w:spacing w:after="0" w:line="220" w:lineRule="exact"/>
        <w:rPr>
          <w:sz w:val="20"/>
          <w:szCs w:val="20"/>
          <w:color w:val="auto"/>
        </w:rPr>
      </w:pPr>
      <w:r>
        <w:rPr>
          <w:rFonts w:ascii="Arial" w:cs="Arial" w:eastAsia="Arial" w:hAnsi="Arial"/>
          <w:sz w:val="18"/>
          <w:szCs w:val="18"/>
          <w:color w:val="auto"/>
        </w:rPr>
        <w:t>Our consolidated financial statements and notes to consolidated financial statements, including the report of Ernst &amp; Young LLP thereon, are included at pages 87 through 148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656" w:right="259" w:bottom="1440" w:gutter="0" w:footer="0" w:header="0"/>
        </w:sectPr>
      </w:pPr>
    </w:p>
    <w:bookmarkStart w:id="74" w:name="page75"/>
    <w:bookmarkEnd w:id="74"/>
    <w:p>
      <w:pPr>
        <w:spacing w:after="0"/>
        <w:tabs>
          <w:tab w:leader="none" w:pos="10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4"/>
          <w:szCs w:val="14"/>
          <w:b w:val="1"/>
          <w:bCs w:val="1"/>
          <w:color w:val="auto"/>
        </w:rPr>
        <w:t>Changes in and Disagreements with Accountants on Accounting and Financial Disclosure.</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4"/>
          <w:szCs w:val="14"/>
          <w:b w:val="1"/>
          <w:bCs w:val="1"/>
          <w:color w:val="auto"/>
        </w:rPr>
        <w:t>Controls and Procedures.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8" w:lineRule="exact"/>
        <w:rPr>
          <w:sz w:val="20"/>
          <w:szCs w:val="20"/>
          <w:color w:val="auto"/>
        </w:rPr>
      </w:pPr>
    </w:p>
    <w:p>
      <w:pPr>
        <w:ind w:firstLine="555"/>
        <w:spacing w:after="0" w:line="275" w:lineRule="auto"/>
        <w:rPr>
          <w:sz w:val="20"/>
          <w:szCs w:val="20"/>
          <w:color w:val="auto"/>
        </w:rPr>
      </w:pPr>
      <w:r>
        <w:rPr>
          <w:rFonts w:ascii="Arial" w:cs="Arial" w:eastAsia="Arial" w:hAnsi="Arial"/>
          <w:sz w:val="17"/>
          <w:szCs w:val="17"/>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75" w:lineRule="exact"/>
        <w:rPr>
          <w:sz w:val="20"/>
          <w:szCs w:val="20"/>
          <w:color w:val="auto"/>
        </w:rPr>
      </w:pPr>
    </w:p>
    <w:p>
      <w:pPr>
        <w:ind w:right="120" w:firstLine="555"/>
        <w:spacing w:after="0" w:line="219" w:lineRule="exact"/>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w:t>
      </w:r>
      <w:r>
        <w:rPr>
          <w:rFonts w:ascii="MS PGothic" w:cs="MS PGothic" w:eastAsia="MS PGothic" w:hAnsi="MS PGothic"/>
          <w:sz w:val="18"/>
          <w:szCs w:val="18"/>
          <w:color w:val="auto"/>
        </w:rPr>
        <w:t>‑</w:t>
      </w:r>
      <w:r>
        <w:rPr>
          <w:rFonts w:ascii="Arial" w:cs="Arial" w:eastAsia="Arial" w:hAnsi="Arial"/>
          <w:sz w:val="18"/>
          <w:szCs w:val="18"/>
          <w:color w:val="auto"/>
        </w:rPr>
        <w:t>benefit relationship of possible controls and procedures.</w:t>
      </w:r>
    </w:p>
    <w:p>
      <w:pPr>
        <w:spacing w:after="0" w:line="242"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We carried out an evaluation, under the supervision and with the participation of our Chief Executive Officer (principal executive officer) and Chief Financial Officer (principal financial officer), evaluated the effectiveness of our disclosure controls and procedures (as defined under the Exchange Act Rules 13a-15(e) and 15d-15(e)) as of the end of the period covered by this Form 10-K Annual Report and as required by Rules 13a-15(b) and 15d-15(b) promulgated under the Exchange Act. Based on this evaluation, our Chief Executive Officer and Chief Financial Officer have concluded that our disclosure controls and procedures as of the end of the period covered by this Form 10-K Annual Report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18" w:lineRule="exact"/>
        <w:rPr>
          <w:sz w:val="20"/>
          <w:szCs w:val="20"/>
          <w:color w:val="auto"/>
        </w:rPr>
      </w:pPr>
    </w:p>
    <w:p>
      <w:pPr>
        <w:ind w:right="220" w:firstLine="555"/>
        <w:spacing w:after="0" w:line="307"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Rules 13a-15(e) or 15d-15(e) promulgated under the Exchange Act) for Eldorado Resorts, Inc. and its subsidiaries. This system is designed to provide reasonable assurance to the Company’s management regarding the reliability of financial reporting and preparation of consolidated financial statements for external purposes.</w:t>
      </w:r>
    </w:p>
    <w:p>
      <w:pPr>
        <w:spacing w:after="0" w:line="150" w:lineRule="exact"/>
        <w:rPr>
          <w:sz w:val="20"/>
          <w:szCs w:val="20"/>
          <w:color w:val="auto"/>
        </w:rPr>
      </w:pPr>
    </w:p>
    <w:p>
      <w:pPr>
        <w:ind w:right="40" w:firstLine="555"/>
        <w:spacing w:after="0" w:line="297" w:lineRule="auto"/>
        <w:rPr>
          <w:sz w:val="20"/>
          <w:szCs w:val="20"/>
          <w:color w:val="auto"/>
        </w:rPr>
      </w:pPr>
      <w:r>
        <w:rPr>
          <w:rFonts w:ascii="Arial" w:cs="Arial" w:eastAsia="Arial" w:hAnsi="Arial"/>
          <w:sz w:val="16"/>
          <w:szCs w:val="16"/>
          <w:color w:val="auto"/>
        </w:rPr>
        <w:t>Management, with the participation of our Chief Executive Officer and Chief Financial Officer, evaluated and assessed the effectiveness of our internal control over financial reporting as of the end of the period covered by this Form 10-K Annual Report based upon the framework set forth in the Internal Control-Integrated Framework issued in 2013 by the Committee of Sponsoring Organization of the Treadway Commission. Based on this evaluation and assessment, management believes that, as of December 31, 2019, our internal control over financial reporting was effective based on those criteria.</w:t>
      </w:r>
    </w:p>
    <w:p>
      <w:pPr>
        <w:spacing w:after="0" w:line="160" w:lineRule="exact"/>
        <w:rPr>
          <w:sz w:val="20"/>
          <w:szCs w:val="20"/>
          <w:color w:val="auto"/>
        </w:rPr>
      </w:pPr>
    </w:p>
    <w:p>
      <w:pPr>
        <w:ind w:right="360" w:firstLine="555"/>
        <w:spacing w:after="0" w:line="271" w:lineRule="auto"/>
        <w:rPr>
          <w:sz w:val="20"/>
          <w:szCs w:val="20"/>
          <w:color w:val="auto"/>
        </w:rPr>
      </w:pPr>
      <w:r>
        <w:rPr>
          <w:rFonts w:ascii="Arial" w:cs="Arial" w:eastAsia="Arial" w:hAnsi="Arial"/>
          <w:sz w:val="18"/>
          <w:szCs w:val="18"/>
          <w:color w:val="auto"/>
        </w:rPr>
        <w:t>Ernst &amp; Young LLP, an independent registered public accounting firm, has audited our internal control over financial reporting as of December 31, 2019, as stated in its report which follows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8" w:lineRule="exact"/>
        <w:rPr>
          <w:sz w:val="20"/>
          <w:szCs w:val="20"/>
          <w:color w:val="auto"/>
        </w:rPr>
      </w:pPr>
    </w:p>
    <w:p>
      <w:pPr>
        <w:ind w:right="340" w:firstLine="555"/>
        <w:spacing w:after="0" w:line="271" w:lineRule="auto"/>
        <w:rPr>
          <w:sz w:val="20"/>
          <w:szCs w:val="20"/>
          <w:color w:val="auto"/>
        </w:rPr>
      </w:pPr>
      <w:r>
        <w:rPr>
          <w:rFonts w:ascii="Arial" w:cs="Arial" w:eastAsia="Arial" w:hAnsi="Arial"/>
          <w:sz w:val="18"/>
          <w:szCs w:val="18"/>
          <w:color w:val="auto"/>
        </w:rPr>
        <w:t>During the quarter ended December 31, 2019, there were no significant changes in our internal control over financial reporting that have materially affected, or are reasonably likely to materially affect, our internal control over financial reporting.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656" w:right="25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Eldorado Resorts, Inc.</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Opinion on Internal Control over Financial Reporting</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333333"/>
        </w:rPr>
        <w:t>We have audited Eldorado Resorts, Inc.’s internal control over financial reporting as of December 31, 2019, based on criteria established in Internal Control— Integrated Framework issued by the Committee of Sponsoring Organizations of the Treadway Commission (2013 framework) (the COSO criteria). In our opinion, Eldorado Resorts, Inc. (the Company) maintained, in all material respects, effective internal control over financial reporting as of December 31, 2019, based on the COSO criteria.</w:t>
      </w:r>
    </w:p>
    <w:p>
      <w:pPr>
        <w:spacing w:after="0" w:line="191" w:lineRule="exact"/>
        <w:rPr>
          <w:sz w:val="20"/>
          <w:szCs w:val="20"/>
          <w:color w:val="auto"/>
        </w:rPr>
      </w:pPr>
    </w:p>
    <w:p>
      <w:pPr>
        <w:spacing w:after="0" w:line="297" w:lineRule="auto"/>
        <w:rPr>
          <w:sz w:val="20"/>
          <w:szCs w:val="20"/>
          <w:color w:val="auto"/>
        </w:rPr>
      </w:pPr>
      <w:r>
        <w:rPr>
          <w:rFonts w:ascii="Arial" w:cs="Arial" w:eastAsia="Arial" w:hAnsi="Arial"/>
          <w:sz w:val="16"/>
          <w:szCs w:val="16"/>
          <w:color w:val="333333"/>
        </w:rPr>
        <w:t>We also have audited, in accordance with the standards of the Public Company Accounting Oversight Board (United States) (PCAOB), the consolidated balance sheets of the Company as of December 31, 2019 and 2018, the related consolidated statements of income, comprehensive income, stockholders’ equity and cash flows for each of the three years in the period ended December 31, 2019, and the related notes and the financial statement schedule listed in the Index at Item 15 (a)(ii) of the Company and our report dated February 27, 2020 expressed an unqualified opinion thereon.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11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333333"/>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included in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5" w:lineRule="exact"/>
        <w:rPr>
          <w:sz w:val="20"/>
          <w:szCs w:val="20"/>
          <w:color w:val="auto"/>
        </w:rPr>
      </w:pPr>
    </w:p>
    <w:p>
      <w:pPr>
        <w:jc w:val="both"/>
        <w:ind w:right="560"/>
        <w:spacing w:after="0" w:line="282" w:lineRule="auto"/>
        <w:rPr>
          <w:sz w:val="20"/>
          <w:szCs w:val="20"/>
          <w:color w:val="auto"/>
        </w:rPr>
      </w:pPr>
      <w:r>
        <w:rPr>
          <w:rFonts w:ascii="Arial" w:cs="Arial" w:eastAsia="Arial" w:hAnsi="Arial"/>
          <w:sz w:val="17"/>
          <w:szCs w:val="17"/>
          <w:color w:val="333333"/>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Definition and Limitations of Internal Control Over Financial Reporting</w:t>
      </w:r>
    </w:p>
    <w:p>
      <w:pPr>
        <w:spacing w:after="0" w:line="11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3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380"/>
          </w:cols>
          <w:pgMar w:left="240" w:top="335" w:right="279" w:bottom="1440" w:gutter="0" w:footer="0" w:header="0"/>
        </w:sectPr>
      </w:pPr>
    </w:p>
    <w:bookmarkStart w:id="76" w:name="page77"/>
    <w:bookmarkEnd w:id="76"/>
    <w:p>
      <w:pPr>
        <w:ind w:left="5360"/>
        <w:spacing w:after="0"/>
        <w:rPr>
          <w:sz w:val="20"/>
          <w:szCs w:val="20"/>
          <w:color w:val="auto"/>
        </w:rPr>
      </w:pPr>
      <w:r>
        <w:rPr>
          <w:rFonts w:ascii="Arial" w:cs="Arial" w:eastAsia="Arial" w:hAnsi="Arial"/>
          <w:sz w:val="18"/>
          <w:szCs w:val="18"/>
          <w:b w:val="1"/>
          <w:bCs w:val="1"/>
          <w:color w:val="auto"/>
        </w:rPr>
        <w:t>PART III</w:t>
      </w:r>
    </w:p>
    <w:p>
      <w:pPr>
        <w:spacing w:after="0" w:line="2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18"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color w:val="auto"/>
        </w:rPr>
        <w:t>The information required by this Item is hereby incorporated by reference to our definitive Proxy Statement for our Annual Meeting of Stockholders (our “Proxy Statement”) to be filed with the Securities and Exchange Commission no later than April 29, 2020, pursuant to Regulation 14A under the Securities Act.</w:t>
      </w:r>
    </w:p>
    <w:p>
      <w:pPr>
        <w:spacing w:after="0" w:line="186" w:lineRule="exact"/>
        <w:rPr>
          <w:sz w:val="20"/>
          <w:szCs w:val="20"/>
          <w:color w:val="auto"/>
        </w:rPr>
      </w:pPr>
    </w:p>
    <w:p>
      <w:pPr>
        <w:ind w:firstLine="555"/>
        <w:spacing w:after="0" w:line="252" w:lineRule="auto"/>
        <w:rPr>
          <w:sz w:val="20"/>
          <w:szCs w:val="20"/>
          <w:color w:val="auto"/>
        </w:rPr>
      </w:pPr>
      <w:r>
        <w:rPr>
          <w:rFonts w:ascii="Arial" w:cs="Arial" w:eastAsia="Arial" w:hAnsi="Arial"/>
          <w:sz w:val="18"/>
          <w:szCs w:val="18"/>
          <w:color w:val="auto"/>
        </w:rPr>
        <w:t>We have adopted a code of ethics and business conduct applicable to all directors and employees, including the Chief Executive Officer, Chief Financial Officer and Principal Accounting Officer. The code of ethics and business conduct is posted on our website, http://www.eldoradoresorts.com (accessible through the “Corporate Governance” caption of the Investor Relations page) and a printed copy will be delivered on request by writing to the Corporate Secretary at Eldorado Resorts, Inc., c/o Corporate Secretary, 100 West Liberty Street, Suite 1150, Reno, NV 89501. We intend to satisfy the disclosure requirement regarding certain amendments to, or waivers from, provisions of its code of ethics and business conduct by posting such information on our website.</w:t>
      </w:r>
    </w:p>
    <w:p>
      <w:pPr>
        <w:spacing w:after="0" w:line="29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4"/>
          <w:szCs w:val="14"/>
          <w:b w:val="1"/>
          <w:bCs w:val="1"/>
          <w:color w:val="auto"/>
        </w:rPr>
        <w:t>Executive Compensation.</w:t>
      </w:r>
    </w:p>
    <w:p>
      <w:pPr>
        <w:spacing w:after="0" w:line="118" w:lineRule="exact"/>
        <w:rPr>
          <w:sz w:val="20"/>
          <w:szCs w:val="20"/>
          <w:color w:val="auto"/>
        </w:rPr>
      </w:pPr>
    </w:p>
    <w:p>
      <w:pPr>
        <w:ind w:right="600" w:firstLine="555"/>
        <w:spacing w:after="0" w:line="271" w:lineRule="auto"/>
        <w:rPr>
          <w:sz w:val="20"/>
          <w:szCs w:val="20"/>
          <w:color w:val="auto"/>
        </w:rPr>
      </w:pPr>
      <w:r>
        <w:rPr>
          <w:rFonts w:ascii="Arial" w:cs="Arial" w:eastAsia="Arial" w:hAnsi="Arial"/>
          <w:sz w:val="18"/>
          <w:szCs w:val="18"/>
          <w:color w:val="auto"/>
        </w:rPr>
        <w:t>The information required by this Item is hereby incorporated by reference to our Proxy Statement, to be filed with the Securities and Exchange Commission no later than April 29, 2020, pursuant to Regulation 14A under the Securities Act.</w:t>
      </w:r>
    </w:p>
    <w:p>
      <w:pPr>
        <w:spacing w:after="0" w:line="27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18" w:lineRule="exact"/>
        <w:rPr>
          <w:sz w:val="20"/>
          <w:szCs w:val="20"/>
          <w:color w:val="auto"/>
        </w:rPr>
      </w:pPr>
    </w:p>
    <w:p>
      <w:pPr>
        <w:ind w:right="600" w:firstLine="555"/>
        <w:spacing w:after="0" w:line="271" w:lineRule="auto"/>
        <w:rPr>
          <w:sz w:val="20"/>
          <w:szCs w:val="20"/>
          <w:color w:val="auto"/>
        </w:rPr>
      </w:pPr>
      <w:r>
        <w:rPr>
          <w:rFonts w:ascii="Arial" w:cs="Arial" w:eastAsia="Arial" w:hAnsi="Arial"/>
          <w:sz w:val="18"/>
          <w:szCs w:val="18"/>
          <w:color w:val="auto"/>
        </w:rPr>
        <w:t>The information required by this Item is hereby incorporated by reference to our Proxy Statement, to be filed with the Securities and Exchange Commission no later than April 29, 2020, pursuant to Regulation 14A under the Securities Act.</w:t>
      </w:r>
    </w:p>
    <w:p>
      <w:pPr>
        <w:spacing w:after="0" w:line="27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18" w:lineRule="exact"/>
        <w:rPr>
          <w:sz w:val="20"/>
          <w:szCs w:val="20"/>
          <w:color w:val="auto"/>
        </w:rPr>
      </w:pPr>
    </w:p>
    <w:p>
      <w:pPr>
        <w:ind w:right="600" w:firstLine="555"/>
        <w:spacing w:after="0" w:line="271" w:lineRule="auto"/>
        <w:rPr>
          <w:sz w:val="20"/>
          <w:szCs w:val="20"/>
          <w:color w:val="auto"/>
        </w:rPr>
      </w:pPr>
      <w:r>
        <w:rPr>
          <w:rFonts w:ascii="Arial" w:cs="Arial" w:eastAsia="Arial" w:hAnsi="Arial"/>
          <w:sz w:val="18"/>
          <w:szCs w:val="18"/>
          <w:color w:val="auto"/>
        </w:rPr>
        <w:t>The information required by this Item is hereby incorporated by reference to our Proxy Statement, to be filed with the Securities and Exchange Commission no later than April 29, 2020, pursuant to Regulation 14A under the Securities Act.</w:t>
      </w:r>
    </w:p>
    <w:p>
      <w:pPr>
        <w:spacing w:after="0" w:line="27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4"/>
          <w:szCs w:val="14"/>
          <w:b w:val="1"/>
          <w:bCs w:val="1"/>
          <w:color w:val="auto"/>
        </w:rPr>
        <w:t>Principal Accounting Fees and Services.</w:t>
      </w:r>
    </w:p>
    <w:p>
      <w:pPr>
        <w:spacing w:after="0" w:line="118" w:lineRule="exact"/>
        <w:rPr>
          <w:sz w:val="20"/>
          <w:szCs w:val="20"/>
          <w:color w:val="auto"/>
        </w:rPr>
      </w:pPr>
    </w:p>
    <w:p>
      <w:pPr>
        <w:ind w:right="600" w:firstLine="555"/>
        <w:spacing w:after="0" w:line="271" w:lineRule="auto"/>
        <w:rPr>
          <w:sz w:val="20"/>
          <w:szCs w:val="20"/>
          <w:color w:val="auto"/>
        </w:rPr>
      </w:pPr>
      <w:r>
        <w:rPr>
          <w:rFonts w:ascii="Arial" w:cs="Arial" w:eastAsia="Arial" w:hAnsi="Arial"/>
          <w:sz w:val="18"/>
          <w:szCs w:val="18"/>
          <w:color w:val="auto"/>
        </w:rPr>
        <w:t>The information required by this Item is hereby incorporated by reference to our Proxy Statement, to be filed with the Securities and Exchange Commission no later than April 29, 2020, pursuant to Regulation 14A under the Securities Act.</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360"/>
          </w:cols>
          <w:pgMar w:left="240" w:top="335" w:right="299" w:bottom="1440" w:gutter="0" w:footer="0" w:header="0"/>
        </w:sectPr>
      </w:pPr>
    </w:p>
    <w:bookmarkStart w:id="77" w:name="page78"/>
    <w:bookmarkEnd w:id="77"/>
    <w:p>
      <w:pPr>
        <w:ind w:left="5360"/>
        <w:spacing w:after="0"/>
        <w:rPr>
          <w:sz w:val="20"/>
          <w:szCs w:val="20"/>
          <w:color w:val="auto"/>
        </w:rPr>
      </w:pPr>
      <w:r>
        <w:rPr>
          <w:rFonts w:ascii="Arial" w:cs="Arial" w:eastAsia="Arial" w:hAnsi="Arial"/>
          <w:sz w:val="18"/>
          <w:szCs w:val="18"/>
          <w:b w:val="1"/>
          <w:bCs w:val="1"/>
          <w:color w:val="auto"/>
        </w:rPr>
        <w:t>PART IV</w:t>
      </w:r>
    </w:p>
    <w:p>
      <w:pPr>
        <w:spacing w:after="0" w:line="2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4"/>
          <w:szCs w:val="14"/>
          <w:b w:val="1"/>
          <w:bCs w:val="1"/>
          <w:color w:val="auto"/>
        </w:rPr>
        <w:t>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(a)(i) Financial Statements</w:t>
      </w:r>
    </w:p>
    <w:p>
      <w:pPr>
        <w:spacing w:after="0" w:line="20" w:lineRule="exact"/>
        <w:rPr>
          <w:sz w:val="20"/>
          <w:szCs w:val="20"/>
          <w:color w:val="auto"/>
        </w:rPr>
      </w:pPr>
    </w:p>
    <w:p>
      <w:pPr>
        <w:ind w:left="440"/>
        <w:spacing w:after="0" w:line="207" w:lineRule="exact"/>
        <w:rPr>
          <w:sz w:val="20"/>
          <w:szCs w:val="20"/>
          <w:color w:val="auto"/>
        </w:rPr>
      </w:pPr>
      <w:r>
        <w:rPr>
          <w:rFonts w:ascii="Arial" w:cs="Arial" w:eastAsia="Arial" w:hAnsi="Arial"/>
          <w:sz w:val="18"/>
          <w:szCs w:val="18"/>
          <w:color w:val="auto"/>
        </w:rPr>
        <w:t>Included in Part II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Report of Independent Registered Public Accounting Firm</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Balance Sheets as of December 31, 2019 and 2018</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Statements of Income for the Years Ended December 31, 2019, 2018 and 2017</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Consolidated Statements of Comprehensive Income for the Years Ended December 31, 2019, 2018 and 2017</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Consolidated Statements of Stockholders’ Equity for the Years Ended December 31, 2019, 2018 and 2017</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Consolidated Statements of Cash Flows for the Years Ended December 31, 2019, 2018 and 2017</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(a)(ii) Financial Statement Schedule</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Years Ended December 31, 2019, 2018 and 2017</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Valuation and Qualifying Accounts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(a)(iii) Exhibits</w:t>
      </w:r>
    </w:p>
    <w:p>
      <w:pPr>
        <w:spacing w:after="0" w:line="20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0219"/>
          </w:cols>
          <w:pgMar w:left="240" w:top="335" w:right="1440"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0" w:type="dxa"/>
            <w:vAlign w:val="bottom"/>
            <w:gridSpan w:val="20"/>
            <w:vMerge w:val="restart"/>
          </w:tcPr>
          <w:p>
            <w:pPr>
              <w:ind w:left="1980"/>
              <w:spacing w:after="0"/>
              <w:rPr>
                <w:sz w:val="20"/>
                <w:szCs w:val="20"/>
                <w:color w:val="auto"/>
              </w:rPr>
            </w:pPr>
            <w:r>
              <w:rPr>
                <w:rFonts w:ascii="Arial" w:cs="Arial" w:eastAsia="Arial" w:hAnsi="Arial"/>
                <w:sz w:val="14"/>
                <w:szCs w:val="14"/>
                <w:b w:val="1"/>
                <w:bCs w:val="1"/>
                <w:color w:val="auto"/>
              </w:rPr>
              <w:t>ITEM TITLE</w:t>
            </w:r>
          </w:p>
        </w:tc>
        <w:tc>
          <w:tcPr>
            <w:tcW w:w="0" w:type="dxa"/>
            <w:vAlign w:val="bottom"/>
          </w:tcPr>
          <w:p>
            <w:pPr>
              <w:spacing w:after="0"/>
              <w:rPr>
                <w:sz w:val="1"/>
                <w:szCs w:val="1"/>
                <w:color w:val="auto"/>
              </w:rPr>
            </w:pPr>
          </w:p>
        </w:tc>
      </w:tr>
      <w:tr>
        <w:trPr>
          <w:trHeight w:val="170"/>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0" w:type="dxa"/>
            <w:vAlign w:val="bottom"/>
            <w:tcBorders>
              <w:bottom w:val="single" w:sz="8" w:color="auto"/>
            </w:tcBorders>
            <w:gridSpan w:val="2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10120" w:type="dxa"/>
            <w:vAlign w:val="bottom"/>
            <w:tcBorders>
              <w:bottom w:val="single" w:sz="8" w:color="0000EE"/>
            </w:tcBorders>
            <w:gridSpan w:val="20"/>
          </w:tcPr>
          <w:p>
            <w:pPr>
              <w:spacing w:after="0"/>
              <w:rPr>
                <w:rFonts w:ascii="Arial" w:cs="Arial" w:eastAsia="Arial" w:hAnsi="Arial"/>
                <w:sz w:val="18"/>
                <w:szCs w:val="18"/>
                <w:color w:val="0000EE"/>
                <w:w w:val="88"/>
              </w:rPr>
            </w:pPr>
            <w:hyperlink r:id="rId92">
              <w:r>
                <w:rPr>
                  <w:rFonts w:ascii="Arial" w:cs="Arial" w:eastAsia="Arial" w:hAnsi="Arial"/>
                  <w:sz w:val="18"/>
                  <w:szCs w:val="18"/>
                  <w:color w:val="0000EE"/>
                  <w:w w:val="88"/>
                </w:rPr>
                <w:t>Agreement and Plan of Merger, dated as of June 24, 2019, by and among Caesars Entertainment Corporation, Eldorado Resorts, Inc. and Colt</w:t>
              </w:r>
            </w:hyperlink>
          </w:p>
        </w:tc>
        <w:tc>
          <w:tcPr>
            <w:tcW w:w="2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0" w:type="dxa"/>
            <w:vAlign w:val="bottom"/>
            <w:gridSpan w:val="29"/>
          </w:tcPr>
          <w:p>
            <w:pPr>
              <w:spacing w:after="0" w:line="195" w:lineRule="exact"/>
              <w:rPr>
                <w:rFonts w:ascii="Arial" w:cs="Arial" w:eastAsia="Arial" w:hAnsi="Arial"/>
                <w:sz w:val="18"/>
                <w:szCs w:val="18"/>
                <w:color w:val="0000EE"/>
              </w:rPr>
            </w:pPr>
            <w:hyperlink r:id="rId92">
              <w:r>
                <w:rPr>
                  <w:rFonts w:ascii="Arial" w:cs="Arial" w:eastAsia="Arial" w:hAnsi="Arial"/>
                  <w:sz w:val="18"/>
                  <w:szCs w:val="18"/>
                  <w:color w:val="0000EE"/>
                </w:rPr>
                <w:t>Merger Sub, Inc. (incorporated by reference to our Current Report on Form 8-K filed on June 25, 2019).</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60" w:type="dxa"/>
            <w:vAlign w:val="bottom"/>
            <w:tcBorders>
              <w:bottom w:val="single" w:sz="8" w:color="0000EE"/>
            </w:tcBorders>
            <w:gridSpan w:val="25"/>
          </w:tcPr>
          <w:p>
            <w:pPr>
              <w:spacing w:after="0"/>
              <w:rPr>
                <w:rFonts w:ascii="Arial" w:cs="Arial" w:eastAsia="Arial" w:hAnsi="Arial"/>
                <w:sz w:val="18"/>
                <w:szCs w:val="18"/>
                <w:color w:val="0000EE"/>
                <w:w w:val="89"/>
              </w:rPr>
            </w:pPr>
            <w:hyperlink r:id="rId93">
              <w:r>
                <w:rPr>
                  <w:rFonts w:ascii="Arial" w:cs="Arial" w:eastAsia="Arial" w:hAnsi="Arial"/>
                  <w:sz w:val="18"/>
                  <w:szCs w:val="18"/>
                  <w:color w:val="0000EE"/>
                  <w:w w:val="89"/>
                </w:rPr>
                <w:t>Amendment No. 1 to Agreement and Plan of Merger, dated as of August 15, 2019, by and among Caesars Entertainment Corporation, Eldorado</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0" w:type="dxa"/>
            <w:vAlign w:val="bottom"/>
            <w:gridSpan w:val="29"/>
          </w:tcPr>
          <w:p>
            <w:pPr>
              <w:spacing w:after="0" w:line="195" w:lineRule="exact"/>
              <w:rPr>
                <w:rFonts w:ascii="Arial" w:cs="Arial" w:eastAsia="Arial" w:hAnsi="Arial"/>
                <w:sz w:val="18"/>
                <w:szCs w:val="18"/>
                <w:color w:val="0000EE"/>
              </w:rPr>
            </w:pPr>
            <w:hyperlink r:id="rId93">
              <w:r>
                <w:rPr>
                  <w:rFonts w:ascii="Arial" w:cs="Arial" w:eastAsia="Arial" w:hAnsi="Arial"/>
                  <w:sz w:val="18"/>
                  <w:szCs w:val="18"/>
                  <w:color w:val="0000EE"/>
                </w:rPr>
                <w:t xml:space="preserve">Resorts, Inc. and Colt Merger Sub, Inc. </w:t>
              </w:r>
            </w:hyperlink>
            <w:hyperlink r:id="rId94">
              <w:r>
                <w:rPr>
                  <w:rFonts w:ascii="Arial" w:cs="Arial" w:eastAsia="Arial" w:hAnsi="Arial"/>
                  <w:sz w:val="18"/>
                  <w:szCs w:val="18"/>
                  <w:color w:val="0000EE"/>
                  <w:highlight w:val="white"/>
                </w:rPr>
                <w:t>(incorporated by reference to our Current Report on Form 8-K filed on August 16, 2019).</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2.3</w:t>
            </w:r>
            <w:r>
              <w:rPr>
                <w:rFonts w:ascii="MS PGothic" w:cs="MS PGothic" w:eastAsia="MS PGothic" w:hAnsi="MS PGothic"/>
                <w:sz w:val="18"/>
                <w:szCs w:val="18"/>
                <w:color w:val="auto"/>
              </w:rPr>
              <w:t>⁺</w:t>
            </w: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0" w:type="dxa"/>
            <w:vAlign w:val="bottom"/>
            <w:gridSpan w:val="29"/>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Equity Purchase Agreement, dated as of June 17, 2019, by and among Isle of Capri Casinos LLC, MTR Gaming Group, Inc., Century Casinos,</w:t>
              </w:r>
            </w:hyperlink>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0" w:type="dxa"/>
            <w:vAlign w:val="bottom"/>
            <w:tcBorders>
              <w:top w:val="single" w:sz="8" w:color="0000EE"/>
            </w:tcBorders>
            <w:gridSpan w:val="23"/>
          </w:tcPr>
          <w:p>
            <w:pPr>
              <w:spacing w:after="0" w:line="195"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Inc., VICI Properties L.P. and, solely for purposes of Section 9.17, Eldorado Resorts, Inc. (incorporated by reference to our Current Report on</w:t>
              </w:r>
            </w:hyperlink>
          </w:p>
        </w:tc>
        <w:tc>
          <w:tcPr>
            <w:tcW w:w="20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Borders>
              <w:top w:val="single" w:sz="8" w:color="0000EE"/>
              <w:bottom w:val="single" w:sz="8" w:color="0000EE"/>
            </w:tcBorders>
            <w:gridSpan w:val="8"/>
          </w:tcPr>
          <w:p>
            <w:pPr>
              <w:spacing w:after="0" w:line="195"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Form 8-K filed on June 17, 2019).</w:t>
              </w:r>
            </w:hyperlink>
          </w:p>
        </w:tc>
        <w:tc>
          <w:tcPr>
            <w:tcW w:w="7660" w:type="dxa"/>
            <w:vAlign w:val="bottom"/>
            <w:tcBorders>
              <w:top w:val="single" w:sz="8" w:color="0000EE"/>
            </w:tcBorders>
            <w:gridSpan w:val="12"/>
          </w:tcPr>
          <w:p>
            <w:pPr>
              <w:spacing w:after="0"/>
              <w:rPr>
                <w:sz w:val="16"/>
                <w:szCs w:val="16"/>
                <w:color w:val="auto"/>
              </w:rPr>
            </w:pPr>
          </w:p>
        </w:tc>
        <w:tc>
          <w:tcPr>
            <w:tcW w:w="28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920" w:type="dxa"/>
            <w:vAlign w:val="bottom"/>
          </w:tcPr>
          <w:p>
            <w:pPr>
              <w:ind w:left="1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400" w:type="dxa"/>
            <w:vAlign w:val="bottom"/>
            <w:gridSpan w:val="29"/>
          </w:tcPr>
          <w:p>
            <w:pPr>
              <w:spacing w:after="0"/>
              <w:rPr>
                <w:rFonts w:ascii="Arial" w:cs="Arial" w:eastAsia="Arial" w:hAnsi="Arial"/>
                <w:sz w:val="18"/>
                <w:szCs w:val="18"/>
                <w:color w:val="0000EE"/>
                <w:w w:val="92"/>
              </w:rPr>
            </w:pPr>
            <w:hyperlink r:id="rId94">
              <w:r>
                <w:rPr>
                  <w:rFonts w:ascii="Arial" w:cs="Arial" w:eastAsia="Arial" w:hAnsi="Arial"/>
                  <w:sz w:val="18"/>
                  <w:szCs w:val="18"/>
                  <w:color w:val="0000EE"/>
                  <w:w w:val="92"/>
                </w:rPr>
                <w:t>Amended and Restated Articles of Incorporation (incorporated by reference to our Current Report on Form 8-K filed on September 19, 2014).</w:t>
              </w:r>
            </w:hyperlink>
          </w:p>
        </w:tc>
        <w:tc>
          <w:tcPr>
            <w:tcW w:w="0" w:type="dxa"/>
            <w:vAlign w:val="bottom"/>
          </w:tcPr>
          <w:p>
            <w:pPr>
              <w:spacing w:after="0"/>
              <w:rPr>
                <w:sz w:val="1"/>
                <w:szCs w:val="1"/>
                <w:color w:val="auto"/>
              </w:rPr>
            </w:pPr>
          </w:p>
        </w:tc>
      </w:tr>
      <w:tr>
        <w:trPr>
          <w:trHeight w:val="408"/>
        </w:trPr>
        <w:tc>
          <w:tcPr>
            <w:tcW w:w="920" w:type="dxa"/>
            <w:vAlign w:val="bottom"/>
          </w:tcPr>
          <w:p>
            <w:pPr>
              <w:ind w:left="1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98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Certificate of Amendment to Articles of Incorporation (incorporated by reference to our Quarterly Report on Form 10-Q filed on August 7,</w:t>
              </w:r>
            </w:hyperlink>
          </w:p>
        </w:tc>
        <w:tc>
          <w:tcPr>
            <w:tcW w:w="260" w:type="dxa"/>
            <w:vAlign w:val="bottom"/>
            <w:tcBorders>
              <w:top w:val="single" w:sz="8" w:color="0000EE"/>
            </w:tcBorders>
            <w:gridSpan w:val="5"/>
          </w:tcPr>
          <w:p>
            <w:pPr>
              <w:spacing w:after="0"/>
              <w:rPr>
                <w:sz w:val="24"/>
                <w:szCs w:val="24"/>
                <w:color w:val="auto"/>
              </w:rPr>
            </w:pPr>
          </w:p>
        </w:tc>
        <w:tc>
          <w:tcPr>
            <w:tcW w:w="2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0000EE"/>
            </w:tcBorders>
            <w:gridSpan w:val="2"/>
          </w:tcPr>
          <w:p>
            <w:pPr>
              <w:spacing w:after="0" w:line="195" w:lineRule="exact"/>
              <w:rPr>
                <w:rFonts w:ascii="Arial" w:cs="Arial" w:eastAsia="Arial" w:hAnsi="Arial"/>
                <w:sz w:val="18"/>
                <w:szCs w:val="18"/>
                <w:color w:val="0000EE"/>
                <w:w w:val="86"/>
              </w:rPr>
            </w:pPr>
            <w:hyperlink r:id="rId96">
              <w:r>
                <w:rPr>
                  <w:rFonts w:ascii="Arial" w:cs="Arial" w:eastAsia="Arial" w:hAnsi="Arial"/>
                  <w:sz w:val="18"/>
                  <w:szCs w:val="18"/>
                  <w:color w:val="0000EE"/>
                  <w:w w:val="86"/>
                </w:rPr>
                <w:t>2018).</w:t>
              </w:r>
            </w:hyperlink>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920" w:type="dxa"/>
            <w:vAlign w:val="bottom"/>
          </w:tcPr>
          <w:p>
            <w:pPr>
              <w:ind w:left="18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8700" w:type="dxa"/>
            <w:vAlign w:val="bottom"/>
            <w:tcBorders>
              <w:bottom w:val="single" w:sz="8" w:color="0000EE"/>
            </w:tcBorders>
            <w:gridSpan w:val="13"/>
          </w:tcPr>
          <w:p>
            <w:pPr>
              <w:spacing w:after="0" w:line="207" w:lineRule="exact"/>
              <w:rPr>
                <w:rFonts w:ascii="Arial" w:cs="Arial" w:eastAsia="Arial" w:hAnsi="Arial"/>
                <w:sz w:val="18"/>
                <w:szCs w:val="18"/>
                <w:color w:val="0000EE"/>
                <w:w w:val="87"/>
              </w:rPr>
            </w:pPr>
            <w:hyperlink r:id="rId97">
              <w:r>
                <w:rPr>
                  <w:rFonts w:ascii="Arial" w:cs="Arial" w:eastAsia="Arial" w:hAnsi="Arial"/>
                  <w:sz w:val="18"/>
                  <w:szCs w:val="18"/>
                  <w:color w:val="0000EE"/>
                  <w:w w:val="87"/>
                </w:rPr>
                <w:t>Amended and Restated Bylaws (incorporated by reference to our Current Report on Form 8</w:t>
              </w:r>
              <w:r>
                <w:rPr>
                  <w:rFonts w:ascii="MS PGothic" w:cs="MS PGothic" w:eastAsia="MS PGothic" w:hAnsi="MS PGothic"/>
                  <w:sz w:val="18"/>
                  <w:szCs w:val="18"/>
                  <w:color w:val="0000EE"/>
                  <w:w w:val="87"/>
                </w:rPr>
                <w:t>‑</w:t>
              </w:r>
              <w:r>
                <w:rPr>
                  <w:rFonts w:ascii="Arial" w:cs="Arial" w:eastAsia="Arial" w:hAnsi="Arial"/>
                  <w:sz w:val="18"/>
                  <w:szCs w:val="18"/>
                  <w:color w:val="0000EE"/>
                  <w:w w:val="87"/>
                </w:rPr>
                <w:t>K filed on September 19, 2014).</w:t>
              </w:r>
            </w:hyperlink>
          </w:p>
        </w:tc>
        <w:tc>
          <w:tcPr>
            <w:tcW w:w="17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920" w:type="dxa"/>
            <w:vAlign w:val="bottom"/>
          </w:tcPr>
          <w:p>
            <w:pPr>
              <w:ind w:left="18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0400" w:type="dxa"/>
            <w:vAlign w:val="bottom"/>
            <w:gridSpan w:val="29"/>
          </w:tcPr>
          <w:p>
            <w:pPr>
              <w:spacing w:after="0" w:line="207" w:lineRule="exact"/>
              <w:rPr>
                <w:rFonts w:ascii="Arial" w:cs="Arial" w:eastAsia="Arial" w:hAnsi="Arial"/>
                <w:sz w:val="18"/>
                <w:szCs w:val="18"/>
                <w:color w:val="0000EE"/>
              </w:rPr>
            </w:pPr>
            <w:hyperlink r:id="rId98">
              <w:r>
                <w:rPr>
                  <w:rFonts w:ascii="Arial" w:cs="Arial" w:eastAsia="Arial" w:hAnsi="Arial"/>
                  <w:sz w:val="18"/>
                  <w:szCs w:val="18"/>
                  <w:color w:val="0000EE"/>
                </w:rPr>
                <w:t>Specimen Stock Certificate of the Company (incorporated by reference to our Form S</w:t>
              </w:r>
              <w:r>
                <w:rPr>
                  <w:rFonts w:ascii="MS PGothic" w:cs="MS PGothic" w:eastAsia="MS PGothic" w:hAnsi="MS PGothic"/>
                  <w:sz w:val="18"/>
                  <w:szCs w:val="18"/>
                  <w:color w:val="0000EE"/>
                </w:rPr>
                <w:t>‑</w:t>
              </w:r>
              <w:r>
                <w:rPr>
                  <w:rFonts w:ascii="Arial" w:cs="Arial" w:eastAsia="Arial" w:hAnsi="Arial"/>
                  <w:sz w:val="18"/>
                  <w:szCs w:val="18"/>
                  <w:color w:val="0000EE"/>
                </w:rPr>
                <w:t>4/A filed on April 21, 2014).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900" w:type="dxa"/>
            <w:vAlign w:val="bottom"/>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920" w:type="dxa"/>
            <w:vAlign w:val="bottom"/>
          </w:tcPr>
          <w:p>
            <w:pPr>
              <w:ind w:left="18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0400" w:type="dxa"/>
            <w:vAlign w:val="bottom"/>
            <w:gridSpan w:val="29"/>
          </w:tcPr>
          <w:p>
            <w:pPr>
              <w:spacing w:after="0"/>
              <w:rPr>
                <w:rFonts w:ascii="Arial" w:cs="Arial" w:eastAsia="Arial" w:hAnsi="Arial"/>
                <w:sz w:val="18"/>
                <w:szCs w:val="18"/>
                <w:color w:val="0000EE"/>
                <w:w w:val="92"/>
              </w:rPr>
            </w:pPr>
            <w:hyperlink r:id="rId99">
              <w:r>
                <w:rPr>
                  <w:rFonts w:ascii="Arial" w:cs="Arial" w:eastAsia="Arial" w:hAnsi="Arial"/>
                  <w:sz w:val="18"/>
                  <w:szCs w:val="18"/>
                  <w:color w:val="0000EE"/>
                  <w:w w:val="92"/>
                </w:rPr>
                <w:t>Indenture dated as of June 23, 2015, by and among Eldorado Resorts, Inc., the guarantors party thereto, U.S. Bank National Association, as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7320" w:type="dxa"/>
            <w:vAlign w:val="bottom"/>
            <w:gridSpan w:val="5"/>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0" w:type="dxa"/>
            <w:vAlign w:val="bottom"/>
            <w:gridSpan w:val="29"/>
          </w:tcPr>
          <w:p>
            <w:pPr>
              <w:spacing w:after="0" w:line="195"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Trustee, and Capital One, N.A., as Collateral Trustee, and Form of Note (incorporated by reference to our Current Report on Form 8-K filed on</w:t>
              </w:r>
            </w:hyperlink>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0000EE"/>
              <w:bottom w:val="single" w:sz="8" w:color="0000EE"/>
            </w:tcBorders>
            <w:gridSpan w:val="4"/>
          </w:tcPr>
          <w:p>
            <w:pPr>
              <w:spacing w:after="0" w:line="195" w:lineRule="exact"/>
              <w:rPr>
                <w:rFonts w:ascii="Arial" w:cs="Arial" w:eastAsia="Arial" w:hAnsi="Arial"/>
                <w:sz w:val="18"/>
                <w:szCs w:val="18"/>
                <w:color w:val="0000EE"/>
                <w:w w:val="89"/>
              </w:rPr>
            </w:pPr>
            <w:hyperlink r:id="rId99">
              <w:r>
                <w:rPr>
                  <w:rFonts w:ascii="Arial" w:cs="Arial" w:eastAsia="Arial" w:hAnsi="Arial"/>
                  <w:sz w:val="18"/>
                  <w:szCs w:val="18"/>
                  <w:color w:val="0000EE"/>
                  <w:w w:val="89"/>
                </w:rPr>
                <w:t>July 23, 2015).</w:t>
              </w:r>
            </w:hyperlink>
          </w:p>
        </w:tc>
        <w:tc>
          <w:tcPr>
            <w:tcW w:w="9140" w:type="dxa"/>
            <w:vAlign w:val="bottom"/>
            <w:tcBorders>
              <w:top w:val="single" w:sz="8" w:color="0000EE"/>
            </w:tcBorders>
            <w:gridSpan w:val="20"/>
          </w:tcPr>
          <w:p>
            <w:pPr>
              <w:spacing w:after="0"/>
              <w:rPr>
                <w:sz w:val="16"/>
                <w:szCs w:val="16"/>
                <w:color w:val="auto"/>
              </w:rPr>
            </w:pPr>
          </w:p>
        </w:tc>
        <w:tc>
          <w:tcPr>
            <w:tcW w:w="18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920" w:type="dxa"/>
            <w:vAlign w:val="bottom"/>
          </w:tcPr>
          <w:p>
            <w:pPr>
              <w:ind w:left="18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0280" w:type="dxa"/>
            <w:vAlign w:val="bottom"/>
            <w:tcBorders>
              <w:bottom w:val="single" w:sz="8" w:color="0000EE"/>
            </w:tcBorders>
            <w:gridSpan w:val="26"/>
          </w:tcPr>
          <w:p>
            <w:pPr>
              <w:spacing w:after="0"/>
              <w:rPr>
                <w:rFonts w:ascii="Arial" w:cs="Arial" w:eastAsia="Arial" w:hAnsi="Arial"/>
                <w:sz w:val="18"/>
                <w:szCs w:val="18"/>
                <w:color w:val="0000EE"/>
                <w:w w:val="88"/>
              </w:rPr>
            </w:pPr>
            <w:hyperlink r:id="rId100">
              <w:r>
                <w:rPr>
                  <w:rFonts w:ascii="Arial" w:cs="Arial" w:eastAsia="Arial" w:hAnsi="Arial"/>
                  <w:sz w:val="18"/>
                  <w:szCs w:val="18"/>
                  <w:color w:val="0000EE"/>
                  <w:w w:val="88"/>
                </w:rPr>
                <w:t>First Supplemental Indenture, dated as of December 15, 2015, by and among Eldorado Resorts, Inc., the guarantors party thereto and U.S. Bank</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80" w:type="dxa"/>
            <w:vAlign w:val="bottom"/>
            <w:tcBorders>
              <w:bottom w:val="single" w:sz="8" w:color="0000EE"/>
            </w:tcBorders>
            <w:gridSpan w:val="26"/>
          </w:tcPr>
          <w:p>
            <w:pPr>
              <w:spacing w:after="0" w:line="195" w:lineRule="exact"/>
              <w:rPr>
                <w:rFonts w:ascii="Arial" w:cs="Arial" w:eastAsia="Arial" w:hAnsi="Arial"/>
                <w:sz w:val="18"/>
                <w:szCs w:val="18"/>
                <w:color w:val="0000EE"/>
                <w:w w:val="89"/>
              </w:rPr>
            </w:pPr>
            <w:hyperlink r:id="rId100">
              <w:r>
                <w:rPr>
                  <w:rFonts w:ascii="Arial" w:cs="Arial" w:eastAsia="Arial" w:hAnsi="Arial"/>
                  <w:sz w:val="18"/>
                  <w:szCs w:val="18"/>
                  <w:color w:val="0000EE"/>
                  <w:w w:val="89"/>
                </w:rPr>
                <w:t>National Association, as Trustee, under the 2023 Notes Indenture (incorporated by reference to our Registration Statement on Form S-4 filed on</w:t>
              </w:r>
            </w:hyperlink>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0000EE"/>
            </w:tcBorders>
            <w:gridSpan w:val="7"/>
          </w:tcPr>
          <w:p>
            <w:pPr>
              <w:spacing w:after="0" w:line="195" w:lineRule="exact"/>
              <w:rPr>
                <w:rFonts w:ascii="Arial" w:cs="Arial" w:eastAsia="Arial" w:hAnsi="Arial"/>
                <w:sz w:val="18"/>
                <w:szCs w:val="18"/>
                <w:color w:val="0000EE"/>
                <w:w w:val="87"/>
              </w:rPr>
            </w:pPr>
            <w:hyperlink r:id="rId100">
              <w:r>
                <w:rPr>
                  <w:rFonts w:ascii="Arial" w:cs="Arial" w:eastAsia="Arial" w:hAnsi="Arial"/>
                  <w:sz w:val="18"/>
                  <w:szCs w:val="18"/>
                  <w:color w:val="0000EE"/>
                  <w:w w:val="87"/>
                </w:rPr>
                <w:t>January 14, 2016).</w:t>
              </w:r>
            </w:hyperlink>
          </w:p>
        </w:tc>
        <w:tc>
          <w:tcPr>
            <w:tcW w:w="9060" w:type="dxa"/>
            <w:vAlign w:val="bottom"/>
            <w:gridSpan w:val="22"/>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920" w:type="dxa"/>
            <w:vAlign w:val="bottom"/>
          </w:tcPr>
          <w:p>
            <w:pPr>
              <w:ind w:left="1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0400" w:type="dxa"/>
            <w:vAlign w:val="bottom"/>
            <w:gridSpan w:val="29"/>
          </w:tcPr>
          <w:p>
            <w:pPr>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Second Supplemental Indenture, dated as of May 26, 2016, by and among Eldorado Resorts, Inc., the guarantors party thereto, and U.S. Bank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60" w:type="dxa"/>
            <w:vAlign w:val="bottom"/>
            <w:tcBorders>
              <w:left w:val="single" w:sz="8" w:color="0000EE"/>
            </w:tcBorders>
            <w:gridSpan w:val="6"/>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80" w:type="dxa"/>
            <w:vAlign w:val="bottom"/>
            <w:tcBorders>
              <w:bottom w:val="single" w:sz="8" w:color="0000EE"/>
            </w:tcBorders>
            <w:gridSpan w:val="26"/>
          </w:tcPr>
          <w:p>
            <w:pPr>
              <w:spacing w:after="0" w:line="195" w:lineRule="exact"/>
              <w:rPr>
                <w:rFonts w:ascii="Arial" w:cs="Arial" w:eastAsia="Arial" w:hAnsi="Arial"/>
                <w:sz w:val="18"/>
                <w:szCs w:val="18"/>
                <w:color w:val="0000EE"/>
                <w:w w:val="89"/>
              </w:rPr>
            </w:pPr>
            <w:hyperlink r:id="rId101">
              <w:r>
                <w:rPr>
                  <w:rFonts w:ascii="Arial" w:cs="Arial" w:eastAsia="Arial" w:hAnsi="Arial"/>
                  <w:sz w:val="18"/>
                  <w:szCs w:val="18"/>
                  <w:color w:val="0000EE"/>
                  <w:w w:val="89"/>
                </w:rPr>
                <w:t>National Association, as Trustee, under the 2023 Notes Indenture (incorporated by reference to our Registration Statement on Form S-4 filed on</w:t>
              </w:r>
            </w:hyperlink>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0" w:type="dxa"/>
            <w:vAlign w:val="bottom"/>
            <w:gridSpan w:val="29"/>
          </w:tcPr>
          <w:p>
            <w:pPr>
              <w:spacing w:after="0" w:line="195" w:lineRule="exact"/>
              <w:rPr>
                <w:rFonts w:ascii="Arial" w:cs="Arial" w:eastAsia="Arial" w:hAnsi="Arial"/>
                <w:sz w:val="18"/>
                <w:szCs w:val="18"/>
                <w:color w:val="0000EE"/>
              </w:rPr>
            </w:pPr>
            <w:hyperlink r:id="rId101">
              <w:r>
                <w:rPr>
                  <w:rFonts w:ascii="Arial" w:cs="Arial" w:eastAsia="Arial" w:hAnsi="Arial"/>
                  <w:sz w:val="18"/>
                  <w:szCs w:val="18"/>
                  <w:color w:val="0000EE"/>
                </w:rPr>
                <w:t>June 16, 2017).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60" w:type="dxa"/>
            <w:vAlign w:val="bottom"/>
            <w:gridSpan w:val="6"/>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920" w:type="dxa"/>
            <w:vAlign w:val="bottom"/>
          </w:tcPr>
          <w:p>
            <w:pPr>
              <w:ind w:left="18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10100" w:type="dxa"/>
            <w:vAlign w:val="bottom"/>
            <w:tcBorders>
              <w:bottom w:val="single" w:sz="8" w:color="0000EE"/>
            </w:tcBorders>
            <w:gridSpan w:val="19"/>
          </w:tcPr>
          <w:p>
            <w:pPr>
              <w:spacing w:after="0"/>
              <w:rPr>
                <w:rFonts w:ascii="Arial" w:cs="Arial" w:eastAsia="Arial" w:hAnsi="Arial"/>
                <w:sz w:val="18"/>
                <w:szCs w:val="18"/>
                <w:color w:val="0000EE"/>
                <w:w w:val="89"/>
              </w:rPr>
            </w:pPr>
            <w:hyperlink r:id="rId102">
              <w:r>
                <w:rPr>
                  <w:rFonts w:ascii="Arial" w:cs="Arial" w:eastAsia="Arial" w:hAnsi="Arial"/>
                  <w:sz w:val="18"/>
                  <w:szCs w:val="18"/>
                  <w:color w:val="0000EE"/>
                  <w:w w:val="89"/>
                </w:rPr>
                <w:t>Third Supplemental Indenture, dated as of March 16, 2017, by and among Eldorado Resorts, Inc., the guarantors party thereto and U.S. Bank</w:t>
              </w:r>
            </w:hyperlink>
          </w:p>
        </w:tc>
        <w:tc>
          <w:tcPr>
            <w:tcW w:w="3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60" w:type="dxa"/>
            <w:vAlign w:val="bottom"/>
            <w:tcBorders>
              <w:bottom w:val="single" w:sz="8" w:color="0000EE"/>
            </w:tcBorders>
            <w:gridSpan w:val="15"/>
          </w:tcPr>
          <w:p>
            <w:pPr>
              <w:spacing w:after="0" w:line="195"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National Association, as Trustee, under the 2023 Notes Indenture (incorporated by reference to our Current Report on Form 8-K filed on</w:t>
              </w:r>
            </w:hyperlink>
          </w:p>
        </w:tc>
        <w:tc>
          <w:tcPr>
            <w:tcW w:w="64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0" w:type="dxa"/>
            <w:vAlign w:val="bottom"/>
            <w:gridSpan w:val="29"/>
          </w:tcPr>
          <w:p>
            <w:pPr>
              <w:spacing w:after="0" w:line="195" w:lineRule="exact"/>
              <w:rPr>
                <w:rFonts w:ascii="Arial" w:cs="Arial" w:eastAsia="Arial" w:hAnsi="Arial"/>
                <w:sz w:val="18"/>
                <w:szCs w:val="18"/>
                <w:color w:val="0000EE"/>
              </w:rPr>
            </w:pPr>
            <w:hyperlink r:id="rId102">
              <w:r>
                <w:rPr>
                  <w:rFonts w:ascii="Arial" w:cs="Arial" w:eastAsia="Arial" w:hAnsi="Arial"/>
                  <w:sz w:val="18"/>
                  <w:szCs w:val="18"/>
                  <w:color w:val="0000EE"/>
                </w:rPr>
                <w:t>March 22, 2017).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460" w:type="dxa"/>
            <w:vAlign w:val="bottom"/>
            <w:tcBorders>
              <w:left w:val="single" w:sz="8" w:color="0000EE"/>
            </w:tcBorders>
            <w:gridSpan w:val="6"/>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920" w:type="dxa"/>
            <w:vAlign w:val="bottom"/>
          </w:tcPr>
          <w:p>
            <w:pPr>
              <w:ind w:left="18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10400" w:type="dxa"/>
            <w:vAlign w:val="bottom"/>
            <w:gridSpan w:val="29"/>
          </w:tcPr>
          <w:p>
            <w:pPr>
              <w:spacing w:after="0"/>
              <w:rPr>
                <w:rFonts w:ascii="Arial" w:cs="Arial" w:eastAsia="Arial" w:hAnsi="Arial"/>
                <w:sz w:val="18"/>
                <w:szCs w:val="18"/>
                <w:color w:val="0000EE"/>
                <w:w w:val="93"/>
              </w:rPr>
            </w:pPr>
            <w:hyperlink r:id="rId103">
              <w:r>
                <w:rPr>
                  <w:rFonts w:ascii="Arial" w:cs="Arial" w:eastAsia="Arial" w:hAnsi="Arial"/>
                  <w:sz w:val="18"/>
                  <w:szCs w:val="18"/>
                  <w:color w:val="0000EE"/>
                  <w:w w:val="93"/>
                </w:rPr>
                <w:t>Fourth Supplemental Indenture, dated as of May 1, 2017, by and among Eldorado Resorts, Inc., the guarantors party thereto and U.S. Bank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460" w:type="dxa"/>
            <w:vAlign w:val="bottom"/>
            <w:tcBorders>
              <w:left w:val="single" w:sz="8" w:color="0000EE"/>
            </w:tcBorders>
            <w:gridSpan w:val="6"/>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0" w:type="dxa"/>
            <w:vAlign w:val="bottom"/>
            <w:gridSpan w:val="29"/>
          </w:tcPr>
          <w:p>
            <w:pPr>
              <w:spacing w:after="0" w:line="195"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National Association, as Trustee, under the 2023 Notes Indenture (incorporated by reference to our Current Report on Form 8-K filed on May 1,</w:t>
              </w:r>
            </w:hyperlink>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0000EE"/>
              <w:bottom w:val="single" w:sz="8" w:color="0000EE"/>
            </w:tcBorders>
            <w:gridSpan w:val="2"/>
          </w:tcPr>
          <w:p>
            <w:pPr>
              <w:spacing w:after="0" w:line="195" w:lineRule="exact"/>
              <w:rPr>
                <w:rFonts w:ascii="Arial" w:cs="Arial" w:eastAsia="Arial" w:hAnsi="Arial"/>
                <w:sz w:val="18"/>
                <w:szCs w:val="18"/>
                <w:color w:val="0000EE"/>
                <w:w w:val="86"/>
              </w:rPr>
            </w:pPr>
            <w:hyperlink r:id="rId103">
              <w:r>
                <w:rPr>
                  <w:rFonts w:ascii="Arial" w:cs="Arial" w:eastAsia="Arial" w:hAnsi="Arial"/>
                  <w:sz w:val="18"/>
                  <w:szCs w:val="18"/>
                  <w:color w:val="0000EE"/>
                  <w:w w:val="86"/>
                </w:rPr>
                <w:t>2017).</w:t>
              </w:r>
            </w:hyperlink>
          </w:p>
        </w:tc>
        <w:tc>
          <w:tcPr>
            <w:tcW w:w="1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1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4640" w:type="dxa"/>
            <w:vAlign w:val="bottom"/>
            <w:tcBorders>
              <w:top w:val="single" w:sz="8" w:color="0000EE"/>
            </w:tcBorders>
          </w:tcPr>
          <w:p>
            <w:pPr>
              <w:spacing w:after="0"/>
              <w:rPr>
                <w:sz w:val="16"/>
                <w:szCs w:val="16"/>
                <w:color w:val="auto"/>
              </w:rPr>
            </w:pPr>
          </w:p>
        </w:tc>
        <w:tc>
          <w:tcPr>
            <w:tcW w:w="80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920" w:type="dxa"/>
            <w:vAlign w:val="bottom"/>
          </w:tcPr>
          <w:p>
            <w:pPr>
              <w:ind w:left="18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10400" w:type="dxa"/>
            <w:vAlign w:val="bottom"/>
            <w:gridSpan w:val="29"/>
          </w:tcPr>
          <w:p>
            <w:pPr>
              <w:spacing w:after="0"/>
              <w:rPr>
                <w:rFonts w:ascii="Arial" w:cs="Arial" w:eastAsia="Arial" w:hAnsi="Arial"/>
                <w:sz w:val="18"/>
                <w:szCs w:val="18"/>
                <w:color w:val="0000EE"/>
                <w:w w:val="93"/>
              </w:rPr>
            </w:pPr>
            <w:hyperlink r:id="rId103">
              <w:r>
                <w:rPr>
                  <w:rFonts w:ascii="Arial" w:cs="Arial" w:eastAsia="Arial" w:hAnsi="Arial"/>
                  <w:sz w:val="18"/>
                  <w:szCs w:val="18"/>
                  <w:color w:val="0000EE"/>
                  <w:w w:val="93"/>
                </w:rPr>
                <w:t>Fifth Supplemental Indenture, dated as of June 18, 2018, by and among Eldorado Resorts, Inc., the guarantors party thereto and U.S. Bank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460" w:type="dxa"/>
            <w:vAlign w:val="bottom"/>
            <w:tcBorders>
              <w:left w:val="single" w:sz="8" w:color="0000EE"/>
            </w:tcBorders>
            <w:gridSpan w:val="6"/>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0" w:type="dxa"/>
            <w:vAlign w:val="bottom"/>
            <w:gridSpan w:val="29"/>
          </w:tcPr>
          <w:p>
            <w:pPr>
              <w:spacing w:after="0" w:line="195" w:lineRule="exact"/>
              <w:rPr>
                <w:rFonts w:ascii="Arial" w:cs="Arial" w:eastAsia="Arial" w:hAnsi="Arial"/>
                <w:sz w:val="18"/>
                <w:szCs w:val="18"/>
                <w:color w:val="0000EE"/>
                <w:w w:val="93"/>
              </w:rPr>
            </w:pPr>
            <w:hyperlink r:id="rId103">
              <w:r>
                <w:rPr>
                  <w:rFonts w:ascii="Arial" w:cs="Arial" w:eastAsia="Arial" w:hAnsi="Arial"/>
                  <w:sz w:val="18"/>
                  <w:szCs w:val="18"/>
                  <w:color w:val="0000EE"/>
                  <w:w w:val="93"/>
                </w:rPr>
                <w:t>National Association, as Trustee, under the 2023 Notes Indenture (incorporated by reference to our Quarterly Report on Form 10-Q filed on</w:t>
              </w:r>
            </w:hyperlink>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top w:val="single" w:sz="8" w:color="0000EE"/>
            </w:tcBorders>
            <w:gridSpan w:val="17"/>
          </w:tcPr>
          <w:p>
            <w:pPr>
              <w:spacing w:after="0" w:line="195" w:lineRule="exact"/>
              <w:rPr>
                <w:rFonts w:ascii="Arial" w:cs="Arial" w:eastAsia="Arial" w:hAnsi="Arial"/>
                <w:sz w:val="18"/>
                <w:szCs w:val="18"/>
                <w:color w:val="0000EE"/>
              </w:rPr>
            </w:pPr>
            <w:hyperlink r:id="rId103">
              <w:r>
                <w:rPr>
                  <w:rFonts w:ascii="Arial" w:cs="Arial" w:eastAsia="Arial" w:hAnsi="Arial"/>
                  <w:sz w:val="18"/>
                  <w:szCs w:val="18"/>
                  <w:color w:val="0000EE"/>
                </w:rPr>
                <w:t>August 7, 2018).</w:t>
              </w:r>
            </w:hyperlink>
          </w:p>
        </w:tc>
        <w:tc>
          <w:tcPr>
            <w:tcW w:w="42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460" w:type="dxa"/>
            <w:vAlign w:val="bottom"/>
            <w:gridSpan w:val="6"/>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920" w:type="dxa"/>
            <w:vAlign w:val="bottom"/>
          </w:tcPr>
          <w:p>
            <w:pPr>
              <w:ind w:left="18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10020" w:type="dxa"/>
            <w:vAlign w:val="bottom"/>
            <w:tcBorders>
              <w:bottom w:val="single" w:sz="8" w:color="0000EE"/>
            </w:tcBorders>
            <w:gridSpan w:val="18"/>
          </w:tcPr>
          <w:p>
            <w:pPr>
              <w:spacing w:after="0"/>
              <w:rPr>
                <w:rFonts w:ascii="Arial" w:cs="Arial" w:eastAsia="Arial" w:hAnsi="Arial"/>
                <w:sz w:val="18"/>
                <w:szCs w:val="18"/>
                <w:color w:val="0000EE"/>
                <w:w w:val="89"/>
              </w:rPr>
            </w:pPr>
            <w:hyperlink r:id="rId103">
              <w:r>
                <w:rPr>
                  <w:rFonts w:ascii="Arial" w:cs="Arial" w:eastAsia="Arial" w:hAnsi="Arial"/>
                  <w:sz w:val="18"/>
                  <w:szCs w:val="18"/>
                  <w:color w:val="0000EE"/>
                  <w:w w:val="89"/>
                </w:rPr>
                <w:t>Sixth Supplemental Indenture, dated as of August 7, 2018, by and among Eldorado Resorts, Inc., the guarantors party thereto and U.S. Bank</w:t>
              </w:r>
            </w:hyperlink>
          </w:p>
        </w:tc>
        <w:tc>
          <w:tcPr>
            <w:tcW w:w="3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0" w:type="dxa"/>
            <w:vAlign w:val="bottom"/>
            <w:gridSpan w:val="29"/>
          </w:tcPr>
          <w:p>
            <w:pPr>
              <w:spacing w:after="0" w:line="195" w:lineRule="exact"/>
              <w:rPr>
                <w:rFonts w:ascii="Arial" w:cs="Arial" w:eastAsia="Arial" w:hAnsi="Arial"/>
                <w:sz w:val="18"/>
                <w:szCs w:val="18"/>
                <w:color w:val="0000EE"/>
                <w:w w:val="93"/>
              </w:rPr>
            </w:pPr>
            <w:hyperlink r:id="rId103">
              <w:r>
                <w:rPr>
                  <w:rFonts w:ascii="Arial" w:cs="Arial" w:eastAsia="Arial" w:hAnsi="Arial"/>
                  <w:sz w:val="18"/>
                  <w:szCs w:val="18"/>
                  <w:color w:val="0000EE"/>
                  <w:w w:val="93"/>
                </w:rPr>
                <w:t>National Association, as Trustee, under the 2023 Notes Indenture (incorporated by reference to our Quarterly Report on Form 10-Q filed on</w:t>
              </w:r>
            </w:hyperlink>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top w:val="single" w:sz="8" w:color="0000EE"/>
            </w:tcBorders>
            <w:gridSpan w:val="17"/>
          </w:tcPr>
          <w:p>
            <w:pPr>
              <w:spacing w:after="0" w:line="195" w:lineRule="exact"/>
              <w:rPr>
                <w:rFonts w:ascii="Arial" w:cs="Arial" w:eastAsia="Arial" w:hAnsi="Arial"/>
                <w:sz w:val="18"/>
                <w:szCs w:val="18"/>
                <w:color w:val="0000EE"/>
              </w:rPr>
            </w:pPr>
            <w:hyperlink r:id="rId103">
              <w:r>
                <w:rPr>
                  <w:rFonts w:ascii="Arial" w:cs="Arial" w:eastAsia="Arial" w:hAnsi="Arial"/>
                  <w:sz w:val="18"/>
                  <w:szCs w:val="18"/>
                  <w:color w:val="0000EE"/>
                </w:rPr>
                <w:t>August 7, 2018).</w:t>
              </w:r>
            </w:hyperlink>
          </w:p>
        </w:tc>
        <w:tc>
          <w:tcPr>
            <w:tcW w:w="42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460" w:type="dxa"/>
            <w:vAlign w:val="bottom"/>
            <w:gridSpan w:val="6"/>
          </w:tcPr>
          <w:p>
            <w:pPr>
              <w:spacing w:after="0" w:line="20" w:lineRule="exact"/>
              <w:rPr>
                <w:sz w:val="1"/>
                <w:szCs w:val="1"/>
                <w:color w:val="auto"/>
              </w:rPr>
            </w:pPr>
          </w:p>
        </w:tc>
        <w:tc>
          <w:tcPr>
            <w:tcW w:w="1500" w:type="dxa"/>
            <w:vAlign w:val="bottom"/>
            <w:gridSpan w:val="10"/>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920" w:type="dxa"/>
            <w:vAlign w:val="bottom"/>
          </w:tcPr>
          <w:p>
            <w:pPr>
              <w:ind w:left="18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10320" w:type="dxa"/>
            <w:vAlign w:val="bottom"/>
            <w:tcBorders>
              <w:bottom w:val="single" w:sz="8" w:color="0000EE"/>
            </w:tcBorders>
            <w:gridSpan w:val="28"/>
          </w:tcPr>
          <w:p>
            <w:pPr>
              <w:spacing w:after="0"/>
              <w:rPr>
                <w:rFonts w:ascii="Arial" w:cs="Arial" w:eastAsia="Arial" w:hAnsi="Arial"/>
                <w:sz w:val="18"/>
                <w:szCs w:val="18"/>
                <w:color w:val="0000EE"/>
                <w:w w:val="89"/>
              </w:rPr>
            </w:pPr>
            <w:hyperlink r:id="rId104">
              <w:r>
                <w:rPr>
                  <w:rFonts w:ascii="Arial" w:cs="Arial" w:eastAsia="Arial" w:hAnsi="Arial"/>
                  <w:sz w:val="18"/>
                  <w:szCs w:val="18"/>
                  <w:color w:val="0000EE"/>
                  <w:w w:val="89"/>
                </w:rPr>
                <w:t>Seventh Supplemental Indenture, dated as of October 1, 2018, by and among Eldorado Resorts, Inc., the guarantors party thereto and U.S. Bank</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0" w:type="dxa"/>
            <w:vAlign w:val="bottom"/>
            <w:gridSpan w:val="29"/>
          </w:tcPr>
          <w:p>
            <w:pPr>
              <w:spacing w:after="0" w:line="195"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National Association, as Trustee under the 2023 Notes Indenture (incorporated by reference to our Current Report on Form 8-K filed on October</w:t>
              </w:r>
            </w:hyperlink>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top w:val="single" w:sz="8" w:color="0000EE"/>
              <w:bottom w:val="single" w:sz="8" w:color="0000EE"/>
            </w:tcBorders>
            <w:gridSpan w:val="3"/>
          </w:tcPr>
          <w:p>
            <w:pPr>
              <w:spacing w:after="0" w:line="195" w:lineRule="exact"/>
              <w:rPr>
                <w:rFonts w:ascii="Arial" w:cs="Arial" w:eastAsia="Arial" w:hAnsi="Arial"/>
                <w:sz w:val="18"/>
                <w:szCs w:val="18"/>
                <w:color w:val="0000EE"/>
                <w:w w:val="87"/>
              </w:rPr>
            </w:pPr>
            <w:hyperlink r:id="rId104">
              <w:r>
                <w:rPr>
                  <w:rFonts w:ascii="Arial" w:cs="Arial" w:eastAsia="Arial" w:hAnsi="Arial"/>
                  <w:sz w:val="18"/>
                  <w:szCs w:val="18"/>
                  <w:color w:val="0000EE"/>
                  <w:w w:val="87"/>
                </w:rPr>
                <w:t>1, 2018).</w:t>
              </w:r>
            </w:hyperlink>
          </w:p>
        </w:tc>
        <w:tc>
          <w:tcPr>
            <w:tcW w:w="4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1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4640" w:type="dxa"/>
            <w:vAlign w:val="bottom"/>
            <w:tcBorders>
              <w:top w:val="single" w:sz="8" w:color="0000EE"/>
            </w:tcBorders>
          </w:tcPr>
          <w:p>
            <w:pPr>
              <w:spacing w:after="0"/>
              <w:rPr>
                <w:sz w:val="16"/>
                <w:szCs w:val="16"/>
                <w:color w:val="auto"/>
              </w:rPr>
            </w:pPr>
          </w:p>
        </w:tc>
        <w:tc>
          <w:tcPr>
            <w:tcW w:w="80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920" w:type="dxa"/>
            <w:vAlign w:val="bottom"/>
          </w:tcPr>
          <w:p>
            <w:pPr>
              <w:ind w:left="18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4"/>
                <w:szCs w:val="24"/>
                <w:color w:val="auto"/>
              </w:rPr>
            </w:pPr>
          </w:p>
        </w:tc>
        <w:tc>
          <w:tcPr>
            <w:tcW w:w="10400" w:type="dxa"/>
            <w:vAlign w:val="bottom"/>
            <w:gridSpan w:val="29"/>
          </w:tcPr>
          <w:p>
            <w:pPr>
              <w:spacing w:after="0"/>
              <w:rPr>
                <w:rFonts w:ascii="Arial" w:cs="Arial" w:eastAsia="Arial" w:hAnsi="Arial"/>
                <w:sz w:val="18"/>
                <w:szCs w:val="18"/>
                <w:color w:val="0000EE"/>
                <w:w w:val="93"/>
              </w:rPr>
            </w:pPr>
            <w:hyperlink r:id="rId105">
              <w:r>
                <w:rPr>
                  <w:rFonts w:ascii="Arial" w:cs="Arial" w:eastAsia="Arial" w:hAnsi="Arial"/>
                  <w:sz w:val="18"/>
                  <w:szCs w:val="18"/>
                  <w:color w:val="0000EE"/>
                  <w:w w:val="93"/>
                </w:rPr>
                <w:t>Indenture, dated as of March 29, 2017, by and between Isle of Capri Casinos LLC formerly known as Eagle II Acquisition Company LLC and</w:t>
              </w:r>
            </w:hyperlink>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160" w:type="dxa"/>
            <w:vAlign w:val="bottom"/>
            <w:tcBorders>
              <w:top w:val="single" w:sz="8" w:color="0000EE"/>
            </w:tcBorders>
            <w:gridSpan w:val="22"/>
          </w:tcPr>
          <w:p>
            <w:pPr>
              <w:spacing w:after="0" w:line="195" w:lineRule="exact"/>
              <w:rPr>
                <w:rFonts w:ascii="Arial" w:cs="Arial" w:eastAsia="Arial" w:hAnsi="Arial"/>
                <w:sz w:val="18"/>
                <w:szCs w:val="18"/>
                <w:color w:val="0000EE"/>
              </w:rPr>
            </w:pPr>
            <w:hyperlink r:id="rId105">
              <w:r>
                <w:rPr>
                  <w:rFonts w:ascii="Arial" w:cs="Arial" w:eastAsia="Arial" w:hAnsi="Arial"/>
                  <w:sz w:val="18"/>
                  <w:szCs w:val="18"/>
                  <w:color w:val="0000EE"/>
                </w:rPr>
                <w:t>U.S. Bank National Association (incorporated by reference to our Current Report on Form 8-K filed on March 29, 2017).</w:t>
              </w:r>
            </w:hyperlink>
          </w:p>
        </w:tc>
        <w:tc>
          <w:tcPr>
            <w:tcW w:w="24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40" w:type="dxa"/>
            <w:vAlign w:val="bottom"/>
            <w:tcBorders>
              <w:top w:val="single" w:sz="8" w:color="0000EE"/>
            </w:tcBorders>
            <w:gridSpan w:val="10"/>
          </w:tcPr>
          <w:p>
            <w:pPr>
              <w:ind w:left="4600"/>
              <w:spacing w:after="0"/>
              <w:rPr>
                <w:sz w:val="20"/>
                <w:szCs w:val="20"/>
                <w:color w:val="auto"/>
              </w:rPr>
            </w:pPr>
            <w:r>
              <w:rPr>
                <w:rFonts w:ascii="Arial" w:cs="Arial" w:eastAsia="Arial" w:hAnsi="Arial"/>
                <w:sz w:val="18"/>
                <w:szCs w:val="18"/>
                <w:color w:val="auto"/>
              </w:rPr>
              <w:t>78</w:t>
            </w:r>
          </w:p>
        </w:tc>
        <w:tc>
          <w:tcPr>
            <w:tcW w:w="8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6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7231380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4.11</w:t>
            </w:r>
          </w:p>
        </w:tc>
        <w:tc>
          <w:tcPr>
            <w:tcW w:w="10060" w:type="dxa"/>
            <w:vAlign w:val="bottom"/>
            <w:tcBorders>
              <w:bottom w:val="single" w:sz="8" w:color="0000EE"/>
            </w:tcBorders>
            <w:gridSpan w:val="22"/>
          </w:tcPr>
          <w:p>
            <w:pPr>
              <w:spacing w:after="0"/>
              <w:rPr>
                <w:rFonts w:ascii="Arial" w:cs="Arial" w:eastAsia="Arial" w:hAnsi="Arial"/>
                <w:sz w:val="18"/>
                <w:szCs w:val="18"/>
                <w:color w:val="0000EE"/>
                <w:w w:val="89"/>
              </w:rPr>
            </w:pPr>
            <w:hyperlink r:id="rId108">
              <w:r>
                <w:rPr>
                  <w:rFonts w:ascii="Arial" w:cs="Arial" w:eastAsia="Arial" w:hAnsi="Arial"/>
                  <w:sz w:val="18"/>
                  <w:szCs w:val="18"/>
                  <w:color w:val="0000EE"/>
                  <w:w w:val="89"/>
                </w:rPr>
                <w:t>Supplemental Indenture, dated as of May 1, 2017, by and among Eldorado Resorts, Inc., the guarantors party thereto and U.S. Bank National</w:t>
              </w:r>
            </w:hyperlink>
          </w:p>
        </w:tc>
        <w:tc>
          <w:tcPr>
            <w:tcW w:w="320" w:type="dxa"/>
            <w:vAlign w:val="bottom"/>
            <w:gridSpan w:val="8"/>
          </w:tcPr>
          <w:p>
            <w:pPr>
              <w:spacing w:after="0"/>
              <w:rPr>
                <w:sz w:val="17"/>
                <w:szCs w:val="17"/>
                <w:color w:val="auto"/>
              </w:rPr>
            </w:pPr>
          </w:p>
        </w:tc>
      </w:tr>
      <w:tr>
        <w:trPr>
          <w:trHeight w:val="194"/>
        </w:trPr>
        <w:tc>
          <w:tcPr>
            <w:tcW w:w="1040" w:type="dxa"/>
            <w:vAlign w:val="bottom"/>
          </w:tcPr>
          <w:p>
            <w:pPr>
              <w:spacing w:after="0"/>
              <w:rPr>
                <w:sz w:val="16"/>
                <w:szCs w:val="16"/>
                <w:color w:val="auto"/>
              </w:rPr>
            </w:pPr>
          </w:p>
        </w:tc>
        <w:tc>
          <w:tcPr>
            <w:tcW w:w="7000" w:type="dxa"/>
            <w:vAlign w:val="bottom"/>
            <w:tcBorders>
              <w:bottom w:val="single" w:sz="8" w:color="0000EE"/>
            </w:tcBorders>
            <w:gridSpan w:val="12"/>
          </w:tcPr>
          <w:p>
            <w:pPr>
              <w:spacing w:after="0" w:line="195"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Association (incorporated by reference to our Current Report on Form 8-K filed on May 1, 2017).</w:t>
              </w:r>
            </w:hyperlink>
          </w:p>
        </w:tc>
        <w:tc>
          <w:tcPr>
            <w:tcW w:w="3380" w:type="dxa"/>
            <w:vAlign w:val="bottom"/>
            <w:gridSpan w:val="18"/>
          </w:tcPr>
          <w:p>
            <w:pPr>
              <w:spacing w:after="0"/>
              <w:rPr>
                <w:sz w:val="16"/>
                <w:szCs w:val="16"/>
                <w:color w:val="auto"/>
              </w:rPr>
            </w:pPr>
          </w:p>
        </w:tc>
      </w:tr>
      <w:tr>
        <w:trPr>
          <w:trHeight w:val="31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4.12</w:t>
            </w:r>
          </w:p>
        </w:tc>
        <w:tc>
          <w:tcPr>
            <w:tcW w:w="10060" w:type="dxa"/>
            <w:vAlign w:val="bottom"/>
            <w:tcBorders>
              <w:bottom w:val="single" w:sz="8" w:color="0000EE"/>
            </w:tcBorders>
            <w:gridSpan w:val="22"/>
          </w:tcPr>
          <w:p>
            <w:pPr>
              <w:spacing w:after="0"/>
              <w:rPr>
                <w:rFonts w:ascii="Arial" w:cs="Arial" w:eastAsia="Arial" w:hAnsi="Arial"/>
                <w:sz w:val="18"/>
                <w:szCs w:val="18"/>
                <w:color w:val="0000EE"/>
                <w:w w:val="88"/>
              </w:rPr>
            </w:pPr>
            <w:hyperlink r:id="rId109">
              <w:r>
                <w:rPr>
                  <w:rFonts w:ascii="Arial" w:cs="Arial" w:eastAsia="Arial" w:hAnsi="Arial"/>
                  <w:sz w:val="18"/>
                  <w:szCs w:val="18"/>
                  <w:color w:val="0000EE"/>
                  <w:w w:val="88"/>
                </w:rPr>
                <w:t>Second Supplemental Indenture, dated as of June 18, 2018, by and among Eldorado Resorts, Inc., the guarantors party thereto and U.S. Bank</w:t>
              </w:r>
            </w:hyperlink>
          </w:p>
        </w:tc>
        <w:tc>
          <w:tcPr>
            <w:tcW w:w="320" w:type="dxa"/>
            <w:vAlign w:val="bottom"/>
            <w:gridSpan w:val="8"/>
          </w:tcPr>
          <w:p>
            <w:pPr>
              <w:spacing w:after="0"/>
              <w:rPr>
                <w:sz w:val="24"/>
                <w:szCs w:val="24"/>
                <w:color w:val="auto"/>
              </w:rPr>
            </w:pPr>
          </w:p>
        </w:tc>
      </w:tr>
      <w:tr>
        <w:trPr>
          <w:trHeight w:val="194"/>
        </w:trPr>
        <w:tc>
          <w:tcPr>
            <w:tcW w:w="1040" w:type="dxa"/>
            <w:vAlign w:val="bottom"/>
          </w:tcPr>
          <w:p>
            <w:pPr>
              <w:spacing w:after="0"/>
              <w:rPr>
                <w:sz w:val="16"/>
                <w:szCs w:val="16"/>
                <w:color w:val="auto"/>
              </w:rPr>
            </w:pPr>
          </w:p>
        </w:tc>
        <w:tc>
          <w:tcPr>
            <w:tcW w:w="9980" w:type="dxa"/>
            <w:vAlign w:val="bottom"/>
            <w:tcBorders>
              <w:bottom w:val="single" w:sz="8" w:color="0000EE"/>
            </w:tcBorders>
            <w:gridSpan w:val="19"/>
          </w:tcPr>
          <w:p>
            <w:pPr>
              <w:spacing w:after="0" w:line="195"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National Association, as Trustee, under the 2025 Notes Indenture (incorporated by reference to our Quarterly Report on Form 10-Q filed on</w:t>
              </w:r>
            </w:hyperlink>
          </w:p>
        </w:tc>
        <w:tc>
          <w:tcPr>
            <w:tcW w:w="400" w:type="dxa"/>
            <w:vAlign w:val="bottom"/>
            <w:gridSpan w:val="11"/>
          </w:tcPr>
          <w:p>
            <w:pPr>
              <w:spacing w:after="0"/>
              <w:rPr>
                <w:sz w:val="16"/>
                <w:szCs w:val="16"/>
                <w:color w:val="auto"/>
              </w:rPr>
            </w:pPr>
          </w:p>
        </w:tc>
      </w:tr>
      <w:tr>
        <w:trPr>
          <w:trHeight w:val="194"/>
        </w:trPr>
        <w:tc>
          <w:tcPr>
            <w:tcW w:w="1040" w:type="dxa"/>
            <w:vAlign w:val="bottom"/>
          </w:tcPr>
          <w:p>
            <w:pPr>
              <w:spacing w:after="0"/>
              <w:rPr>
                <w:sz w:val="16"/>
                <w:szCs w:val="16"/>
                <w:color w:val="auto"/>
              </w:rPr>
            </w:pPr>
          </w:p>
        </w:tc>
        <w:tc>
          <w:tcPr>
            <w:tcW w:w="1200" w:type="dxa"/>
            <w:vAlign w:val="bottom"/>
            <w:tcBorders>
              <w:bottom w:val="single" w:sz="8" w:color="0000EE"/>
            </w:tcBorders>
            <w:gridSpan w:val="3"/>
          </w:tcPr>
          <w:p>
            <w:pPr>
              <w:spacing w:after="0" w:line="195"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August 7, 2018).</w:t>
              </w:r>
            </w:hyperlink>
          </w:p>
        </w:tc>
        <w:tc>
          <w:tcPr>
            <w:tcW w:w="9180" w:type="dxa"/>
            <w:vAlign w:val="bottom"/>
            <w:gridSpan w:val="27"/>
          </w:tcPr>
          <w:p>
            <w:pPr>
              <w:spacing w:after="0"/>
              <w:rPr>
                <w:sz w:val="16"/>
                <w:szCs w:val="16"/>
                <w:color w:val="auto"/>
              </w:rPr>
            </w:pPr>
          </w:p>
        </w:tc>
      </w:tr>
      <w:tr>
        <w:trPr>
          <w:trHeight w:val="31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4.13</w:t>
            </w:r>
          </w:p>
        </w:tc>
        <w:tc>
          <w:tcPr>
            <w:tcW w:w="10040" w:type="dxa"/>
            <w:vAlign w:val="bottom"/>
            <w:tcBorders>
              <w:bottom w:val="single" w:sz="8" w:color="0000EE"/>
            </w:tcBorders>
            <w:gridSpan w:val="21"/>
          </w:tcPr>
          <w:p>
            <w:pPr>
              <w:spacing w:after="0"/>
              <w:rPr>
                <w:rFonts w:ascii="Arial" w:cs="Arial" w:eastAsia="Arial" w:hAnsi="Arial"/>
                <w:sz w:val="18"/>
                <w:szCs w:val="18"/>
                <w:color w:val="0000EE"/>
                <w:w w:val="89"/>
              </w:rPr>
            </w:pPr>
            <w:hyperlink r:id="rId103">
              <w:r>
                <w:rPr>
                  <w:rFonts w:ascii="Arial" w:cs="Arial" w:eastAsia="Arial" w:hAnsi="Arial"/>
                  <w:sz w:val="18"/>
                  <w:szCs w:val="18"/>
                  <w:color w:val="0000EE"/>
                  <w:w w:val="89"/>
                </w:rPr>
                <w:t>Third Supplemental Indenture, dated as of August 7, 2018, by and among Eldorado Resorts, Inc., the guarantors party thereto and U.S. Bank</w:t>
              </w:r>
            </w:hyperlink>
          </w:p>
        </w:tc>
        <w:tc>
          <w:tcPr>
            <w:tcW w:w="340" w:type="dxa"/>
            <w:vAlign w:val="bottom"/>
            <w:gridSpan w:val="9"/>
          </w:tcPr>
          <w:p>
            <w:pPr>
              <w:spacing w:after="0"/>
              <w:rPr>
                <w:sz w:val="24"/>
                <w:szCs w:val="24"/>
                <w:color w:val="auto"/>
              </w:rPr>
            </w:pPr>
          </w:p>
        </w:tc>
      </w:tr>
      <w:tr>
        <w:trPr>
          <w:trHeight w:val="194"/>
        </w:trPr>
        <w:tc>
          <w:tcPr>
            <w:tcW w:w="1040" w:type="dxa"/>
            <w:vAlign w:val="bottom"/>
          </w:tcPr>
          <w:p>
            <w:pPr>
              <w:spacing w:after="0"/>
              <w:rPr>
                <w:sz w:val="16"/>
                <w:szCs w:val="16"/>
                <w:color w:val="auto"/>
              </w:rPr>
            </w:pPr>
          </w:p>
        </w:tc>
        <w:tc>
          <w:tcPr>
            <w:tcW w:w="9980" w:type="dxa"/>
            <w:vAlign w:val="bottom"/>
            <w:tcBorders>
              <w:bottom w:val="single" w:sz="8" w:color="0000EE"/>
            </w:tcBorders>
            <w:gridSpan w:val="19"/>
          </w:tcPr>
          <w:p>
            <w:pPr>
              <w:spacing w:after="0" w:line="195" w:lineRule="exact"/>
              <w:rPr>
                <w:rFonts w:ascii="Arial" w:cs="Arial" w:eastAsia="Arial" w:hAnsi="Arial"/>
                <w:sz w:val="18"/>
                <w:szCs w:val="18"/>
                <w:color w:val="0000EE"/>
                <w:w w:val="89"/>
              </w:rPr>
            </w:pPr>
            <w:hyperlink r:id="rId103">
              <w:r>
                <w:rPr>
                  <w:rFonts w:ascii="Arial" w:cs="Arial" w:eastAsia="Arial" w:hAnsi="Arial"/>
                  <w:sz w:val="18"/>
                  <w:szCs w:val="18"/>
                  <w:color w:val="0000EE"/>
                  <w:w w:val="89"/>
                </w:rPr>
                <w:t>National Association, as Trustee, under the 2025 Notes Indenture (incorporated by reference to our Quarterly Report on Form 10-Q filed on</w:t>
              </w:r>
            </w:hyperlink>
          </w:p>
        </w:tc>
        <w:tc>
          <w:tcPr>
            <w:tcW w:w="400" w:type="dxa"/>
            <w:vAlign w:val="bottom"/>
            <w:gridSpan w:val="11"/>
          </w:tcPr>
          <w:p>
            <w:pPr>
              <w:spacing w:after="0"/>
              <w:rPr>
                <w:sz w:val="16"/>
                <w:szCs w:val="16"/>
                <w:color w:val="auto"/>
              </w:rPr>
            </w:pPr>
          </w:p>
        </w:tc>
      </w:tr>
      <w:tr>
        <w:trPr>
          <w:trHeight w:val="194"/>
        </w:trPr>
        <w:tc>
          <w:tcPr>
            <w:tcW w:w="1040" w:type="dxa"/>
            <w:vAlign w:val="bottom"/>
          </w:tcPr>
          <w:p>
            <w:pPr>
              <w:spacing w:after="0"/>
              <w:rPr>
                <w:sz w:val="16"/>
                <w:szCs w:val="16"/>
                <w:color w:val="auto"/>
              </w:rPr>
            </w:pPr>
          </w:p>
        </w:tc>
        <w:tc>
          <w:tcPr>
            <w:tcW w:w="1200" w:type="dxa"/>
            <w:vAlign w:val="bottom"/>
            <w:tcBorders>
              <w:bottom w:val="single" w:sz="8" w:color="0000EE"/>
            </w:tcBorders>
            <w:gridSpan w:val="3"/>
          </w:tcPr>
          <w:p>
            <w:pPr>
              <w:spacing w:after="0" w:line="195" w:lineRule="exact"/>
              <w:rPr>
                <w:rFonts w:ascii="Arial" w:cs="Arial" w:eastAsia="Arial" w:hAnsi="Arial"/>
                <w:sz w:val="18"/>
                <w:szCs w:val="18"/>
                <w:color w:val="0000EE"/>
                <w:w w:val="89"/>
              </w:rPr>
            </w:pPr>
            <w:hyperlink r:id="rId103">
              <w:r>
                <w:rPr>
                  <w:rFonts w:ascii="Arial" w:cs="Arial" w:eastAsia="Arial" w:hAnsi="Arial"/>
                  <w:sz w:val="18"/>
                  <w:szCs w:val="18"/>
                  <w:color w:val="0000EE"/>
                  <w:w w:val="89"/>
                </w:rPr>
                <w:t>August 7, 2018).</w:t>
              </w:r>
            </w:hyperlink>
          </w:p>
        </w:tc>
        <w:tc>
          <w:tcPr>
            <w:tcW w:w="9180" w:type="dxa"/>
            <w:vAlign w:val="bottom"/>
            <w:gridSpan w:val="27"/>
          </w:tcPr>
          <w:p>
            <w:pPr>
              <w:spacing w:after="0"/>
              <w:rPr>
                <w:sz w:val="16"/>
                <w:szCs w:val="16"/>
                <w:color w:val="auto"/>
              </w:rPr>
            </w:pPr>
          </w:p>
        </w:tc>
      </w:tr>
      <w:tr>
        <w:trPr>
          <w:trHeight w:val="31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4.14</w:t>
            </w:r>
          </w:p>
        </w:tc>
        <w:tc>
          <w:tcPr>
            <w:tcW w:w="10380" w:type="dxa"/>
            <w:vAlign w:val="bottom"/>
            <w:gridSpan w:val="30"/>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Fourth Supplemental Indenture, dated as of October 1, 2018, by and among Eldorado Resorts, Inc., the guarantors party thereto and U.S. Bank</w:t>
              </w:r>
            </w:hyperlink>
          </w:p>
        </w:tc>
      </w:tr>
      <w:tr>
        <w:trPr>
          <w:trHeight w:val="20"/>
        </w:trPr>
        <w:tc>
          <w:tcPr>
            <w:tcW w:w="10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380" w:type="dxa"/>
            <w:vAlign w:val="bottom"/>
            <w:gridSpan w:val="30"/>
          </w:tcPr>
          <w:p>
            <w:pPr>
              <w:spacing w:after="0" w:line="195"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National Association, as Trustee under the 2025 Notes Indenture (incorporated by reference to our Current Report on Form 8-K filed on October</w:t>
              </w:r>
            </w:hyperlink>
          </w:p>
        </w:tc>
      </w:tr>
      <w:tr>
        <w:trPr>
          <w:trHeight w:val="194"/>
        </w:trPr>
        <w:tc>
          <w:tcPr>
            <w:tcW w:w="1040" w:type="dxa"/>
            <w:vAlign w:val="bottom"/>
          </w:tcPr>
          <w:p>
            <w:pPr>
              <w:spacing w:after="0"/>
              <w:rPr>
                <w:sz w:val="16"/>
                <w:szCs w:val="16"/>
                <w:color w:val="auto"/>
              </w:rPr>
            </w:pPr>
          </w:p>
        </w:tc>
        <w:tc>
          <w:tcPr>
            <w:tcW w:w="640" w:type="dxa"/>
            <w:vAlign w:val="bottom"/>
            <w:tcBorders>
              <w:top w:val="single" w:sz="8" w:color="0000EE"/>
              <w:bottom w:val="single" w:sz="8" w:color="0000EE"/>
            </w:tcBorders>
            <w:gridSpan w:val="2"/>
          </w:tcPr>
          <w:p>
            <w:pPr>
              <w:spacing w:after="0" w:line="195" w:lineRule="exact"/>
              <w:rPr>
                <w:rFonts w:ascii="Arial" w:cs="Arial" w:eastAsia="Arial" w:hAnsi="Arial"/>
                <w:sz w:val="18"/>
                <w:szCs w:val="18"/>
                <w:color w:val="0000EE"/>
                <w:w w:val="87"/>
              </w:rPr>
            </w:pPr>
            <w:hyperlink r:id="rId110">
              <w:r>
                <w:rPr>
                  <w:rFonts w:ascii="Arial" w:cs="Arial" w:eastAsia="Arial" w:hAnsi="Arial"/>
                  <w:sz w:val="18"/>
                  <w:szCs w:val="18"/>
                  <w:color w:val="0000EE"/>
                  <w:w w:val="87"/>
                </w:rPr>
                <w:t>1, 2018).</w:t>
              </w:r>
            </w:hyperlink>
          </w:p>
        </w:tc>
        <w:tc>
          <w:tcPr>
            <w:tcW w:w="560" w:type="dxa"/>
            <w:vAlign w:val="bottom"/>
            <w:tcBorders>
              <w:top w:val="single" w:sz="8" w:color="0000EE"/>
            </w:tcBorders>
          </w:tcPr>
          <w:p>
            <w:pPr>
              <w:spacing w:after="0"/>
              <w:rPr>
                <w:sz w:val="16"/>
                <w:szCs w:val="16"/>
                <w:color w:val="auto"/>
              </w:rPr>
            </w:pPr>
          </w:p>
        </w:tc>
        <w:tc>
          <w:tcPr>
            <w:tcW w:w="124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5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8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20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r>
      <w:tr>
        <w:trPr>
          <w:trHeight w:val="31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4.15</w:t>
            </w:r>
          </w:p>
        </w:tc>
        <w:tc>
          <w:tcPr>
            <w:tcW w:w="10380" w:type="dxa"/>
            <w:vAlign w:val="bottom"/>
            <w:gridSpan w:val="30"/>
          </w:tcPr>
          <w:p>
            <w:pPr>
              <w:spacing w:after="0"/>
              <w:rPr>
                <w:rFonts w:ascii="Arial" w:cs="Arial" w:eastAsia="Arial" w:hAnsi="Arial"/>
                <w:sz w:val="18"/>
                <w:szCs w:val="18"/>
                <w:color w:val="0000EE"/>
                <w:w w:val="89"/>
              </w:rPr>
            </w:pPr>
            <w:hyperlink r:id="rId111">
              <w:r>
                <w:rPr>
                  <w:rFonts w:ascii="Arial" w:cs="Arial" w:eastAsia="Arial" w:hAnsi="Arial"/>
                  <w:sz w:val="18"/>
                  <w:szCs w:val="18"/>
                  <w:color w:val="0000EE"/>
                  <w:w w:val="89"/>
                </w:rPr>
                <w:t>Indenture dated as of September 20, 2018 by and among Delta Merger Sub, Inc. and U.S. Bank National Association, as Trustee under the 2026</w:t>
              </w:r>
            </w:hyperlink>
          </w:p>
        </w:tc>
      </w:tr>
      <w:tr>
        <w:trPr>
          <w:trHeight w:val="194"/>
        </w:trPr>
        <w:tc>
          <w:tcPr>
            <w:tcW w:w="1040" w:type="dxa"/>
            <w:vAlign w:val="bottom"/>
          </w:tcPr>
          <w:p>
            <w:pPr>
              <w:spacing w:after="0"/>
              <w:rPr>
                <w:sz w:val="16"/>
                <w:szCs w:val="16"/>
                <w:color w:val="auto"/>
              </w:rPr>
            </w:pPr>
          </w:p>
        </w:tc>
        <w:tc>
          <w:tcPr>
            <w:tcW w:w="7820" w:type="dxa"/>
            <w:vAlign w:val="bottom"/>
            <w:tcBorders>
              <w:top w:val="single" w:sz="8" w:color="0000EE"/>
              <w:bottom w:val="single" w:sz="8" w:color="0000EE"/>
            </w:tcBorders>
            <w:gridSpan w:val="15"/>
          </w:tcPr>
          <w:p>
            <w:pPr>
              <w:spacing w:after="0" w:line="195"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Notes Indenture (incorporated by reference to our Current Report on Form 8-K filed on September 20, 2018).</w:t>
              </w:r>
            </w:hyperlink>
          </w:p>
        </w:tc>
        <w:tc>
          <w:tcPr>
            <w:tcW w:w="2440" w:type="dxa"/>
            <w:vAlign w:val="bottom"/>
            <w:tcBorders>
              <w:top w:val="single" w:sz="8" w:color="0000EE"/>
            </w:tcBorders>
            <w:gridSpan w:val="13"/>
          </w:tcPr>
          <w:p>
            <w:pPr>
              <w:spacing w:after="0"/>
              <w:rPr>
                <w:sz w:val="16"/>
                <w:szCs w:val="16"/>
                <w:color w:val="auto"/>
              </w:rPr>
            </w:pPr>
          </w:p>
        </w:tc>
        <w:tc>
          <w:tcPr>
            <w:tcW w:w="120" w:type="dxa"/>
            <w:vAlign w:val="bottom"/>
            <w:gridSpan w:val="2"/>
          </w:tcPr>
          <w:p>
            <w:pPr>
              <w:spacing w:after="0"/>
              <w:rPr>
                <w:sz w:val="16"/>
                <w:szCs w:val="16"/>
                <w:color w:val="auto"/>
              </w:rPr>
            </w:pPr>
          </w:p>
        </w:tc>
      </w:tr>
      <w:tr>
        <w:trPr>
          <w:trHeight w:val="31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4.16</w:t>
            </w:r>
          </w:p>
        </w:tc>
        <w:tc>
          <w:tcPr>
            <w:tcW w:w="10380" w:type="dxa"/>
            <w:vAlign w:val="bottom"/>
            <w:gridSpan w:val="30"/>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Supplemental Indenture dated as of October 1, 2018 by and among Eldorado Resorts, Inc. the guarantors party thereto and U.S. Bank National</w:t>
              </w:r>
            </w:hyperlink>
          </w:p>
        </w:tc>
      </w:tr>
      <w:tr>
        <w:trPr>
          <w:trHeight w:val="194"/>
        </w:trPr>
        <w:tc>
          <w:tcPr>
            <w:tcW w:w="1040" w:type="dxa"/>
            <w:vAlign w:val="bottom"/>
          </w:tcPr>
          <w:p>
            <w:pPr>
              <w:spacing w:after="0"/>
              <w:rPr>
                <w:sz w:val="16"/>
                <w:szCs w:val="16"/>
                <w:color w:val="auto"/>
              </w:rPr>
            </w:pPr>
          </w:p>
        </w:tc>
        <w:tc>
          <w:tcPr>
            <w:tcW w:w="10160" w:type="dxa"/>
            <w:vAlign w:val="bottom"/>
            <w:tcBorders>
              <w:top w:val="single" w:sz="8" w:color="0000EE"/>
            </w:tcBorders>
            <w:gridSpan w:val="24"/>
          </w:tcPr>
          <w:p>
            <w:pPr>
              <w:spacing w:after="0" w:line="195"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Association, as Trustee, under the 2026 Notes Indenture (incorporated by reference to our Current Report on Form 8-K filed on October 1,</w:t>
              </w:r>
            </w:hyperlink>
          </w:p>
        </w:tc>
        <w:tc>
          <w:tcPr>
            <w:tcW w:w="220" w:type="dxa"/>
            <w:vAlign w:val="bottom"/>
            <w:gridSpan w:val="6"/>
          </w:tcPr>
          <w:p>
            <w:pPr>
              <w:spacing w:after="0"/>
              <w:rPr>
                <w:sz w:val="16"/>
                <w:szCs w:val="16"/>
                <w:color w:val="auto"/>
              </w:rPr>
            </w:pPr>
          </w:p>
        </w:tc>
      </w:tr>
      <w:tr>
        <w:trPr>
          <w:trHeight w:val="194"/>
        </w:trPr>
        <w:tc>
          <w:tcPr>
            <w:tcW w:w="1040" w:type="dxa"/>
            <w:vAlign w:val="bottom"/>
          </w:tcPr>
          <w:p>
            <w:pPr>
              <w:spacing w:after="0"/>
              <w:rPr>
                <w:sz w:val="16"/>
                <w:szCs w:val="16"/>
                <w:color w:val="auto"/>
              </w:rPr>
            </w:pPr>
          </w:p>
        </w:tc>
        <w:tc>
          <w:tcPr>
            <w:tcW w:w="46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86"/>
              </w:rPr>
            </w:pPr>
            <w:hyperlink r:id="rId112">
              <w:r>
                <w:rPr>
                  <w:rFonts w:ascii="Arial" w:cs="Arial" w:eastAsia="Arial" w:hAnsi="Arial"/>
                  <w:sz w:val="18"/>
                  <w:szCs w:val="18"/>
                  <w:color w:val="0000EE"/>
                  <w:w w:val="86"/>
                </w:rPr>
                <w:t>2018).</w:t>
              </w:r>
            </w:hyperlink>
          </w:p>
        </w:tc>
        <w:tc>
          <w:tcPr>
            <w:tcW w:w="18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24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5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8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20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1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4.17</w:t>
            </w:r>
          </w:p>
        </w:tc>
        <w:tc>
          <w:tcPr>
            <w:tcW w:w="324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152">
              <w:r>
                <w:rPr>
                  <w:rFonts w:ascii="Arial" w:cs="Arial" w:eastAsia="Arial" w:hAnsi="Arial"/>
                  <w:sz w:val="18"/>
                  <w:szCs w:val="18"/>
                  <w:color w:val="0000EE"/>
                  <w:w w:val="92"/>
                </w:rPr>
                <w:t>Description of Capital Stock (filed herewith).</w:t>
              </w:r>
            </w:hyperlink>
          </w:p>
        </w:tc>
        <w:tc>
          <w:tcPr>
            <w:tcW w:w="7140" w:type="dxa"/>
            <w:vAlign w:val="bottom"/>
            <w:gridSpan w:val="24"/>
          </w:tcPr>
          <w:p>
            <w:pPr>
              <w:spacing w:after="0"/>
              <w:rPr>
                <w:sz w:val="24"/>
                <w:szCs w:val="24"/>
                <w:color w:val="auto"/>
              </w:rPr>
            </w:pPr>
          </w:p>
        </w:tc>
      </w:tr>
      <w:tr>
        <w:trPr>
          <w:trHeight w:val="315"/>
        </w:trPr>
        <w:tc>
          <w:tcPr>
            <w:tcW w:w="1040" w:type="dxa"/>
            <w:vAlign w:val="bottom"/>
          </w:tcPr>
          <w:p>
            <w:pPr>
              <w:jc w:val="right"/>
              <w:ind w:right="551"/>
              <w:spacing w:after="0"/>
              <w:rPr>
                <w:sz w:val="20"/>
                <w:szCs w:val="20"/>
                <w:color w:val="auto"/>
              </w:rPr>
            </w:pPr>
            <w:r>
              <w:rPr>
                <w:rFonts w:ascii="Arial" w:cs="Arial" w:eastAsia="Arial" w:hAnsi="Arial"/>
                <w:sz w:val="18"/>
                <w:szCs w:val="18"/>
                <w:color w:val="auto"/>
              </w:rPr>
              <w:t>10.1</w:t>
            </w:r>
          </w:p>
        </w:tc>
        <w:tc>
          <w:tcPr>
            <w:tcW w:w="10020" w:type="dxa"/>
            <w:vAlign w:val="bottom"/>
            <w:tcBorders>
              <w:bottom w:val="single" w:sz="8" w:color="0000EE"/>
            </w:tcBorders>
            <w:gridSpan w:val="20"/>
          </w:tcPr>
          <w:p>
            <w:pPr>
              <w:spacing w:after="0"/>
              <w:rPr>
                <w:rFonts w:ascii="Arial" w:cs="Arial" w:eastAsia="Arial" w:hAnsi="Arial"/>
                <w:sz w:val="18"/>
                <w:szCs w:val="18"/>
                <w:color w:val="0000EE"/>
                <w:w w:val="89"/>
              </w:rPr>
            </w:pPr>
            <w:hyperlink r:id="rId113">
              <w:r>
                <w:rPr>
                  <w:rFonts w:ascii="Arial" w:cs="Arial" w:eastAsia="Arial" w:hAnsi="Arial"/>
                  <w:sz w:val="18"/>
                  <w:szCs w:val="18"/>
                  <w:color w:val="0000EE"/>
                  <w:w w:val="89"/>
                </w:rPr>
                <w:t>Commitment Letter, dated as of June 24, 2019, from JPMorgan Chase Bank, N.A., Credit Suisse AG, Cayman Islands Branch, Credit Suisse</w:t>
              </w:r>
            </w:hyperlink>
          </w:p>
        </w:tc>
        <w:tc>
          <w:tcPr>
            <w:tcW w:w="360" w:type="dxa"/>
            <w:vAlign w:val="bottom"/>
            <w:gridSpan w:val="10"/>
          </w:tcPr>
          <w:p>
            <w:pPr>
              <w:spacing w:after="0"/>
              <w:rPr>
                <w:sz w:val="24"/>
                <w:szCs w:val="24"/>
                <w:color w:val="auto"/>
              </w:rPr>
            </w:pPr>
          </w:p>
        </w:tc>
      </w:tr>
      <w:tr>
        <w:trPr>
          <w:trHeight w:val="194"/>
        </w:trPr>
        <w:tc>
          <w:tcPr>
            <w:tcW w:w="1040" w:type="dxa"/>
            <w:vAlign w:val="bottom"/>
          </w:tcPr>
          <w:p>
            <w:pPr>
              <w:spacing w:after="0"/>
              <w:rPr>
                <w:sz w:val="16"/>
                <w:szCs w:val="16"/>
                <w:color w:val="auto"/>
              </w:rPr>
            </w:pPr>
          </w:p>
        </w:tc>
        <w:tc>
          <w:tcPr>
            <w:tcW w:w="10380" w:type="dxa"/>
            <w:vAlign w:val="bottom"/>
            <w:gridSpan w:val="30"/>
          </w:tcPr>
          <w:p>
            <w:pPr>
              <w:spacing w:after="0" w:line="195" w:lineRule="exact"/>
              <w:rPr>
                <w:rFonts w:ascii="Arial" w:cs="Arial" w:eastAsia="Arial" w:hAnsi="Arial"/>
                <w:sz w:val="18"/>
                <w:szCs w:val="18"/>
                <w:color w:val="0000EE"/>
                <w:w w:val="94"/>
              </w:rPr>
            </w:pPr>
            <w:hyperlink r:id="rId113">
              <w:r>
                <w:rPr>
                  <w:rFonts w:ascii="Arial" w:cs="Arial" w:eastAsia="Arial" w:hAnsi="Arial"/>
                  <w:sz w:val="18"/>
                  <w:szCs w:val="18"/>
                  <w:color w:val="0000EE"/>
                  <w:w w:val="94"/>
                </w:rPr>
                <w:t>Loan Funding LLC, Macquarie Capital Funding LLC and Macquarie Capital (USA) Inc. (incorporated by reference to our Current Report on</w:t>
              </w:r>
            </w:hyperlink>
          </w:p>
        </w:tc>
      </w:tr>
      <w:tr>
        <w:trPr>
          <w:trHeight w:val="194"/>
        </w:trPr>
        <w:tc>
          <w:tcPr>
            <w:tcW w:w="1040" w:type="dxa"/>
            <w:vAlign w:val="bottom"/>
          </w:tcPr>
          <w:p>
            <w:pPr>
              <w:spacing w:after="0"/>
              <w:rPr>
                <w:sz w:val="16"/>
                <w:szCs w:val="16"/>
                <w:color w:val="auto"/>
              </w:rPr>
            </w:pPr>
          </w:p>
        </w:tc>
        <w:tc>
          <w:tcPr>
            <w:tcW w:w="10060" w:type="dxa"/>
            <w:vAlign w:val="bottom"/>
            <w:tcBorders>
              <w:top w:val="single" w:sz="8" w:color="0000EE"/>
            </w:tcBorders>
            <w:gridSpan w:val="22"/>
          </w:tcPr>
          <w:p>
            <w:pPr>
              <w:spacing w:after="0" w:line="195" w:lineRule="exact"/>
              <w:rPr>
                <w:rFonts w:ascii="Arial" w:cs="Arial" w:eastAsia="Arial" w:hAnsi="Arial"/>
                <w:sz w:val="18"/>
                <w:szCs w:val="18"/>
                <w:color w:val="0000EE"/>
              </w:rPr>
            </w:pPr>
            <w:hyperlink r:id="rId113">
              <w:r>
                <w:rPr>
                  <w:rFonts w:ascii="Arial" w:cs="Arial" w:eastAsia="Arial" w:hAnsi="Arial"/>
                  <w:sz w:val="18"/>
                  <w:szCs w:val="18"/>
                  <w:color w:val="0000EE"/>
                </w:rPr>
                <w:t>Form 8-K filed on June 25, 2019).</w:t>
              </w:r>
            </w:hyperlink>
          </w:p>
        </w:tc>
        <w:tc>
          <w:tcPr>
            <w:tcW w:w="320" w:type="dxa"/>
            <w:vAlign w:val="bottom"/>
            <w:gridSpan w:val="8"/>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15"/>
        </w:trPr>
        <w:tc>
          <w:tcPr>
            <w:tcW w:w="1040" w:type="dxa"/>
            <w:vAlign w:val="bottom"/>
          </w:tcPr>
          <w:p>
            <w:pPr>
              <w:jc w:val="right"/>
              <w:ind w:right="551"/>
              <w:spacing w:after="0"/>
              <w:rPr>
                <w:sz w:val="20"/>
                <w:szCs w:val="20"/>
                <w:color w:val="auto"/>
              </w:rPr>
            </w:pPr>
            <w:r>
              <w:rPr>
                <w:rFonts w:ascii="Arial" w:cs="Arial" w:eastAsia="Arial" w:hAnsi="Arial"/>
                <w:sz w:val="18"/>
                <w:szCs w:val="18"/>
                <w:color w:val="auto"/>
              </w:rPr>
              <w:t>10.2</w:t>
            </w:r>
          </w:p>
        </w:tc>
        <w:tc>
          <w:tcPr>
            <w:tcW w:w="10380" w:type="dxa"/>
            <w:vAlign w:val="bottom"/>
            <w:gridSpan w:val="30"/>
          </w:tcPr>
          <w:p>
            <w:pPr>
              <w:spacing w:after="0"/>
              <w:rPr>
                <w:rFonts w:ascii="Arial" w:cs="Arial" w:eastAsia="Arial" w:hAnsi="Arial"/>
                <w:sz w:val="18"/>
                <w:szCs w:val="18"/>
                <w:color w:val="0000EE"/>
                <w:w w:val="89"/>
              </w:rPr>
            </w:pPr>
            <w:hyperlink r:id="rId114">
              <w:r>
                <w:rPr>
                  <w:rFonts w:ascii="Arial" w:cs="Arial" w:eastAsia="Arial" w:hAnsi="Arial"/>
                  <w:sz w:val="18"/>
                  <w:szCs w:val="18"/>
                  <w:color w:val="0000EE"/>
                  <w:w w:val="89"/>
                </w:rPr>
                <w:t>Voting Agreement, dated as of June 24, 2019, by and among Eldorado Resorts, Inc. and the Stockholders of Caesars Entertainment Corporation</w:t>
              </w:r>
            </w:hyperlink>
          </w:p>
        </w:tc>
      </w:tr>
      <w:tr>
        <w:trPr>
          <w:trHeight w:val="194"/>
        </w:trPr>
        <w:tc>
          <w:tcPr>
            <w:tcW w:w="1040" w:type="dxa"/>
            <w:vAlign w:val="bottom"/>
          </w:tcPr>
          <w:p>
            <w:pPr>
              <w:spacing w:after="0"/>
              <w:rPr>
                <w:sz w:val="16"/>
                <w:szCs w:val="16"/>
                <w:color w:val="auto"/>
              </w:rPr>
            </w:pPr>
          </w:p>
        </w:tc>
        <w:tc>
          <w:tcPr>
            <w:tcW w:w="10240" w:type="dxa"/>
            <w:vAlign w:val="bottom"/>
            <w:tcBorders>
              <w:top w:val="single" w:sz="8" w:color="0000EE"/>
            </w:tcBorders>
            <w:gridSpan w:val="27"/>
          </w:tcPr>
          <w:p>
            <w:pPr>
              <w:spacing w:after="0" w:line="195" w:lineRule="exact"/>
              <w:rPr>
                <w:rFonts w:ascii="Arial" w:cs="Arial" w:eastAsia="Arial" w:hAnsi="Arial"/>
                <w:sz w:val="18"/>
                <w:szCs w:val="18"/>
                <w:color w:val="0000EE"/>
              </w:rPr>
            </w:pPr>
            <w:hyperlink r:id="rId114">
              <w:r>
                <w:rPr>
                  <w:rFonts w:ascii="Arial" w:cs="Arial" w:eastAsia="Arial" w:hAnsi="Arial"/>
                  <w:sz w:val="18"/>
                  <w:szCs w:val="18"/>
                  <w:color w:val="0000EE"/>
                </w:rPr>
                <w:t>named therein (incorporated by reference to our Current Report on Form 8-K filed on June 25, 2019).</w:t>
              </w:r>
            </w:hyperlink>
          </w:p>
        </w:tc>
        <w:tc>
          <w:tcPr>
            <w:tcW w:w="140" w:type="dxa"/>
            <w:vAlign w:val="bottom"/>
            <w:gridSpan w:val="3"/>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15"/>
        </w:trPr>
        <w:tc>
          <w:tcPr>
            <w:tcW w:w="1040" w:type="dxa"/>
            <w:vAlign w:val="bottom"/>
          </w:tcPr>
          <w:p>
            <w:pPr>
              <w:jc w:val="right"/>
              <w:ind w:right="551"/>
              <w:spacing w:after="0"/>
              <w:rPr>
                <w:sz w:val="20"/>
                <w:szCs w:val="20"/>
                <w:color w:val="auto"/>
              </w:rPr>
            </w:pPr>
            <w:r>
              <w:rPr>
                <w:rFonts w:ascii="Arial" w:cs="Arial" w:eastAsia="Arial" w:hAnsi="Arial"/>
                <w:sz w:val="18"/>
                <w:szCs w:val="18"/>
                <w:color w:val="auto"/>
              </w:rPr>
              <w:t>10.3</w:t>
            </w:r>
          </w:p>
        </w:tc>
        <w:tc>
          <w:tcPr>
            <w:tcW w:w="10380" w:type="dxa"/>
            <w:vAlign w:val="bottom"/>
            <w:gridSpan w:val="30"/>
          </w:tcPr>
          <w:p>
            <w:pPr>
              <w:spacing w:after="0"/>
              <w:rPr>
                <w:rFonts w:ascii="Arial" w:cs="Arial" w:eastAsia="Arial" w:hAnsi="Arial"/>
                <w:sz w:val="18"/>
                <w:szCs w:val="18"/>
                <w:color w:val="0000EE"/>
                <w:w w:val="93"/>
              </w:rPr>
            </w:pPr>
            <w:hyperlink r:id="rId115">
              <w:r>
                <w:rPr>
                  <w:rFonts w:ascii="Arial" w:cs="Arial" w:eastAsia="Arial" w:hAnsi="Arial"/>
                  <w:sz w:val="18"/>
                  <w:szCs w:val="18"/>
                  <w:color w:val="0000EE"/>
                  <w:w w:val="93"/>
                </w:rPr>
                <w:t xml:space="preserve">Master </w:t>
              </w:r>
              <w:r>
                <w:rPr>
                  <w:rFonts w:ascii="Arial" w:cs="Arial" w:eastAsia="Arial" w:hAnsi="Arial"/>
                  <w:sz w:val="18"/>
                  <w:szCs w:val="18"/>
                  <w:color w:val="0000EE"/>
                  <w:highlight w:val="white"/>
                  <w:w w:val="93"/>
                </w:rPr>
                <w:t>Transaction Agreement, dated as of June 24, 2019, by and among VICI Properties L.P. and Eldorado Resorts, Inc.</w:t>
              </w:r>
              <w:r>
                <w:rPr>
                  <w:rFonts w:ascii="Arial" w:cs="Arial" w:eastAsia="Arial" w:hAnsi="Arial"/>
                  <w:sz w:val="18"/>
                  <w:szCs w:val="18"/>
                  <w:color w:val="0000EE"/>
                  <w:w w:val="93"/>
                </w:rPr>
                <w:t xml:space="preserve"> (incorporated by</w:t>
              </w:r>
            </w:hyperlink>
          </w:p>
        </w:tc>
      </w:tr>
      <w:tr>
        <w:trPr>
          <w:trHeight w:val="194"/>
        </w:trPr>
        <w:tc>
          <w:tcPr>
            <w:tcW w:w="1040" w:type="dxa"/>
            <w:vAlign w:val="bottom"/>
          </w:tcPr>
          <w:p>
            <w:pPr>
              <w:spacing w:after="0"/>
              <w:rPr>
                <w:sz w:val="16"/>
                <w:szCs w:val="16"/>
                <w:color w:val="auto"/>
              </w:rPr>
            </w:pPr>
          </w:p>
        </w:tc>
        <w:tc>
          <w:tcPr>
            <w:tcW w:w="4960" w:type="dxa"/>
            <w:vAlign w:val="bottom"/>
            <w:tcBorders>
              <w:top w:val="single" w:sz="8" w:color="0000EE"/>
              <w:bottom w:val="single" w:sz="8" w:color="0000EE"/>
            </w:tcBorders>
            <w:gridSpan w:val="9"/>
          </w:tcPr>
          <w:p>
            <w:pPr>
              <w:spacing w:after="0" w:line="195"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reference to our Current Report on Form 8-K filed on June 25, 2019).</w:t>
              </w:r>
            </w:hyperlink>
          </w:p>
        </w:tc>
        <w:tc>
          <w:tcPr>
            <w:tcW w:w="4920" w:type="dxa"/>
            <w:vAlign w:val="bottom"/>
            <w:tcBorders>
              <w:top w:val="single" w:sz="8" w:color="0000EE"/>
            </w:tcBorders>
            <w:gridSpan w:val="7"/>
          </w:tcPr>
          <w:p>
            <w:pPr>
              <w:spacing w:after="0"/>
              <w:rPr>
                <w:sz w:val="16"/>
                <w:szCs w:val="16"/>
                <w:color w:val="auto"/>
              </w:rPr>
            </w:pPr>
          </w:p>
        </w:tc>
        <w:tc>
          <w:tcPr>
            <w:tcW w:w="500" w:type="dxa"/>
            <w:vAlign w:val="bottom"/>
            <w:gridSpan w:val="14"/>
          </w:tcPr>
          <w:p>
            <w:pPr>
              <w:spacing w:after="0"/>
              <w:rPr>
                <w:sz w:val="16"/>
                <w:szCs w:val="16"/>
                <w:color w:val="auto"/>
              </w:rPr>
            </w:pPr>
          </w:p>
        </w:tc>
      </w:tr>
      <w:tr>
        <w:trPr>
          <w:trHeight w:val="31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10.4*</w:t>
            </w:r>
          </w:p>
        </w:tc>
        <w:tc>
          <w:tcPr>
            <w:tcW w:w="10220" w:type="dxa"/>
            <w:vAlign w:val="bottom"/>
            <w:tcBorders>
              <w:bottom w:val="single" w:sz="8" w:color="0000EE"/>
            </w:tcBorders>
            <w:gridSpan w:val="26"/>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Eldorado Resorts, Inc. 2015 Equity Incentive Plan (incorporated by reference to Exhibit 4.3 to the Registration Statement on Form S-8 filed on</w:t>
              </w:r>
            </w:hyperlink>
          </w:p>
        </w:tc>
        <w:tc>
          <w:tcPr>
            <w:tcW w:w="160" w:type="dxa"/>
            <w:vAlign w:val="bottom"/>
            <w:gridSpan w:val="4"/>
          </w:tcPr>
          <w:p>
            <w:pPr>
              <w:spacing w:after="0"/>
              <w:rPr>
                <w:sz w:val="24"/>
                <w:szCs w:val="24"/>
                <w:color w:val="auto"/>
              </w:rPr>
            </w:pPr>
          </w:p>
        </w:tc>
      </w:tr>
      <w:tr>
        <w:trPr>
          <w:trHeight w:val="194"/>
        </w:trPr>
        <w:tc>
          <w:tcPr>
            <w:tcW w:w="1040" w:type="dxa"/>
            <w:vAlign w:val="bottom"/>
          </w:tcPr>
          <w:p>
            <w:pPr>
              <w:spacing w:after="0"/>
              <w:rPr>
                <w:sz w:val="16"/>
                <w:szCs w:val="16"/>
                <w:color w:val="auto"/>
              </w:rPr>
            </w:pPr>
          </w:p>
        </w:tc>
        <w:tc>
          <w:tcPr>
            <w:tcW w:w="2720" w:type="dxa"/>
            <w:vAlign w:val="bottom"/>
            <w:tcBorders>
              <w:bottom w:val="single" w:sz="8" w:color="0000EE"/>
            </w:tcBorders>
            <w:gridSpan w:val="5"/>
          </w:tcPr>
          <w:p>
            <w:pPr>
              <w:spacing w:after="0" w:line="195"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April 3, 2015 (File No. 333-203227)).</w:t>
              </w:r>
            </w:hyperlink>
          </w:p>
        </w:tc>
        <w:tc>
          <w:tcPr>
            <w:tcW w:w="7660" w:type="dxa"/>
            <w:vAlign w:val="bottom"/>
            <w:gridSpan w:val="25"/>
          </w:tcPr>
          <w:p>
            <w:pPr>
              <w:spacing w:after="0"/>
              <w:rPr>
                <w:sz w:val="16"/>
                <w:szCs w:val="16"/>
                <w:color w:val="auto"/>
              </w:rPr>
            </w:pPr>
          </w:p>
        </w:tc>
      </w:tr>
      <w:tr>
        <w:trPr>
          <w:trHeight w:val="408"/>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10.5*</w:t>
            </w:r>
          </w:p>
        </w:tc>
        <w:tc>
          <w:tcPr>
            <w:tcW w:w="10160" w:type="dxa"/>
            <w:vAlign w:val="bottom"/>
            <w:tcBorders>
              <w:bottom w:val="single" w:sz="8" w:color="0000EE"/>
            </w:tcBorders>
            <w:gridSpan w:val="24"/>
          </w:tcPr>
          <w:p>
            <w:pPr>
              <w:spacing w:after="0"/>
              <w:rPr>
                <w:rFonts w:ascii="Arial" w:cs="Arial" w:eastAsia="Arial" w:hAnsi="Arial"/>
                <w:sz w:val="18"/>
                <w:szCs w:val="18"/>
                <w:color w:val="0000EE"/>
                <w:w w:val="89"/>
              </w:rPr>
            </w:pPr>
            <w:hyperlink r:id="rId117">
              <w:r>
                <w:rPr>
                  <w:rFonts w:ascii="Arial" w:cs="Arial" w:eastAsia="Arial" w:hAnsi="Arial"/>
                  <w:sz w:val="18"/>
                  <w:szCs w:val="18"/>
                  <w:color w:val="0000EE"/>
                  <w:w w:val="89"/>
                </w:rPr>
                <w:t>Eldorado Resorts, Inc. Amended and Restated 2015 Equity Incentive Plan (incorporated by reference to our Current Report on Form S-8 POS</w:t>
              </w:r>
            </w:hyperlink>
          </w:p>
        </w:tc>
        <w:tc>
          <w:tcPr>
            <w:tcW w:w="220" w:type="dxa"/>
            <w:vAlign w:val="bottom"/>
            <w:gridSpan w:val="6"/>
          </w:tcPr>
          <w:p>
            <w:pPr>
              <w:spacing w:after="0"/>
              <w:rPr>
                <w:sz w:val="24"/>
                <w:szCs w:val="24"/>
                <w:color w:val="auto"/>
              </w:rPr>
            </w:pPr>
          </w:p>
        </w:tc>
      </w:tr>
      <w:tr>
        <w:trPr>
          <w:trHeight w:val="194"/>
        </w:trPr>
        <w:tc>
          <w:tcPr>
            <w:tcW w:w="1040" w:type="dxa"/>
            <w:vAlign w:val="bottom"/>
          </w:tcPr>
          <w:p>
            <w:pPr>
              <w:spacing w:after="0"/>
              <w:rPr>
                <w:sz w:val="16"/>
                <w:szCs w:val="16"/>
                <w:color w:val="auto"/>
              </w:rPr>
            </w:pPr>
          </w:p>
        </w:tc>
        <w:tc>
          <w:tcPr>
            <w:tcW w:w="10380" w:type="dxa"/>
            <w:vAlign w:val="bottom"/>
            <w:gridSpan w:val="30"/>
          </w:tcPr>
          <w:p>
            <w:pPr>
              <w:spacing w:after="0" w:line="195" w:lineRule="exact"/>
              <w:rPr>
                <w:rFonts w:ascii="Arial" w:cs="Arial" w:eastAsia="Arial" w:hAnsi="Arial"/>
                <w:sz w:val="18"/>
                <w:szCs w:val="18"/>
                <w:color w:val="0000EE"/>
              </w:rPr>
            </w:pPr>
            <w:hyperlink r:id="rId117">
              <w:r>
                <w:rPr>
                  <w:rFonts w:ascii="Arial" w:cs="Arial" w:eastAsia="Arial" w:hAnsi="Arial"/>
                  <w:sz w:val="18"/>
                  <w:szCs w:val="18"/>
                  <w:color w:val="0000EE"/>
                </w:rPr>
                <w:t>filed on June 26, 2019 (File No. 333-232336)).</w:t>
              </w:r>
            </w:hyperlink>
          </w:p>
        </w:tc>
      </w:tr>
      <w:tr>
        <w:trPr>
          <w:trHeight w:val="20"/>
        </w:trPr>
        <w:tc>
          <w:tcPr>
            <w:tcW w:w="1040" w:type="dxa"/>
            <w:vAlign w:val="bottom"/>
          </w:tcPr>
          <w:p>
            <w:pPr>
              <w:spacing w:after="0" w:line="20" w:lineRule="exact"/>
              <w:rPr>
                <w:sz w:val="1"/>
                <w:szCs w:val="1"/>
                <w:color w:val="auto"/>
              </w:rPr>
            </w:pPr>
          </w:p>
        </w:tc>
        <w:tc>
          <w:tcPr>
            <w:tcW w:w="3340" w:type="dxa"/>
            <w:vAlign w:val="bottom"/>
            <w:gridSpan w:val="7"/>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408"/>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10.6*</w:t>
            </w:r>
          </w:p>
        </w:tc>
        <w:tc>
          <w:tcPr>
            <w:tcW w:w="9940" w:type="dxa"/>
            <w:vAlign w:val="bottom"/>
            <w:tcBorders>
              <w:bottom w:val="single" w:sz="8" w:color="0000EE"/>
            </w:tcBorders>
            <w:gridSpan w:val="18"/>
          </w:tcPr>
          <w:p>
            <w:pPr>
              <w:spacing w:after="0"/>
              <w:rPr>
                <w:rFonts w:ascii="Arial" w:cs="Arial" w:eastAsia="Arial" w:hAnsi="Arial"/>
                <w:sz w:val="18"/>
                <w:szCs w:val="18"/>
                <w:color w:val="0000EE"/>
                <w:w w:val="89"/>
              </w:rPr>
            </w:pPr>
            <w:hyperlink r:id="rId118">
              <w:r>
                <w:rPr>
                  <w:rFonts w:ascii="Arial" w:cs="Arial" w:eastAsia="Arial" w:hAnsi="Arial"/>
                  <w:sz w:val="18"/>
                  <w:szCs w:val="18"/>
                  <w:color w:val="0000EE"/>
                  <w:w w:val="89"/>
                </w:rPr>
                <w:t>Executive Employment Agreement, dated as of February 1, 2019, by and between Eldorado Resorts, Inc. and Bret Yunker (incorporated by</w:t>
              </w:r>
            </w:hyperlink>
          </w:p>
        </w:tc>
        <w:tc>
          <w:tcPr>
            <w:tcW w:w="440" w:type="dxa"/>
            <w:vAlign w:val="bottom"/>
            <w:gridSpan w:val="12"/>
          </w:tcPr>
          <w:p>
            <w:pPr>
              <w:spacing w:after="0"/>
              <w:rPr>
                <w:sz w:val="24"/>
                <w:szCs w:val="24"/>
                <w:color w:val="auto"/>
              </w:rPr>
            </w:pPr>
          </w:p>
        </w:tc>
      </w:tr>
      <w:tr>
        <w:trPr>
          <w:trHeight w:val="194"/>
        </w:trPr>
        <w:tc>
          <w:tcPr>
            <w:tcW w:w="1040" w:type="dxa"/>
            <w:vAlign w:val="bottom"/>
          </w:tcPr>
          <w:p>
            <w:pPr>
              <w:spacing w:after="0"/>
              <w:rPr>
                <w:sz w:val="16"/>
                <w:szCs w:val="16"/>
                <w:color w:val="auto"/>
              </w:rPr>
            </w:pPr>
          </w:p>
        </w:tc>
        <w:tc>
          <w:tcPr>
            <w:tcW w:w="10380" w:type="dxa"/>
            <w:vAlign w:val="bottom"/>
            <w:gridSpan w:val="30"/>
          </w:tcPr>
          <w:p>
            <w:pPr>
              <w:spacing w:after="0" w:line="195" w:lineRule="exact"/>
              <w:rPr>
                <w:rFonts w:ascii="Arial" w:cs="Arial" w:eastAsia="Arial" w:hAnsi="Arial"/>
                <w:sz w:val="18"/>
                <w:szCs w:val="18"/>
                <w:color w:val="0000EE"/>
              </w:rPr>
            </w:pPr>
            <w:hyperlink r:id="rId118">
              <w:r>
                <w:rPr>
                  <w:rFonts w:ascii="Arial" w:cs="Arial" w:eastAsia="Arial" w:hAnsi="Arial"/>
                  <w:sz w:val="18"/>
                  <w:szCs w:val="18"/>
                  <w:color w:val="0000EE"/>
                </w:rPr>
                <w:t>reference to our Current Report Form 8-K filed on February 5, 2019.</w:t>
              </w:r>
            </w:hyperlink>
          </w:p>
        </w:tc>
      </w:tr>
      <w:tr>
        <w:trPr>
          <w:trHeight w:val="20"/>
        </w:trPr>
        <w:tc>
          <w:tcPr>
            <w:tcW w:w="1040" w:type="dxa"/>
            <w:vAlign w:val="bottom"/>
          </w:tcPr>
          <w:p>
            <w:pPr>
              <w:spacing w:after="0" w:line="20" w:lineRule="exact"/>
              <w:rPr>
                <w:sz w:val="1"/>
                <w:szCs w:val="1"/>
                <w:color w:val="auto"/>
              </w:rPr>
            </w:pPr>
          </w:p>
        </w:tc>
        <w:tc>
          <w:tcPr>
            <w:tcW w:w="4900" w:type="dxa"/>
            <w:vAlign w:val="bottom"/>
            <w:gridSpan w:val="8"/>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31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10.7*</w:t>
            </w:r>
          </w:p>
        </w:tc>
        <w:tc>
          <w:tcPr>
            <w:tcW w:w="9900" w:type="dxa"/>
            <w:vAlign w:val="bottom"/>
            <w:tcBorders>
              <w:bottom w:val="single" w:sz="8" w:color="0000EE"/>
            </w:tcBorders>
            <w:gridSpan w:val="17"/>
          </w:tcPr>
          <w:p>
            <w:pPr>
              <w:spacing w:after="0"/>
              <w:rPr>
                <w:rFonts w:ascii="Arial" w:cs="Arial" w:eastAsia="Arial" w:hAnsi="Arial"/>
                <w:sz w:val="18"/>
                <w:szCs w:val="18"/>
                <w:color w:val="0000EE"/>
                <w:w w:val="88"/>
              </w:rPr>
            </w:pPr>
            <w:hyperlink r:id="rId115">
              <w:r>
                <w:rPr>
                  <w:rFonts w:ascii="Arial" w:cs="Arial" w:eastAsia="Arial" w:hAnsi="Arial"/>
                  <w:sz w:val="18"/>
                  <w:szCs w:val="18"/>
                  <w:color w:val="0000EE"/>
                  <w:w w:val="88"/>
                </w:rPr>
                <w:t>Amended and Restated Executive Employment Agreement, dated as of January 17, 2018, by and between Eldorado Resorts, Inc. and Gary</w:t>
              </w:r>
            </w:hyperlink>
          </w:p>
        </w:tc>
        <w:tc>
          <w:tcPr>
            <w:tcW w:w="480" w:type="dxa"/>
            <w:vAlign w:val="bottom"/>
            <w:gridSpan w:val="13"/>
          </w:tcPr>
          <w:p>
            <w:pPr>
              <w:spacing w:after="0"/>
              <w:rPr>
                <w:sz w:val="24"/>
                <w:szCs w:val="24"/>
                <w:color w:val="auto"/>
              </w:rPr>
            </w:pPr>
          </w:p>
        </w:tc>
      </w:tr>
      <w:tr>
        <w:trPr>
          <w:trHeight w:val="194"/>
        </w:trPr>
        <w:tc>
          <w:tcPr>
            <w:tcW w:w="1040" w:type="dxa"/>
            <w:vAlign w:val="bottom"/>
          </w:tcPr>
          <w:p>
            <w:pPr>
              <w:spacing w:after="0"/>
              <w:rPr>
                <w:sz w:val="16"/>
                <w:szCs w:val="16"/>
                <w:color w:val="auto"/>
              </w:rPr>
            </w:pPr>
          </w:p>
        </w:tc>
        <w:tc>
          <w:tcPr>
            <w:tcW w:w="6980" w:type="dxa"/>
            <w:vAlign w:val="bottom"/>
            <w:tcBorders>
              <w:bottom w:val="single" w:sz="8" w:color="0000EE"/>
            </w:tcBorders>
            <w:gridSpan w:val="11"/>
          </w:tcPr>
          <w:p>
            <w:pPr>
              <w:spacing w:after="0" w:line="195"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Carano (incorporated by reference to our Current Report on Form 8-K filed on January 22, 2018).</w:t>
              </w:r>
            </w:hyperlink>
          </w:p>
        </w:tc>
        <w:tc>
          <w:tcPr>
            <w:tcW w:w="3400" w:type="dxa"/>
            <w:vAlign w:val="bottom"/>
            <w:gridSpan w:val="19"/>
          </w:tcPr>
          <w:p>
            <w:pPr>
              <w:spacing w:after="0"/>
              <w:rPr>
                <w:sz w:val="16"/>
                <w:szCs w:val="16"/>
                <w:color w:val="auto"/>
              </w:rPr>
            </w:pPr>
          </w:p>
        </w:tc>
      </w:tr>
      <w:tr>
        <w:trPr>
          <w:trHeight w:val="31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10.8*</w:t>
            </w:r>
          </w:p>
        </w:tc>
        <w:tc>
          <w:tcPr>
            <w:tcW w:w="10160" w:type="dxa"/>
            <w:vAlign w:val="bottom"/>
            <w:tcBorders>
              <w:bottom w:val="single" w:sz="8" w:color="0000EE"/>
            </w:tcBorders>
            <w:gridSpan w:val="24"/>
          </w:tcPr>
          <w:p>
            <w:pPr>
              <w:spacing w:after="0"/>
              <w:rPr>
                <w:rFonts w:ascii="Arial" w:cs="Arial" w:eastAsia="Arial" w:hAnsi="Arial"/>
                <w:sz w:val="18"/>
                <w:szCs w:val="18"/>
                <w:color w:val="0000EE"/>
                <w:w w:val="88"/>
              </w:rPr>
            </w:pPr>
            <w:hyperlink r:id="rId116">
              <w:r>
                <w:rPr>
                  <w:rFonts w:ascii="Arial" w:cs="Arial" w:eastAsia="Arial" w:hAnsi="Arial"/>
                  <w:sz w:val="18"/>
                  <w:szCs w:val="18"/>
                  <w:color w:val="0000EE"/>
                  <w:w w:val="88"/>
                </w:rPr>
                <w:t>Amendment No. 1 to Amended and Restated Employment Agreement, dated September 28, 2018, by and between Gary Carano and Eldorado</w:t>
              </w:r>
            </w:hyperlink>
          </w:p>
        </w:tc>
        <w:tc>
          <w:tcPr>
            <w:tcW w:w="220" w:type="dxa"/>
            <w:vAlign w:val="bottom"/>
            <w:gridSpan w:val="6"/>
          </w:tcPr>
          <w:p>
            <w:pPr>
              <w:spacing w:after="0"/>
              <w:rPr>
                <w:sz w:val="24"/>
                <w:szCs w:val="24"/>
                <w:color w:val="auto"/>
              </w:rPr>
            </w:pPr>
          </w:p>
        </w:tc>
      </w:tr>
      <w:tr>
        <w:trPr>
          <w:trHeight w:val="194"/>
        </w:trPr>
        <w:tc>
          <w:tcPr>
            <w:tcW w:w="1040" w:type="dxa"/>
            <w:vAlign w:val="bottom"/>
          </w:tcPr>
          <w:p>
            <w:pPr>
              <w:spacing w:after="0"/>
              <w:rPr>
                <w:sz w:val="16"/>
                <w:szCs w:val="16"/>
                <w:color w:val="auto"/>
              </w:rPr>
            </w:pPr>
          </w:p>
        </w:tc>
        <w:tc>
          <w:tcPr>
            <w:tcW w:w="10380" w:type="dxa"/>
            <w:vAlign w:val="bottom"/>
            <w:gridSpan w:val="30"/>
          </w:tcPr>
          <w:p>
            <w:pPr>
              <w:spacing w:after="0" w:line="195" w:lineRule="exact"/>
              <w:rPr>
                <w:rFonts w:ascii="Arial" w:cs="Arial" w:eastAsia="Arial" w:hAnsi="Arial"/>
                <w:sz w:val="18"/>
                <w:szCs w:val="18"/>
                <w:color w:val="0000EE"/>
              </w:rPr>
            </w:pPr>
            <w:hyperlink r:id="rId116">
              <w:r>
                <w:rPr>
                  <w:rFonts w:ascii="Arial" w:cs="Arial" w:eastAsia="Arial" w:hAnsi="Arial"/>
                  <w:sz w:val="18"/>
                  <w:szCs w:val="18"/>
                  <w:color w:val="0000EE"/>
                </w:rPr>
                <w:t>Resorts, Inc. (incorporated by reference to our Current Report on Form 8-K filed on October 1, 2018).</w:t>
              </w:r>
            </w:hyperlink>
          </w:p>
        </w:tc>
      </w:tr>
      <w:tr>
        <w:trPr>
          <w:trHeight w:val="20"/>
        </w:trPr>
        <w:tc>
          <w:tcPr>
            <w:tcW w:w="1040" w:type="dxa"/>
            <w:vAlign w:val="bottom"/>
          </w:tcPr>
          <w:p>
            <w:pPr>
              <w:spacing w:after="0" w:line="20" w:lineRule="exact"/>
              <w:rPr>
                <w:sz w:val="1"/>
                <w:szCs w:val="1"/>
                <w:color w:val="auto"/>
              </w:rPr>
            </w:pPr>
          </w:p>
        </w:tc>
        <w:tc>
          <w:tcPr>
            <w:tcW w:w="6820" w:type="dxa"/>
            <w:vAlign w:val="bottom"/>
            <w:gridSpan w:val="10"/>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84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408"/>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10.9*</w:t>
            </w:r>
          </w:p>
        </w:tc>
        <w:tc>
          <w:tcPr>
            <w:tcW w:w="10120" w:type="dxa"/>
            <w:vAlign w:val="bottom"/>
            <w:tcBorders>
              <w:bottom w:val="single" w:sz="8" w:color="0000EE"/>
            </w:tcBorders>
            <w:gridSpan w:val="23"/>
          </w:tcPr>
          <w:p>
            <w:pPr>
              <w:spacing w:after="0"/>
              <w:rPr>
                <w:rFonts w:ascii="Arial" w:cs="Arial" w:eastAsia="Arial" w:hAnsi="Arial"/>
                <w:sz w:val="18"/>
                <w:szCs w:val="18"/>
                <w:color w:val="0000EE"/>
                <w:w w:val="88"/>
              </w:rPr>
            </w:pPr>
            <w:hyperlink r:id="rId118">
              <w:r>
                <w:rPr>
                  <w:rFonts w:ascii="Arial" w:cs="Arial" w:eastAsia="Arial" w:hAnsi="Arial"/>
                  <w:sz w:val="18"/>
                  <w:szCs w:val="18"/>
                  <w:color w:val="0000EE"/>
                  <w:w w:val="88"/>
                </w:rPr>
                <w:t>Amended and Restated Executive Employment Agreement, dated as of January 17, 2018, by and between Eldorado Resorts, Inc. and Thomas</w:t>
              </w:r>
            </w:hyperlink>
          </w:p>
        </w:tc>
        <w:tc>
          <w:tcPr>
            <w:tcW w:w="260" w:type="dxa"/>
            <w:vAlign w:val="bottom"/>
            <w:gridSpan w:val="7"/>
          </w:tcPr>
          <w:p>
            <w:pPr>
              <w:spacing w:after="0"/>
              <w:rPr>
                <w:sz w:val="24"/>
                <w:szCs w:val="24"/>
                <w:color w:val="auto"/>
              </w:rPr>
            </w:pPr>
          </w:p>
        </w:tc>
      </w:tr>
      <w:tr>
        <w:trPr>
          <w:trHeight w:val="194"/>
        </w:trPr>
        <w:tc>
          <w:tcPr>
            <w:tcW w:w="1040" w:type="dxa"/>
            <w:vAlign w:val="bottom"/>
          </w:tcPr>
          <w:p>
            <w:pPr>
              <w:spacing w:after="0"/>
              <w:rPr>
                <w:sz w:val="16"/>
                <w:szCs w:val="16"/>
                <w:color w:val="auto"/>
              </w:rPr>
            </w:pPr>
          </w:p>
        </w:tc>
        <w:tc>
          <w:tcPr>
            <w:tcW w:w="10380" w:type="dxa"/>
            <w:vAlign w:val="bottom"/>
            <w:gridSpan w:val="30"/>
          </w:tcPr>
          <w:p>
            <w:pPr>
              <w:spacing w:after="0" w:line="195" w:lineRule="exact"/>
              <w:rPr>
                <w:rFonts w:ascii="Arial" w:cs="Arial" w:eastAsia="Arial" w:hAnsi="Arial"/>
                <w:sz w:val="18"/>
                <w:szCs w:val="18"/>
                <w:color w:val="0000EE"/>
              </w:rPr>
            </w:pPr>
            <w:hyperlink r:id="rId118">
              <w:r>
                <w:rPr>
                  <w:rFonts w:ascii="Arial" w:cs="Arial" w:eastAsia="Arial" w:hAnsi="Arial"/>
                  <w:sz w:val="18"/>
                  <w:szCs w:val="18"/>
                  <w:color w:val="0000EE"/>
                </w:rPr>
                <w:t>Reeg (incorporated by reference to our Current Report on Form 8-K filed on January 22, 2018).</w:t>
              </w:r>
            </w:hyperlink>
          </w:p>
        </w:tc>
      </w:tr>
      <w:tr>
        <w:trPr>
          <w:trHeight w:val="20"/>
        </w:trPr>
        <w:tc>
          <w:tcPr>
            <w:tcW w:w="1040" w:type="dxa"/>
            <w:vAlign w:val="bottom"/>
          </w:tcPr>
          <w:p>
            <w:pPr>
              <w:spacing w:after="0" w:line="20" w:lineRule="exact"/>
              <w:rPr>
                <w:sz w:val="1"/>
                <w:szCs w:val="1"/>
                <w:color w:val="auto"/>
              </w:rPr>
            </w:pPr>
          </w:p>
        </w:tc>
        <w:tc>
          <w:tcPr>
            <w:tcW w:w="6820" w:type="dxa"/>
            <w:vAlign w:val="bottom"/>
            <w:gridSpan w:val="10"/>
            <w:shd w:val="clear" w:color="auto" w:fill="0000EE"/>
          </w:tcPr>
          <w:p>
            <w:pPr>
              <w:spacing w:after="0" w:line="20" w:lineRule="exact"/>
              <w:rPr>
                <w:sz w:val="1"/>
                <w:szCs w:val="1"/>
                <w:color w:val="auto"/>
              </w:rPr>
            </w:pPr>
          </w:p>
        </w:tc>
        <w:tc>
          <w:tcPr>
            <w:tcW w:w="3380" w:type="dxa"/>
            <w:vAlign w:val="bottom"/>
            <w:gridSpan w:val="15"/>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315"/>
        </w:trPr>
        <w:tc>
          <w:tcPr>
            <w:tcW w:w="1040" w:type="dxa"/>
            <w:vAlign w:val="bottom"/>
          </w:tcPr>
          <w:p>
            <w:pPr>
              <w:jc w:val="right"/>
              <w:ind w:right="371"/>
              <w:spacing w:after="0"/>
              <w:rPr>
                <w:sz w:val="20"/>
                <w:szCs w:val="20"/>
                <w:color w:val="auto"/>
              </w:rPr>
            </w:pPr>
            <w:r>
              <w:rPr>
                <w:rFonts w:ascii="Arial" w:cs="Arial" w:eastAsia="Arial" w:hAnsi="Arial"/>
                <w:sz w:val="18"/>
                <w:szCs w:val="18"/>
                <w:color w:val="auto"/>
              </w:rPr>
              <w:t>10.10*</w:t>
            </w:r>
          </w:p>
        </w:tc>
        <w:tc>
          <w:tcPr>
            <w:tcW w:w="10200" w:type="dxa"/>
            <w:vAlign w:val="bottom"/>
            <w:tcBorders>
              <w:bottom w:val="single" w:sz="8" w:color="0000EE"/>
            </w:tcBorders>
            <w:gridSpan w:val="25"/>
          </w:tcPr>
          <w:p>
            <w:pPr>
              <w:spacing w:after="0"/>
              <w:rPr>
                <w:rFonts w:ascii="Arial" w:cs="Arial" w:eastAsia="Arial" w:hAnsi="Arial"/>
                <w:sz w:val="18"/>
                <w:szCs w:val="18"/>
                <w:color w:val="0000EE"/>
                <w:w w:val="88"/>
              </w:rPr>
            </w:pPr>
            <w:hyperlink r:id="rId119">
              <w:r>
                <w:rPr>
                  <w:rFonts w:ascii="Arial" w:cs="Arial" w:eastAsia="Arial" w:hAnsi="Arial"/>
                  <w:sz w:val="18"/>
                  <w:szCs w:val="18"/>
                  <w:color w:val="0000EE"/>
                  <w:w w:val="88"/>
                </w:rPr>
                <w:t>Amendment No. 1 to Amended and Restated Employment Agreement, dated September 28, 2018, by and between Thomas Reeg and Eldorado</w:t>
              </w:r>
            </w:hyperlink>
          </w:p>
        </w:tc>
        <w:tc>
          <w:tcPr>
            <w:tcW w:w="180" w:type="dxa"/>
            <w:vAlign w:val="bottom"/>
            <w:gridSpan w:val="5"/>
          </w:tcPr>
          <w:p>
            <w:pPr>
              <w:spacing w:after="0"/>
              <w:rPr>
                <w:sz w:val="24"/>
                <w:szCs w:val="24"/>
                <w:color w:val="auto"/>
              </w:rPr>
            </w:pPr>
          </w:p>
        </w:tc>
      </w:tr>
      <w:tr>
        <w:trPr>
          <w:trHeight w:val="194"/>
        </w:trPr>
        <w:tc>
          <w:tcPr>
            <w:tcW w:w="1040" w:type="dxa"/>
            <w:vAlign w:val="bottom"/>
          </w:tcPr>
          <w:p>
            <w:pPr>
              <w:spacing w:after="0"/>
              <w:rPr>
                <w:sz w:val="16"/>
                <w:szCs w:val="16"/>
                <w:color w:val="auto"/>
              </w:rPr>
            </w:pPr>
          </w:p>
        </w:tc>
        <w:tc>
          <w:tcPr>
            <w:tcW w:w="10380" w:type="dxa"/>
            <w:vAlign w:val="bottom"/>
            <w:gridSpan w:val="30"/>
          </w:tcPr>
          <w:p>
            <w:pPr>
              <w:spacing w:after="0" w:line="195" w:lineRule="exact"/>
              <w:rPr>
                <w:rFonts w:ascii="Arial" w:cs="Arial" w:eastAsia="Arial" w:hAnsi="Arial"/>
                <w:sz w:val="18"/>
                <w:szCs w:val="18"/>
                <w:color w:val="0000EE"/>
              </w:rPr>
            </w:pPr>
            <w:hyperlink r:id="rId119">
              <w:r>
                <w:rPr>
                  <w:rFonts w:ascii="Arial" w:cs="Arial" w:eastAsia="Arial" w:hAnsi="Arial"/>
                  <w:sz w:val="18"/>
                  <w:szCs w:val="18"/>
                  <w:color w:val="0000EE"/>
                </w:rPr>
                <w:t>Resorts, Inc. (incorporated by reference to our Current Report on Form 8-K filed on October 1, 2018).</w:t>
              </w:r>
            </w:hyperlink>
          </w:p>
        </w:tc>
      </w:tr>
      <w:tr>
        <w:trPr>
          <w:trHeight w:val="567"/>
        </w:trPr>
        <w:tc>
          <w:tcPr>
            <w:tcW w:w="1040" w:type="dxa"/>
            <w:vAlign w:val="bottom"/>
          </w:tcPr>
          <w:p>
            <w:pPr>
              <w:spacing w:after="0"/>
              <w:rPr>
                <w:sz w:val="24"/>
                <w:szCs w:val="24"/>
                <w:color w:val="auto"/>
              </w:rPr>
            </w:pPr>
          </w:p>
        </w:tc>
        <w:tc>
          <w:tcPr>
            <w:tcW w:w="4900" w:type="dxa"/>
            <w:vAlign w:val="bottom"/>
            <w:tcBorders>
              <w:top w:val="single" w:sz="8" w:color="0000EE"/>
            </w:tcBorders>
            <w:gridSpan w:val="8"/>
          </w:tcPr>
          <w:p>
            <w:pPr>
              <w:ind w:left="4580"/>
              <w:spacing w:after="0"/>
              <w:rPr>
                <w:sz w:val="20"/>
                <w:szCs w:val="20"/>
                <w:color w:val="auto"/>
              </w:rPr>
            </w:pPr>
            <w:r>
              <w:rPr>
                <w:rFonts w:ascii="Arial" w:cs="Arial" w:eastAsia="Arial" w:hAnsi="Arial"/>
                <w:sz w:val="18"/>
                <w:szCs w:val="18"/>
                <w:color w:val="auto"/>
              </w:rPr>
              <w:t>79</w:t>
            </w:r>
          </w:p>
        </w:tc>
        <w:tc>
          <w:tcPr>
            <w:tcW w:w="60" w:type="dxa"/>
            <w:vAlign w:val="bottom"/>
            <w:tcBorders>
              <w:top w:val="single" w:sz="8" w:color="0000EE"/>
            </w:tcBorders>
          </w:tcPr>
          <w:p>
            <w:pPr>
              <w:spacing w:after="0"/>
              <w:rPr>
                <w:sz w:val="24"/>
                <w:szCs w:val="24"/>
                <w:color w:val="auto"/>
              </w:rPr>
            </w:pPr>
          </w:p>
        </w:tc>
        <w:tc>
          <w:tcPr>
            <w:tcW w:w="18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7231380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80" w:name="page81"/>
    <w:bookmarkEnd w:id="80"/>
    <w:p>
      <w:pPr>
        <w:ind w:left="940" w:right="200" w:hanging="940"/>
        <w:spacing w:after="0" w:line="271"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22">
        <w:r>
          <w:rPr>
            <w:rFonts w:ascii="Arial" w:cs="Arial" w:eastAsia="Arial" w:hAnsi="Arial"/>
            <w:sz w:val="18"/>
            <w:szCs w:val="18"/>
            <w:u w:val="single" w:color="auto"/>
            <w:color w:val="0000EE"/>
          </w:rPr>
          <w:t>Amended and Restated Executive Employment Agreement, dated as of January 17, 2018, by and between Eldorado Resorts, Inc. and Anthony</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Carano (incorporated by reference to our Current Report on Form 8-K filed on January 22, 2018).</w:t>
        </w:r>
      </w:hyperlink>
    </w:p>
    <w:p>
      <w:pPr>
        <w:spacing w:after="0" w:line="81" w:lineRule="exact"/>
        <w:rPr>
          <w:sz w:val="20"/>
          <w:szCs w:val="20"/>
          <w:color w:val="auto"/>
        </w:rPr>
      </w:pPr>
    </w:p>
    <w:p>
      <w:pPr>
        <w:ind w:left="940" w:right="660" w:hanging="940"/>
        <w:spacing w:after="0" w:line="301" w:lineRule="auto"/>
        <w:tabs>
          <w:tab w:leader="none" w:pos="920" w:val="left"/>
        </w:tabs>
        <w:rPr>
          <w:rFonts w:ascii="Arial" w:cs="Arial" w:eastAsia="Arial" w:hAnsi="Arial"/>
          <w:sz w:val="17"/>
          <w:szCs w:val="17"/>
          <w:u w:val="single" w:color="auto"/>
          <w:color w:val="0000EE"/>
        </w:rPr>
      </w:pPr>
      <w:r>
        <w:rPr>
          <w:rFonts w:ascii="Arial" w:cs="Arial" w:eastAsia="Arial" w:hAnsi="Arial"/>
          <w:sz w:val="18"/>
          <w:szCs w:val="18"/>
          <w:color w:val="auto"/>
        </w:rPr>
        <w:t>10.12*</w:t>
      </w:r>
      <w:r>
        <w:rPr>
          <w:sz w:val="20"/>
          <w:szCs w:val="20"/>
          <w:color w:val="auto"/>
        </w:rPr>
        <w:tab/>
      </w:r>
      <w:hyperlink r:id="rId123">
        <w:r>
          <w:rPr>
            <w:rFonts w:ascii="Arial" w:cs="Arial" w:eastAsia="Arial" w:hAnsi="Arial"/>
            <w:sz w:val="17"/>
            <w:szCs w:val="17"/>
            <w:u w:val="single" w:color="auto"/>
            <w:color w:val="0000EE"/>
          </w:rPr>
          <w:t>Amendment No. 1 to Amended and Restated Employment Agreement, dated September 28, 2018, by and between Anthony Carano and</w:t>
        </w:r>
      </w:hyperlink>
      <w:r>
        <w:rPr>
          <w:rFonts w:ascii="Arial" w:cs="Arial" w:eastAsia="Arial" w:hAnsi="Arial"/>
          <w:sz w:val="17"/>
          <w:szCs w:val="17"/>
          <w:u w:val="single" w:color="auto"/>
          <w:color w:val="0000EE"/>
        </w:rPr>
        <w:t xml:space="preserve"> </w:t>
      </w:r>
      <w:hyperlink r:id="rId123">
        <w:r>
          <w:rPr>
            <w:rFonts w:ascii="Arial" w:cs="Arial" w:eastAsia="Arial" w:hAnsi="Arial"/>
            <w:sz w:val="17"/>
            <w:szCs w:val="17"/>
            <w:u w:val="single" w:color="auto"/>
            <w:color w:val="0000EE"/>
          </w:rPr>
          <w:t>Eldorado Resorts, Inc. (incorporated by reference to our Current Report on Form 8-K filed on October 1, 2018).</w:t>
        </w:r>
      </w:hyperlink>
    </w:p>
    <w:p>
      <w:pPr>
        <w:spacing w:after="0" w:line="58" w:lineRule="exact"/>
        <w:rPr>
          <w:sz w:val="20"/>
          <w:szCs w:val="20"/>
          <w:color w:val="auto"/>
        </w:rPr>
      </w:pPr>
    </w:p>
    <w:p>
      <w:pPr>
        <w:spacing w:after="0"/>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10.13*</w:t>
      </w:r>
      <w:r>
        <w:rPr>
          <w:sz w:val="20"/>
          <w:szCs w:val="20"/>
          <w:color w:val="auto"/>
        </w:rPr>
        <w:tab/>
      </w:r>
      <w:hyperlink r:id="rId124">
        <w:r>
          <w:rPr>
            <w:rFonts w:ascii="Arial" w:cs="Arial" w:eastAsia="Arial" w:hAnsi="Arial"/>
            <w:sz w:val="16"/>
            <w:szCs w:val="16"/>
            <w:u w:val="single" w:color="auto"/>
            <w:color w:val="0000EE"/>
          </w:rPr>
          <w:t>Amended and Restated Executive Employment Agreement, dated as of January 17, 2018, by and between Eldorado Resorts, Inc. and Edmund L.</w:t>
        </w:r>
      </w:hyperlink>
    </w:p>
    <w:p>
      <w:pPr>
        <w:spacing w:after="0" w:line="20" w:lineRule="exact"/>
        <w:rPr>
          <w:sz w:val="20"/>
          <w:szCs w:val="20"/>
          <w:color w:val="auto"/>
        </w:rPr>
      </w:pPr>
    </w:p>
    <w:p>
      <w:pPr>
        <w:ind w:left="940"/>
        <w:spacing w:after="0"/>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Quatmann, Jr. (incorporated by reference to the Annual Report on Form 10-K filed on February 27, 2018).</w:t>
        </w:r>
      </w:hyperlink>
    </w:p>
    <w:p>
      <w:pPr>
        <w:spacing w:after="0" w:line="82" w:lineRule="exact"/>
        <w:rPr>
          <w:sz w:val="20"/>
          <w:szCs w:val="20"/>
          <w:color w:val="auto"/>
        </w:rPr>
      </w:pPr>
    </w:p>
    <w:p>
      <w:pPr>
        <w:ind w:left="940" w:right="440" w:hanging="940"/>
        <w:spacing w:after="0" w:line="220" w:lineRule="exact"/>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rFonts w:ascii="MS PGothic" w:cs="MS PGothic" w:eastAsia="MS PGothic" w:hAnsi="MS PGothic"/>
          <w:sz w:val="18"/>
          <w:szCs w:val="18"/>
          <w:color w:val="auto"/>
        </w:rPr>
        <w:t>⁺</w:t>
      </w:r>
      <w:r>
        <w:rPr>
          <w:sz w:val="20"/>
          <w:szCs w:val="20"/>
          <w:color w:val="auto"/>
        </w:rPr>
        <w:tab/>
      </w:r>
      <w:hyperlink r:id="rId125">
        <w:r>
          <w:rPr>
            <w:rFonts w:ascii="Arial" w:cs="Arial" w:eastAsia="Arial" w:hAnsi="Arial"/>
            <w:sz w:val="18"/>
            <w:szCs w:val="18"/>
            <w:color w:val="auto"/>
          </w:rPr>
          <w:t>R</w:t>
        </w:r>
        <w:r>
          <w:rPr>
            <w:rFonts w:ascii="Arial" w:cs="Arial" w:eastAsia="Arial" w:hAnsi="Arial"/>
            <w:sz w:val="18"/>
            <w:szCs w:val="18"/>
            <w:u w:val="single" w:color="auto"/>
            <w:color w:val="0000EE"/>
          </w:rPr>
          <w:t>eal Estate Purchase Agreement, dated as of June 17, 2019, by and among Isle of Capri Casinos LLC, MTR Gaming Group, Inc. and VICI</w:t>
        </w:r>
      </w:hyperlink>
      <w:r>
        <w:rPr>
          <w:rFonts w:ascii="Arial" w:cs="Arial" w:eastAsia="Arial" w:hAnsi="Arial"/>
          <w:sz w:val="18"/>
          <w:szCs w:val="18"/>
          <w:color w:val="auto"/>
        </w:rPr>
        <w:t xml:space="preserve"> </w:t>
      </w:r>
      <w:hyperlink r:id="rId125">
        <w:r>
          <w:rPr>
            <w:rFonts w:ascii="Arial" w:cs="Arial" w:eastAsia="Arial" w:hAnsi="Arial"/>
            <w:sz w:val="18"/>
            <w:szCs w:val="18"/>
            <w:u w:val="single" w:color="auto"/>
            <w:color w:val="0000EE"/>
          </w:rPr>
          <w:t>Properties L.P. (incorporated by reference to our Current Report on Form 8-K filed on June 17, 2019).</w:t>
        </w:r>
      </w:hyperlink>
    </w:p>
    <w:p>
      <w:pPr>
        <w:spacing w:after="0" w:line="109" w:lineRule="exact"/>
        <w:rPr>
          <w:sz w:val="20"/>
          <w:szCs w:val="20"/>
          <w:color w:val="auto"/>
        </w:rPr>
      </w:pPr>
    </w:p>
    <w:p>
      <w:pPr>
        <w:jc w:val="center"/>
        <w:ind w:right="220"/>
        <w:spacing w:after="0" w:line="237" w:lineRule="exact"/>
        <w:rPr>
          <w:rFonts w:ascii="Arial" w:cs="Arial" w:eastAsia="Arial" w:hAnsi="Arial"/>
          <w:sz w:val="17"/>
          <w:szCs w:val="17"/>
          <w:u w:val="single" w:color="auto"/>
          <w:color w:val="0000EE"/>
        </w:rPr>
      </w:pPr>
      <w:r>
        <w:rPr>
          <w:rFonts w:ascii="Arial" w:cs="Arial" w:eastAsia="Arial" w:hAnsi="Arial"/>
          <w:sz w:val="17"/>
          <w:szCs w:val="17"/>
          <w:color w:val="auto"/>
        </w:rPr>
        <w:t>10.15</w:t>
      </w:r>
      <w:r>
        <w:rPr>
          <w:rFonts w:ascii="MS PGothic" w:cs="MS PGothic" w:eastAsia="MS PGothic" w:hAnsi="MS PGothic"/>
          <w:sz w:val="17"/>
          <w:szCs w:val="17"/>
          <w:color w:val="auto"/>
        </w:rPr>
        <w:t>⁺</w:t>
      </w:r>
      <w:r>
        <w:rPr>
          <w:rFonts w:ascii="Arial" w:cs="Arial" w:eastAsia="Arial" w:hAnsi="Arial"/>
          <w:sz w:val="17"/>
          <w:szCs w:val="17"/>
          <w:color w:val="auto"/>
        </w:rPr>
        <w:t xml:space="preserve">    </w:t>
      </w:r>
      <w:hyperlink r:id="rId126">
        <w:r>
          <w:rPr>
            <w:rFonts w:ascii="Arial" w:cs="Arial" w:eastAsia="Arial" w:hAnsi="Arial"/>
            <w:sz w:val="17"/>
            <w:szCs w:val="17"/>
            <w:u w:val="single" w:color="auto"/>
            <w:color w:val="0000EE"/>
          </w:rPr>
          <w:t>Purchase and Sale Agreement dated as of September 26, 2019 by and between Eldorado Resorts, Inc. and VICI Properties L.P. (Harrah’s New</w:t>
        </w:r>
      </w:hyperlink>
      <w:r>
        <w:rPr>
          <w:rFonts w:ascii="Arial" w:cs="Arial" w:eastAsia="Arial" w:hAnsi="Arial"/>
          <w:sz w:val="17"/>
          <w:szCs w:val="17"/>
          <w:color w:val="auto"/>
        </w:rPr>
        <w:t xml:space="preserve"> </w:t>
      </w:r>
      <w:hyperlink r:id="rId126">
        <w:r>
          <w:rPr>
            <w:rFonts w:ascii="Arial" w:cs="Arial" w:eastAsia="Arial" w:hAnsi="Arial"/>
            <w:sz w:val="17"/>
            <w:szCs w:val="17"/>
            <w:u w:val="single" w:color="auto"/>
            <w:color w:val="0000EE"/>
          </w:rPr>
          <w:t>Orleans; New Orleans, Louisiana) (incorporated by reference to our Current Report on Form 8-K filed on September 26, 2019).</w:t>
        </w:r>
      </w:hyperlink>
    </w:p>
    <w:p>
      <w:pPr>
        <w:spacing w:after="0" w:line="76" w:lineRule="exact"/>
        <w:rPr>
          <w:sz w:val="20"/>
          <w:szCs w:val="20"/>
          <w:color w:val="auto"/>
        </w:rPr>
      </w:pPr>
    </w:p>
    <w:p>
      <w:pPr>
        <w:ind w:left="940" w:right="100" w:hanging="940"/>
        <w:spacing w:after="0" w:line="219" w:lineRule="exact"/>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rFonts w:ascii="MS PGothic" w:cs="MS PGothic" w:eastAsia="MS PGothic" w:hAnsi="MS PGothic"/>
          <w:sz w:val="18"/>
          <w:szCs w:val="18"/>
          <w:color w:val="auto"/>
        </w:rPr>
        <w:t>⁺</w:t>
      </w:r>
      <w:r>
        <w:rPr>
          <w:sz w:val="20"/>
          <w:szCs w:val="20"/>
          <w:color w:val="auto"/>
        </w:rPr>
        <w:tab/>
      </w:r>
      <w:hyperlink r:id="rId127">
        <w:r>
          <w:rPr>
            <w:rFonts w:ascii="Arial" w:cs="Arial" w:eastAsia="Arial" w:hAnsi="Arial"/>
            <w:sz w:val="18"/>
            <w:szCs w:val="18"/>
            <w:u w:val="single" w:color="auto"/>
            <w:color w:val="0000EE"/>
          </w:rPr>
          <w:t>Purchase and Sale Agreement dated as of September 26, 2019 by and between Eldorado Resorts, Inc. and VICI Properties L.P. (Harrah’s Resort</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Atlantic City and Harrah’s Atlantic City Waterfront Conference Center; Atlantic City, New Jersey) (incorporated by reference to our Current</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Report on Form 8-K filed on September 26, 2019).</w:t>
        </w:r>
      </w:hyperlink>
    </w:p>
    <w:p>
      <w:pPr>
        <w:spacing w:after="0" w:line="108" w:lineRule="exact"/>
        <w:rPr>
          <w:rFonts w:ascii="Arial" w:cs="Arial" w:eastAsia="Arial" w:hAnsi="Arial"/>
          <w:sz w:val="18"/>
          <w:szCs w:val="18"/>
          <w:u w:val="single" w:color="auto"/>
          <w:color w:val="0000EE"/>
        </w:rPr>
      </w:pPr>
    </w:p>
    <w:p>
      <w:pPr>
        <w:ind w:left="940" w:right="340" w:hanging="940"/>
        <w:spacing w:after="0" w:line="221" w:lineRule="exact"/>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10.17</w:t>
      </w:r>
      <w:r>
        <w:rPr>
          <w:rFonts w:ascii="MS PGothic" w:cs="MS PGothic" w:eastAsia="MS PGothic" w:hAnsi="MS PGothic"/>
          <w:sz w:val="18"/>
          <w:szCs w:val="18"/>
          <w:color w:val="auto"/>
        </w:rPr>
        <w:t>⁺</w:t>
      </w:r>
      <w:r>
        <w:rPr>
          <w:sz w:val="20"/>
          <w:szCs w:val="20"/>
          <w:color w:val="auto"/>
        </w:rPr>
        <w:tab/>
      </w:r>
      <w:hyperlink r:id="rId128">
        <w:r>
          <w:rPr>
            <w:rFonts w:ascii="Arial" w:cs="Arial" w:eastAsia="Arial" w:hAnsi="Arial"/>
            <w:sz w:val="16"/>
            <w:szCs w:val="16"/>
            <w:u w:val="single" w:color="auto"/>
            <w:color w:val="0000EE"/>
          </w:rPr>
          <w:t>Purchase and Sale Agreement dated as of September 26, 2019 by and between Eldorado Resorts, Inc. and VICI Properties L.P. (Harrah’s</w:t>
        </w:r>
      </w:hyperlink>
      <w:r>
        <w:rPr>
          <w:rFonts w:ascii="Arial" w:cs="Arial" w:eastAsia="Arial" w:hAnsi="Arial"/>
          <w:sz w:val="16"/>
          <w:szCs w:val="16"/>
          <w:u w:val="single" w:color="auto"/>
          <w:color w:val="0000EE"/>
        </w:rPr>
        <w:t xml:space="preserve"> </w:t>
      </w:r>
      <w:hyperlink r:id="rId128">
        <w:r>
          <w:rPr>
            <w:rFonts w:ascii="Arial" w:cs="Arial" w:eastAsia="Arial" w:hAnsi="Arial"/>
            <w:sz w:val="16"/>
            <w:szCs w:val="16"/>
            <w:u w:val="single" w:color="auto"/>
            <w:color w:val="0000EE"/>
          </w:rPr>
          <w:t>Laughlin Hotel and Casino; Laughlin, Nevada) (incorporated by reference to our Current Report on Form 8-K filed on September 26, 2019).</w:t>
        </w:r>
      </w:hyperlink>
    </w:p>
    <w:p>
      <w:pPr>
        <w:spacing w:after="0" w:line="109" w:lineRule="exact"/>
        <w:rPr>
          <w:sz w:val="20"/>
          <w:szCs w:val="20"/>
          <w:color w:val="auto"/>
        </w:rPr>
      </w:pPr>
    </w:p>
    <w:p>
      <w:pPr>
        <w:ind w:left="940" w:right="280" w:hanging="940"/>
        <w:spacing w:after="0" w:line="220" w:lineRule="exact"/>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rFonts w:ascii="MS PGothic" w:cs="MS PGothic" w:eastAsia="MS PGothic" w:hAnsi="MS PGothic"/>
          <w:sz w:val="18"/>
          <w:szCs w:val="18"/>
          <w:color w:val="auto"/>
        </w:rPr>
        <w:t>⁺</w:t>
      </w:r>
      <w:r>
        <w:rPr>
          <w:sz w:val="20"/>
          <w:szCs w:val="20"/>
          <w:color w:val="auto"/>
        </w:rPr>
        <w:tab/>
      </w:r>
      <w:hyperlink w:anchor="page154">
        <w:r>
          <w:rPr>
            <w:rFonts w:ascii="Arial" w:cs="Arial" w:eastAsia="Arial" w:hAnsi="Arial"/>
            <w:sz w:val="18"/>
            <w:szCs w:val="18"/>
            <w:u w:val="single" w:color="auto"/>
            <w:color w:val="0000EE"/>
          </w:rPr>
          <w:t>First Amendment to Purchase and Sale Agreement dated as of February 20, 2020 by and between Eldorado Resorts, Inc. and VICI Properties</w:t>
        </w:r>
      </w:hyperlink>
      <w:r>
        <w:rPr>
          <w:rFonts w:ascii="Arial" w:cs="Arial" w:eastAsia="Arial" w:hAnsi="Arial"/>
          <w:sz w:val="18"/>
          <w:szCs w:val="18"/>
          <w:u w:val="single" w:color="auto"/>
          <w:color w:val="0000EE"/>
        </w:rPr>
        <w:t xml:space="preserve"> </w:t>
      </w:r>
      <w:hyperlink w:anchor="page154">
        <w:r>
          <w:rPr>
            <w:rFonts w:ascii="Arial" w:cs="Arial" w:eastAsia="Arial" w:hAnsi="Arial"/>
            <w:sz w:val="18"/>
            <w:szCs w:val="18"/>
            <w:u w:val="single" w:color="auto"/>
            <w:color w:val="0000EE"/>
          </w:rPr>
          <w:t>L.P. (Harrah’s Laughlin Hotel and Casino; Laughlin, Nevada) (filed herewith).</w:t>
        </w:r>
      </w:hyperlink>
    </w:p>
    <w:p>
      <w:pPr>
        <w:spacing w:after="0" w:line="141" w:lineRule="exact"/>
        <w:rPr>
          <w:sz w:val="20"/>
          <w:szCs w:val="20"/>
          <w:color w:val="auto"/>
        </w:rPr>
      </w:pPr>
    </w:p>
    <w:p>
      <w:pPr>
        <w:ind w:left="940" w:right="680" w:hanging="940"/>
        <w:spacing w:after="0" w:line="220" w:lineRule="exact"/>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29">
        <w:r>
          <w:rPr>
            <w:rFonts w:ascii="Arial" w:cs="Arial" w:eastAsia="Arial" w:hAnsi="Arial"/>
            <w:sz w:val="18"/>
            <w:szCs w:val="18"/>
            <w:u w:val="single" w:color="auto"/>
            <w:color w:val="0000EE"/>
          </w:rPr>
          <w:t>2010 Long</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Term Incentive Plan (incorporated by reference to the Quarterly Report of MTR Gaming Group, Inc. on Form 10</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Q filed on</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August 9, 2010).</w:t>
        </w:r>
      </w:hyperlink>
    </w:p>
    <w:p>
      <w:pPr>
        <w:spacing w:after="0" w:line="109" w:lineRule="exact"/>
        <w:rPr>
          <w:sz w:val="20"/>
          <w:szCs w:val="20"/>
          <w:color w:val="auto"/>
        </w:rPr>
      </w:pPr>
    </w:p>
    <w:p>
      <w:pPr>
        <w:ind w:left="940" w:right="320" w:hanging="940"/>
        <w:spacing w:after="0" w:line="220" w:lineRule="exact"/>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30">
        <w:r>
          <w:rPr>
            <w:rFonts w:ascii="Arial" w:cs="Arial" w:eastAsia="Arial" w:hAnsi="Arial"/>
            <w:sz w:val="18"/>
            <w:szCs w:val="18"/>
            <w:u w:val="single" w:color="auto"/>
            <w:color w:val="0000EE"/>
          </w:rPr>
          <w:t>Form of Nonqualified Stock Option Award Agreement (2010 Long</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Term Incentive Plan) (incorporated by reference to the Current Report of</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MTR Gaming Group, Inc. on Form 8</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K filed on February 3, 2011).</w:t>
        </w:r>
      </w:hyperlink>
    </w:p>
    <w:p>
      <w:pPr>
        <w:spacing w:after="0" w:line="109" w:lineRule="exact"/>
        <w:rPr>
          <w:sz w:val="20"/>
          <w:szCs w:val="20"/>
          <w:color w:val="auto"/>
        </w:rPr>
      </w:pPr>
    </w:p>
    <w:p>
      <w:pPr>
        <w:ind w:left="940" w:hanging="940"/>
        <w:spacing w:after="0" w:line="271"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w:anchor="page156">
        <w:r>
          <w:rPr>
            <w:rFonts w:ascii="Arial" w:cs="Arial" w:eastAsia="Arial" w:hAnsi="Arial"/>
            <w:sz w:val="18"/>
            <w:szCs w:val="18"/>
            <w:u w:val="single" w:color="auto"/>
            <w:color w:val="0000EE"/>
          </w:rPr>
          <w:t>Form of Director Non-Deferred Restricted Stock Unit Award Agreement pursuant to the Eldorado Resorts, Inc. 2015 Equity Incentive Plan (filed</w:t>
        </w:r>
      </w:hyperlink>
      <w:r>
        <w:rPr>
          <w:rFonts w:ascii="Arial" w:cs="Arial" w:eastAsia="Arial" w:hAnsi="Arial"/>
          <w:sz w:val="18"/>
          <w:szCs w:val="18"/>
          <w:u w:val="single" w:color="auto"/>
          <w:color w:val="0000EE"/>
        </w:rPr>
        <w:t xml:space="preserve"> </w:t>
      </w:r>
      <w:hyperlink w:anchor="page156">
        <w:r>
          <w:rPr>
            <w:rFonts w:ascii="Arial" w:cs="Arial" w:eastAsia="Arial" w:hAnsi="Arial"/>
            <w:sz w:val="18"/>
            <w:szCs w:val="18"/>
            <w:u w:val="single" w:color="auto"/>
            <w:color w:val="0000EE"/>
          </w:rPr>
          <w:t>herewith).</w:t>
        </w:r>
      </w:hyperlink>
    </w:p>
    <w:p>
      <w:pPr>
        <w:spacing w:after="0" w:line="81" w:lineRule="exact"/>
        <w:rPr>
          <w:sz w:val="20"/>
          <w:szCs w:val="20"/>
          <w:color w:val="auto"/>
        </w:rPr>
      </w:pPr>
    </w:p>
    <w:p>
      <w:pPr>
        <w:spacing w:after="0"/>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10.22*</w:t>
      </w:r>
      <w:r>
        <w:rPr>
          <w:sz w:val="20"/>
          <w:szCs w:val="20"/>
          <w:color w:val="auto"/>
        </w:rPr>
        <w:tab/>
      </w:r>
      <w:hyperlink w:anchor="page160">
        <w:r>
          <w:rPr>
            <w:rFonts w:ascii="Arial" w:cs="Arial" w:eastAsia="Arial" w:hAnsi="Arial"/>
            <w:sz w:val="16"/>
            <w:szCs w:val="16"/>
            <w:u w:val="single" w:color="auto"/>
            <w:color w:val="0000EE"/>
          </w:rPr>
          <w:t>Form of Restricted Stock Unit Time-Based Award Agreement pursuant to the Eldorado Resorts, Inc. 2015 Equity Incentive Plan (filed herewith).</w:t>
        </w:r>
      </w:hyperlink>
    </w:p>
    <w:p>
      <w:pPr>
        <w:spacing w:after="0" w:line="128" w:lineRule="exact"/>
        <w:rPr>
          <w:sz w:val="20"/>
          <w:szCs w:val="20"/>
          <w:color w:val="auto"/>
        </w:rPr>
      </w:pPr>
    </w:p>
    <w:p>
      <w:pPr>
        <w:ind w:left="940" w:right="240" w:hanging="940"/>
        <w:spacing w:after="0" w:line="259"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31">
        <w:r>
          <w:rPr>
            <w:rFonts w:ascii="Arial" w:cs="Arial" w:eastAsia="Arial" w:hAnsi="Arial"/>
            <w:sz w:val="18"/>
            <w:szCs w:val="18"/>
            <w:u w:val="single" w:color="auto"/>
            <w:color w:val="0000EE"/>
          </w:rPr>
          <w:t>Form of Director Deferred Restricted Stock Unit Award Agreement pursuant to the Eldorado Resorts, Inc. 2015 Equity Incentive Plan</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(incorporated herein by reference to Exhibit 10.29 to the Registration Statement on Form S-1 filed by Eldorado Resorts, Inc. on July 14, 2015</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(File No. 333-205654)).</w:t>
        </w:r>
      </w:hyperlink>
    </w:p>
    <w:p>
      <w:pPr>
        <w:spacing w:after="0" w:line="93" w:lineRule="exact"/>
        <w:rPr>
          <w:rFonts w:ascii="Arial" w:cs="Arial" w:eastAsia="Arial" w:hAnsi="Arial"/>
          <w:sz w:val="18"/>
          <w:szCs w:val="18"/>
          <w:u w:val="single" w:color="auto"/>
          <w:color w:val="0000EE"/>
        </w:rPr>
      </w:pPr>
    </w:p>
    <w:p>
      <w:pPr>
        <w:ind w:left="940" w:hanging="940"/>
        <w:spacing w:after="0" w:line="220" w:lineRule="exact"/>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32">
        <w:r>
          <w:rPr>
            <w:rFonts w:ascii="Arial" w:cs="Arial" w:eastAsia="Arial" w:hAnsi="Arial"/>
            <w:sz w:val="18"/>
            <w:szCs w:val="18"/>
            <w:u w:val="single" w:color="auto"/>
            <w:color w:val="0000EE"/>
          </w:rPr>
          <w:t>Form of Performance Stock Unit Award Agreement pursuant to the Eldorado Resorts, Inc. 2015 Equity Incentive Plan (incorporated by reference</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to our Annual Report on Form 10</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K filed on March 1, 2019).</w:t>
        </w:r>
      </w:hyperlink>
    </w:p>
    <w:p>
      <w:pPr>
        <w:spacing w:after="0" w:line="109" w:lineRule="exact"/>
        <w:rPr>
          <w:sz w:val="20"/>
          <w:szCs w:val="20"/>
          <w:color w:val="auto"/>
        </w:rPr>
      </w:pPr>
    </w:p>
    <w:p>
      <w:pPr>
        <w:ind w:left="940" w:right="480" w:hanging="940"/>
        <w:spacing w:after="0" w:line="220" w:lineRule="exact"/>
        <w:tabs>
          <w:tab w:leader="none" w:pos="920" w:val="left"/>
        </w:tabs>
        <w:rPr>
          <w:rFonts w:ascii="Arial" w:cs="Arial" w:eastAsia="Arial" w:hAnsi="Arial"/>
          <w:sz w:val="17"/>
          <w:szCs w:val="17"/>
          <w:u w:val="single" w:color="auto"/>
          <w:color w:val="0000EE"/>
        </w:rPr>
      </w:pPr>
      <w:r>
        <w:rPr>
          <w:rFonts w:ascii="Arial" w:cs="Arial" w:eastAsia="Arial" w:hAnsi="Arial"/>
          <w:sz w:val="18"/>
          <w:szCs w:val="18"/>
          <w:color w:val="auto"/>
        </w:rPr>
        <w:t>10.25</w:t>
      </w:r>
      <w:r>
        <w:rPr>
          <w:sz w:val="20"/>
          <w:szCs w:val="20"/>
          <w:color w:val="auto"/>
        </w:rPr>
        <w:tab/>
      </w:r>
      <w:hyperlink r:id="rId133">
        <w:r>
          <w:rPr>
            <w:rFonts w:ascii="Arial" w:cs="Arial" w:eastAsia="Arial" w:hAnsi="Arial"/>
            <w:sz w:val="17"/>
            <w:szCs w:val="17"/>
            <w:u w:val="single" w:color="auto"/>
            <w:color w:val="0000EE"/>
          </w:rPr>
          <w:t>Ground Lease dated as of May 19, 1999 between City of Shreveport, as landlord, and Eldorado Casino Shreveport Joint Venture (formerly</w:t>
        </w:r>
      </w:hyperlink>
      <w:r>
        <w:rPr>
          <w:rFonts w:ascii="Arial" w:cs="Arial" w:eastAsia="Arial" w:hAnsi="Arial"/>
          <w:sz w:val="17"/>
          <w:szCs w:val="17"/>
          <w:u w:val="single" w:color="auto"/>
          <w:color w:val="0000EE"/>
        </w:rPr>
        <w:t xml:space="preserve"> </w:t>
      </w:r>
      <w:hyperlink r:id="rId133">
        <w:r>
          <w:rPr>
            <w:rFonts w:ascii="Arial" w:cs="Arial" w:eastAsia="Arial" w:hAnsi="Arial"/>
            <w:sz w:val="17"/>
            <w:szCs w:val="17"/>
            <w:u w:val="single" w:color="auto"/>
            <w:color w:val="0000EE"/>
          </w:rPr>
          <w:t>known as QNOV) as tenant (incorporated by reference to our Annual Report on Form 10</w:t>
        </w:r>
        <w:r>
          <w:rPr>
            <w:rFonts w:ascii="MS PGothic" w:cs="MS PGothic" w:eastAsia="MS PGothic" w:hAnsi="MS PGothic"/>
            <w:sz w:val="17"/>
            <w:szCs w:val="17"/>
            <w:u w:val="single" w:color="auto"/>
            <w:color w:val="0000EE"/>
          </w:rPr>
          <w:t>‑</w:t>
        </w:r>
        <w:r>
          <w:rPr>
            <w:rFonts w:ascii="Arial" w:cs="Arial" w:eastAsia="Arial" w:hAnsi="Arial"/>
            <w:sz w:val="17"/>
            <w:szCs w:val="17"/>
            <w:u w:val="single" w:color="auto"/>
            <w:color w:val="0000EE"/>
          </w:rPr>
          <w:t>K filed on March 16, 2015).</w:t>
        </w:r>
      </w:hyperlink>
    </w:p>
    <w:p>
      <w:pPr>
        <w:spacing w:after="0" w:line="109" w:lineRule="exact"/>
        <w:rPr>
          <w:sz w:val="20"/>
          <w:szCs w:val="20"/>
          <w:color w:val="auto"/>
        </w:rPr>
      </w:pPr>
    </w:p>
    <w:p>
      <w:pPr>
        <w:ind w:left="940" w:right="40" w:hanging="940"/>
        <w:spacing w:after="0" w:line="219" w:lineRule="exact"/>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134">
        <w:r>
          <w:rPr>
            <w:rFonts w:ascii="Arial" w:cs="Arial" w:eastAsia="Arial" w:hAnsi="Arial"/>
            <w:sz w:val="18"/>
            <w:szCs w:val="18"/>
            <w:u w:val="single" w:color="auto"/>
            <w:color w:val="0000EE"/>
          </w:rPr>
          <w:t>First Amendment to Lease Agreement made and entered into as of August 13, 2012, by and between City of Shreveport, as landlord, and</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Eldorado Casino Shreveport Joint Venture (formerly known as QNOV) as tenant (incorporated by reference to our Annual Report on Form 10</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K</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filed on March 16, 2015).</w:t>
        </w:r>
      </w:hyperlink>
    </w:p>
    <w:p>
      <w:pPr>
        <w:spacing w:after="0" w:line="108" w:lineRule="exact"/>
        <w:rPr>
          <w:rFonts w:ascii="Arial" w:cs="Arial" w:eastAsia="Arial" w:hAnsi="Arial"/>
          <w:sz w:val="18"/>
          <w:szCs w:val="18"/>
          <w:u w:val="single" w:color="auto"/>
          <w:color w:val="0000EE"/>
        </w:rPr>
      </w:pPr>
    </w:p>
    <w:p>
      <w:pPr>
        <w:ind w:left="940" w:right="100" w:hanging="940"/>
        <w:spacing w:after="0" w:line="220" w:lineRule="exact"/>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135">
        <w:r>
          <w:rPr>
            <w:rFonts w:ascii="Arial" w:cs="Arial" w:eastAsia="Arial" w:hAnsi="Arial"/>
            <w:sz w:val="18"/>
            <w:szCs w:val="18"/>
            <w:u w:val="single" w:color="auto"/>
            <w:color w:val="0000EE"/>
          </w:rPr>
          <w:t>Lease between C, S &amp; Y Associates, as lessor, and Eldorado Hotel Associates, as lessee, dated as of July 21, 1972 (incorporated by reference to</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our Annual Report on Form 10</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K filed on March 16, 2015).</w:t>
        </w:r>
      </w:hyperlink>
    </w:p>
    <w:p>
      <w:pPr>
        <w:spacing w:after="0" w:line="109" w:lineRule="exact"/>
        <w:rPr>
          <w:sz w:val="20"/>
          <w:szCs w:val="20"/>
          <w:color w:val="auto"/>
        </w:rPr>
      </w:pPr>
    </w:p>
    <w:p>
      <w:pPr>
        <w:ind w:left="940" w:right="440" w:hanging="940"/>
        <w:spacing w:after="0" w:line="220" w:lineRule="exact"/>
        <w:tabs>
          <w:tab w:leader="none" w:pos="920" w:val="left"/>
        </w:tabs>
        <w:rPr>
          <w:rFonts w:ascii="Arial" w:cs="Arial" w:eastAsia="Arial" w:hAnsi="Arial"/>
          <w:sz w:val="17"/>
          <w:szCs w:val="17"/>
          <w:u w:val="single" w:color="auto"/>
          <w:color w:val="0000EE"/>
        </w:rPr>
      </w:pPr>
      <w:r>
        <w:rPr>
          <w:rFonts w:ascii="Arial" w:cs="Arial" w:eastAsia="Arial" w:hAnsi="Arial"/>
          <w:sz w:val="18"/>
          <w:szCs w:val="18"/>
          <w:color w:val="auto"/>
        </w:rPr>
        <w:t>10.28</w:t>
      </w:r>
      <w:r>
        <w:rPr>
          <w:sz w:val="20"/>
          <w:szCs w:val="20"/>
          <w:color w:val="auto"/>
        </w:rPr>
        <w:tab/>
      </w:r>
      <w:hyperlink r:id="rId136">
        <w:r>
          <w:rPr>
            <w:rFonts w:ascii="Arial" w:cs="Arial" w:eastAsia="Arial" w:hAnsi="Arial"/>
            <w:sz w:val="17"/>
            <w:szCs w:val="17"/>
            <w:u w:val="single" w:color="auto"/>
            <w:color w:val="0000EE"/>
          </w:rPr>
          <w:t>Addendum, dated as of March 20, 1973, to lease between C. S &amp; Y Associates, as lessor, and Eldorado Hotel Associates, as lessee, dated as of</w:t>
        </w:r>
      </w:hyperlink>
      <w:r>
        <w:rPr>
          <w:rFonts w:ascii="Arial" w:cs="Arial" w:eastAsia="Arial" w:hAnsi="Arial"/>
          <w:sz w:val="17"/>
          <w:szCs w:val="17"/>
          <w:u w:val="single" w:color="auto"/>
          <w:color w:val="0000EE"/>
        </w:rPr>
        <w:t xml:space="preserve"> </w:t>
      </w:r>
      <w:hyperlink r:id="rId136">
        <w:r>
          <w:rPr>
            <w:rFonts w:ascii="Arial" w:cs="Arial" w:eastAsia="Arial" w:hAnsi="Arial"/>
            <w:sz w:val="17"/>
            <w:szCs w:val="17"/>
            <w:u w:val="single" w:color="auto"/>
            <w:color w:val="0000EE"/>
          </w:rPr>
          <w:t>July 21, 1972 (incorporated by reference to our Annual Report on Form 10</w:t>
        </w:r>
        <w:r>
          <w:rPr>
            <w:rFonts w:ascii="MS PGothic" w:cs="MS PGothic" w:eastAsia="MS PGothic" w:hAnsi="MS PGothic"/>
            <w:sz w:val="17"/>
            <w:szCs w:val="17"/>
            <w:u w:val="single" w:color="auto"/>
            <w:color w:val="0000EE"/>
          </w:rPr>
          <w:t>‑</w:t>
        </w:r>
        <w:r>
          <w:rPr>
            <w:rFonts w:ascii="Arial" w:cs="Arial" w:eastAsia="Arial" w:hAnsi="Arial"/>
            <w:sz w:val="17"/>
            <w:szCs w:val="17"/>
            <w:u w:val="single" w:color="auto"/>
            <w:color w:val="0000EE"/>
          </w:rPr>
          <w:t>K filed on March 16, 2015).</w:t>
        </w:r>
      </w:hyperlink>
    </w:p>
    <w:p>
      <w:pPr>
        <w:spacing w:after="0" w:line="3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69215</wp:posOffset>
            </wp:positionV>
            <wp:extent cx="7273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7">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300"/>
          </w:cols>
          <w:pgMar w:left="340" w:top="339" w:right="259" w:bottom="1440" w:gutter="0" w:footer="0" w:header="0"/>
        </w:sectPr>
      </w:pPr>
    </w:p>
    <w:bookmarkStart w:id="81" w:name="page82"/>
    <w:bookmarkEnd w:id="81"/>
    <w:p>
      <w:pPr>
        <w:ind w:left="940" w:right="40" w:hanging="940"/>
        <w:spacing w:after="0" w:line="220" w:lineRule="exact"/>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38">
        <w:r>
          <w:rPr>
            <w:rFonts w:ascii="Arial" w:cs="Arial" w:eastAsia="Arial" w:hAnsi="Arial"/>
            <w:sz w:val="18"/>
            <w:szCs w:val="18"/>
            <w:u w:val="single" w:color="auto"/>
            <w:color w:val="0000EE"/>
          </w:rPr>
          <w:t>Amendment, dated as of January 1, 1978, to lease between C. S. &amp; Y. Associates, as lessor, and Eldorado Hotel Associates, as lessee, dated as of</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July 21, 1972 (incorporated by reference to our Annual Report on Form 10</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K filed on March 16, 2015).</w:t>
        </w:r>
      </w:hyperlink>
    </w:p>
    <w:p>
      <w:pPr>
        <w:spacing w:after="0" w:line="109" w:lineRule="exact"/>
        <w:rPr>
          <w:sz w:val="20"/>
          <w:szCs w:val="20"/>
          <w:color w:val="auto"/>
        </w:rPr>
      </w:pPr>
    </w:p>
    <w:p>
      <w:pPr>
        <w:ind w:left="940" w:right="140" w:hanging="940"/>
        <w:spacing w:after="0" w:line="220" w:lineRule="exact"/>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139">
        <w:r>
          <w:rPr>
            <w:rFonts w:ascii="Arial" w:cs="Arial" w:eastAsia="Arial" w:hAnsi="Arial"/>
            <w:sz w:val="18"/>
            <w:szCs w:val="18"/>
            <w:u w:val="single" w:color="auto"/>
            <w:color w:val="0000EE"/>
          </w:rPr>
          <w:t>Amendment, dated as of January 31, 1985, to lease between C. S. &amp; Y. Associates, as lessor, and Eldorado Hotel Associates, as lessee, dated as</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of July 21, 1972 (incorporated by reference to our Annual Report on Form 10</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K filed on March 16, 2015).</w:t>
        </w:r>
      </w:hyperlink>
    </w:p>
    <w:p>
      <w:pPr>
        <w:spacing w:after="0" w:line="109" w:lineRule="exact"/>
        <w:rPr>
          <w:sz w:val="20"/>
          <w:szCs w:val="20"/>
          <w:color w:val="auto"/>
        </w:rPr>
      </w:pPr>
    </w:p>
    <w:p>
      <w:pPr>
        <w:ind w:left="940" w:right="160" w:hanging="940"/>
        <w:spacing w:after="0" w:line="220" w:lineRule="exact"/>
        <w:tabs>
          <w:tab w:leader="none" w:pos="920" w:val="left"/>
        </w:tabs>
        <w:rPr>
          <w:rFonts w:ascii="Arial" w:cs="Arial" w:eastAsia="Arial" w:hAnsi="Arial"/>
          <w:sz w:val="17"/>
          <w:szCs w:val="17"/>
          <w:u w:val="single" w:color="auto"/>
          <w:color w:val="0000EE"/>
        </w:rPr>
      </w:pPr>
      <w:r>
        <w:rPr>
          <w:rFonts w:ascii="Arial" w:cs="Arial" w:eastAsia="Arial" w:hAnsi="Arial"/>
          <w:sz w:val="18"/>
          <w:szCs w:val="18"/>
          <w:color w:val="auto"/>
        </w:rPr>
        <w:t>10.31</w:t>
      </w:r>
      <w:r>
        <w:rPr>
          <w:sz w:val="20"/>
          <w:szCs w:val="20"/>
          <w:color w:val="auto"/>
        </w:rPr>
        <w:tab/>
      </w:r>
      <w:hyperlink r:id="rId140">
        <w:r>
          <w:rPr>
            <w:rFonts w:ascii="Arial" w:cs="Arial" w:eastAsia="Arial" w:hAnsi="Arial"/>
            <w:sz w:val="17"/>
            <w:szCs w:val="17"/>
            <w:u w:val="single" w:color="auto"/>
            <w:color w:val="0000EE"/>
          </w:rPr>
          <w:t>Amendment, dated as of December 24, 1987, to lease between C. S. &amp; Y. Associates, as lessor, and Eldorado Hotel Associates, as lessee, dated</w:t>
        </w:r>
      </w:hyperlink>
      <w:r>
        <w:rPr>
          <w:rFonts w:ascii="Arial" w:cs="Arial" w:eastAsia="Arial" w:hAnsi="Arial"/>
          <w:sz w:val="17"/>
          <w:szCs w:val="17"/>
          <w:u w:val="single" w:color="auto"/>
          <w:color w:val="0000EE"/>
        </w:rPr>
        <w:t xml:space="preserve"> </w:t>
      </w:r>
      <w:hyperlink r:id="rId140">
        <w:r>
          <w:rPr>
            <w:rFonts w:ascii="Arial" w:cs="Arial" w:eastAsia="Arial" w:hAnsi="Arial"/>
            <w:sz w:val="17"/>
            <w:szCs w:val="17"/>
            <w:u w:val="single" w:color="auto"/>
            <w:color w:val="0000EE"/>
          </w:rPr>
          <w:t>as of July 21, 1972 (incorporated by reference to our Annual Report on Form 10</w:t>
        </w:r>
        <w:r>
          <w:rPr>
            <w:rFonts w:ascii="MS PGothic" w:cs="MS PGothic" w:eastAsia="MS PGothic" w:hAnsi="MS PGothic"/>
            <w:sz w:val="17"/>
            <w:szCs w:val="17"/>
            <w:u w:val="single" w:color="auto"/>
            <w:color w:val="0000EE"/>
          </w:rPr>
          <w:t>‑</w:t>
        </w:r>
        <w:r>
          <w:rPr>
            <w:rFonts w:ascii="Arial" w:cs="Arial" w:eastAsia="Arial" w:hAnsi="Arial"/>
            <w:sz w:val="17"/>
            <w:szCs w:val="17"/>
            <w:u w:val="single" w:color="auto"/>
            <w:color w:val="0000EE"/>
          </w:rPr>
          <w:t>K filed on March 16, 2015).</w:t>
        </w:r>
      </w:hyperlink>
    </w:p>
    <w:p>
      <w:pPr>
        <w:spacing w:after="0" w:line="109" w:lineRule="exact"/>
        <w:rPr>
          <w:sz w:val="20"/>
          <w:szCs w:val="20"/>
          <w:color w:val="auto"/>
        </w:rPr>
      </w:pPr>
    </w:p>
    <w:p>
      <w:pPr>
        <w:ind w:left="940" w:hanging="940"/>
        <w:spacing w:after="0" w:line="221" w:lineRule="exact"/>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10.32</w:t>
      </w:r>
      <w:r>
        <w:rPr>
          <w:sz w:val="20"/>
          <w:szCs w:val="20"/>
          <w:color w:val="auto"/>
        </w:rPr>
        <w:tab/>
      </w:r>
      <w:hyperlink r:id="rId141">
        <w:r>
          <w:rPr>
            <w:rFonts w:ascii="Arial" w:cs="Arial" w:eastAsia="Arial" w:hAnsi="Arial"/>
            <w:sz w:val="16"/>
            <w:szCs w:val="16"/>
            <w:u w:val="single" w:color="auto"/>
            <w:color w:val="0000EE"/>
          </w:rPr>
          <w:t>Reimbursement and Indemnification Agreement and Lease Amendment, entered into as of March 24, 1994, by and between Eldorado Hotel</w:t>
        </w:r>
      </w:hyperlink>
      <w:r>
        <w:rPr>
          <w:rFonts w:ascii="Arial" w:cs="Arial" w:eastAsia="Arial" w:hAnsi="Arial"/>
          <w:sz w:val="16"/>
          <w:szCs w:val="16"/>
          <w:u w:val="single" w:color="auto"/>
          <w:color w:val="0000EE"/>
        </w:rPr>
        <w:t xml:space="preserve"> </w:t>
      </w:r>
      <w:hyperlink r:id="rId141">
        <w:r>
          <w:rPr>
            <w:rFonts w:ascii="Arial" w:cs="Arial" w:eastAsia="Arial" w:hAnsi="Arial"/>
            <w:sz w:val="16"/>
            <w:szCs w:val="16"/>
            <w:u w:val="single" w:color="auto"/>
            <w:color w:val="0000EE"/>
          </w:rPr>
          <w:t>Associates Limited Partnership, and CS&amp;Y Associates (incorporated by reference to our Annual Report on Form 10</w:t>
        </w:r>
        <w:r>
          <w:rPr>
            <w:rFonts w:ascii="MS PGothic" w:cs="MS PGothic" w:eastAsia="MS PGothic" w:hAnsi="MS PGothic"/>
            <w:sz w:val="16"/>
            <w:szCs w:val="16"/>
            <w:u w:val="single" w:color="auto"/>
            <w:color w:val="0000EE"/>
          </w:rPr>
          <w:t>‑</w:t>
        </w:r>
        <w:r>
          <w:rPr>
            <w:rFonts w:ascii="Arial" w:cs="Arial" w:eastAsia="Arial" w:hAnsi="Arial"/>
            <w:sz w:val="16"/>
            <w:szCs w:val="16"/>
            <w:u w:val="single" w:color="auto"/>
            <w:color w:val="0000EE"/>
          </w:rPr>
          <w:t>K filed on March 16, 2015).</w:t>
        </w:r>
      </w:hyperlink>
    </w:p>
    <w:p>
      <w:pPr>
        <w:spacing w:after="0" w:line="109" w:lineRule="exact"/>
        <w:rPr>
          <w:sz w:val="20"/>
          <w:szCs w:val="20"/>
          <w:color w:val="auto"/>
        </w:rPr>
      </w:pPr>
    </w:p>
    <w:p>
      <w:pPr>
        <w:ind w:left="940" w:right="440" w:hanging="940"/>
        <w:spacing w:after="0" w:line="218" w:lineRule="exact"/>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10.33</w:t>
      </w:r>
      <w:r>
        <w:rPr>
          <w:sz w:val="20"/>
          <w:szCs w:val="20"/>
          <w:color w:val="auto"/>
        </w:rPr>
        <w:tab/>
      </w:r>
      <w:hyperlink r:id="rId142">
        <w:r>
          <w:rPr>
            <w:rFonts w:ascii="Arial" w:cs="Arial" w:eastAsia="Arial" w:hAnsi="Arial"/>
            <w:sz w:val="16"/>
            <w:szCs w:val="16"/>
            <w:u w:val="single" w:color="auto"/>
            <w:color w:val="0000EE"/>
          </w:rPr>
          <w:t>Fourth Amendment, dated as of June 1, 2011, by and between Eldorado Resorts LLC and CS&amp;Y Associates, to Reimbursement and</w:t>
        </w:r>
      </w:hyperlink>
      <w:r>
        <w:rPr>
          <w:rFonts w:ascii="Arial" w:cs="Arial" w:eastAsia="Arial" w:hAnsi="Arial"/>
          <w:sz w:val="16"/>
          <w:szCs w:val="16"/>
          <w:u w:val="single" w:color="auto"/>
          <w:color w:val="0000EE"/>
        </w:rPr>
        <w:t xml:space="preserve"> </w:t>
      </w:r>
      <w:hyperlink r:id="rId142">
        <w:r>
          <w:rPr>
            <w:rFonts w:ascii="Arial" w:cs="Arial" w:eastAsia="Arial" w:hAnsi="Arial"/>
            <w:sz w:val="16"/>
            <w:szCs w:val="16"/>
            <w:u w:val="single" w:color="auto"/>
            <w:color w:val="0000EE"/>
          </w:rPr>
          <w:t>Indemnification Agreement and Lease Amendment, entered into as of March 24, 1994, by and between Eldorado Hotel Associates Limited</w:t>
        </w:r>
      </w:hyperlink>
      <w:r>
        <w:rPr>
          <w:rFonts w:ascii="Arial" w:cs="Arial" w:eastAsia="Arial" w:hAnsi="Arial"/>
          <w:sz w:val="16"/>
          <w:szCs w:val="16"/>
          <w:u w:val="single" w:color="auto"/>
          <w:color w:val="0000EE"/>
        </w:rPr>
        <w:t xml:space="preserve"> </w:t>
      </w:r>
      <w:hyperlink r:id="rId142">
        <w:r>
          <w:rPr>
            <w:rFonts w:ascii="Arial" w:cs="Arial" w:eastAsia="Arial" w:hAnsi="Arial"/>
            <w:sz w:val="16"/>
            <w:szCs w:val="16"/>
            <w:u w:val="single" w:color="auto"/>
            <w:color w:val="0000EE"/>
          </w:rPr>
          <w:t>Partnership, and CS&amp;Y Associates (incorporated by reference to our Annual Report on Form 10</w:t>
        </w:r>
        <w:r>
          <w:rPr>
            <w:rFonts w:ascii="MS PGothic" w:cs="MS PGothic" w:eastAsia="MS PGothic" w:hAnsi="MS PGothic"/>
            <w:sz w:val="16"/>
            <w:szCs w:val="16"/>
            <w:u w:val="single" w:color="auto"/>
            <w:color w:val="0000EE"/>
          </w:rPr>
          <w:t>‑</w:t>
        </w:r>
        <w:r>
          <w:rPr>
            <w:rFonts w:ascii="Arial" w:cs="Arial" w:eastAsia="Arial" w:hAnsi="Arial"/>
            <w:sz w:val="16"/>
            <w:szCs w:val="16"/>
            <w:u w:val="single" w:color="auto"/>
            <w:color w:val="0000EE"/>
          </w:rPr>
          <w:t>K filed on March 16, 2015).</w:t>
        </w:r>
      </w:hyperlink>
    </w:p>
    <w:p>
      <w:pPr>
        <w:spacing w:after="0" w:line="110" w:lineRule="exact"/>
        <w:rPr>
          <w:rFonts w:ascii="Arial" w:cs="Arial" w:eastAsia="Arial" w:hAnsi="Arial"/>
          <w:sz w:val="16"/>
          <w:szCs w:val="16"/>
          <w:u w:val="single" w:color="auto"/>
          <w:color w:val="0000EE"/>
        </w:rPr>
      </w:pPr>
    </w:p>
    <w:p>
      <w:pPr>
        <w:ind w:left="940" w:right="80" w:hanging="940"/>
        <w:spacing w:after="0" w:line="259"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143">
        <w:r>
          <w:rPr>
            <w:rFonts w:ascii="Arial" w:cs="Arial" w:eastAsia="Arial" w:hAnsi="Arial"/>
            <w:sz w:val="18"/>
            <w:szCs w:val="18"/>
            <w:u w:val="single" w:color="auto"/>
            <w:color w:val="0000EE"/>
          </w:rPr>
          <w:t>Credit Agreement, dated as of April 17, 2017, by and among Isle of Capri Casinos LLC (f/k/a Eagle II Acquisition Company LLC), the Lenders</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party thereto, and JPMorgan Chase Bank, N.A., as administrative agent (incorporated by reference to our Current Report on Form 8-K filed on</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April 17, 2017).</w:t>
        </w:r>
      </w:hyperlink>
    </w:p>
    <w:p>
      <w:pPr>
        <w:spacing w:after="0" w:line="93" w:lineRule="exact"/>
        <w:rPr>
          <w:rFonts w:ascii="Arial" w:cs="Arial" w:eastAsia="Arial" w:hAnsi="Arial"/>
          <w:sz w:val="18"/>
          <w:szCs w:val="18"/>
          <w:u w:val="single" w:color="auto"/>
          <w:color w:val="0000EE"/>
        </w:rPr>
      </w:pPr>
    </w:p>
    <w:p>
      <w:pPr>
        <w:ind w:left="940" w:right="240" w:hanging="940"/>
        <w:spacing w:after="0" w:line="301" w:lineRule="auto"/>
        <w:tabs>
          <w:tab w:leader="none" w:pos="920" w:val="left"/>
        </w:tabs>
        <w:rPr>
          <w:rFonts w:ascii="Arial" w:cs="Arial" w:eastAsia="Arial" w:hAnsi="Arial"/>
          <w:sz w:val="17"/>
          <w:szCs w:val="17"/>
          <w:u w:val="single" w:color="auto"/>
          <w:color w:val="0000EE"/>
        </w:rPr>
      </w:pPr>
      <w:r>
        <w:rPr>
          <w:rFonts w:ascii="Arial" w:cs="Arial" w:eastAsia="Arial" w:hAnsi="Arial"/>
          <w:sz w:val="18"/>
          <w:szCs w:val="18"/>
          <w:color w:val="auto"/>
        </w:rPr>
        <w:t>10.35</w:t>
      </w:r>
      <w:r>
        <w:rPr>
          <w:sz w:val="20"/>
          <w:szCs w:val="20"/>
          <w:color w:val="auto"/>
        </w:rPr>
        <w:tab/>
      </w:r>
      <w:hyperlink r:id="rId144">
        <w:r>
          <w:rPr>
            <w:rFonts w:ascii="Arial" w:cs="Arial" w:eastAsia="Arial" w:hAnsi="Arial"/>
            <w:sz w:val="17"/>
            <w:szCs w:val="17"/>
            <w:u w:val="single" w:color="auto"/>
            <w:color w:val="0000EE"/>
          </w:rPr>
          <w:t>Borrower Joinder and Assumption Agreement, dated as of May 1, 2017, by and among Eldorado Resorts, Inc., Isle of Capri Casinos LLC and</w:t>
        </w:r>
      </w:hyperlink>
      <w:r>
        <w:rPr>
          <w:rFonts w:ascii="Arial" w:cs="Arial" w:eastAsia="Arial" w:hAnsi="Arial"/>
          <w:sz w:val="17"/>
          <w:szCs w:val="17"/>
          <w:u w:val="single" w:color="auto"/>
          <w:color w:val="0000EE"/>
        </w:rPr>
        <w:t xml:space="preserve"> </w:t>
      </w:r>
      <w:hyperlink r:id="rId144">
        <w:r>
          <w:rPr>
            <w:rFonts w:ascii="Arial" w:cs="Arial" w:eastAsia="Arial" w:hAnsi="Arial"/>
            <w:sz w:val="17"/>
            <w:szCs w:val="17"/>
            <w:u w:val="single" w:color="auto"/>
            <w:color w:val="0000EE"/>
          </w:rPr>
          <w:t>JPMorgan Chase Bank, N.A. (incorporated by reference to our Current Report on Form 8-K filed on May 1, 2017).</w:t>
        </w:r>
      </w:hyperlink>
    </w:p>
    <w:p>
      <w:pPr>
        <w:spacing w:after="0" w:line="58" w:lineRule="exact"/>
        <w:rPr>
          <w:sz w:val="20"/>
          <w:szCs w:val="20"/>
          <w:color w:val="auto"/>
        </w:rPr>
      </w:pPr>
    </w:p>
    <w:p>
      <w:pPr>
        <w:ind w:left="940" w:right="300" w:hanging="940"/>
        <w:spacing w:after="0" w:line="271"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10.36</w:t>
      </w:r>
      <w:r>
        <w:rPr>
          <w:sz w:val="20"/>
          <w:szCs w:val="20"/>
          <w:color w:val="auto"/>
        </w:rPr>
        <w:tab/>
      </w:r>
      <w:hyperlink r:id="rId145">
        <w:r>
          <w:rPr>
            <w:rFonts w:ascii="Arial" w:cs="Arial" w:eastAsia="Arial" w:hAnsi="Arial"/>
            <w:sz w:val="18"/>
            <w:szCs w:val="18"/>
            <w:u w:val="single" w:color="auto"/>
            <w:color w:val="0000EE"/>
          </w:rPr>
          <w:t>Guaranty Agreement, dated as of May 1, 2017, by and among the guarantors party thereto and JPMorgan Chase Bank, N.A. (incorporated by</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reference to our Current Report on Form 8-K filed on May 1, 2017).</w:t>
        </w:r>
      </w:hyperlink>
    </w:p>
    <w:p>
      <w:pPr>
        <w:spacing w:after="0" w:line="81" w:lineRule="exact"/>
        <w:rPr>
          <w:sz w:val="20"/>
          <w:szCs w:val="20"/>
          <w:color w:val="auto"/>
        </w:rPr>
      </w:pPr>
    </w:p>
    <w:p>
      <w:pPr>
        <w:ind w:left="940" w:right="140" w:hanging="940"/>
        <w:spacing w:after="0" w:line="259"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10.37</w:t>
      </w:r>
      <w:r>
        <w:rPr>
          <w:sz w:val="20"/>
          <w:szCs w:val="20"/>
          <w:color w:val="auto"/>
        </w:rPr>
        <w:tab/>
      </w:r>
      <w:hyperlink r:id="rId146">
        <w:r>
          <w:rPr>
            <w:rFonts w:ascii="Arial" w:cs="Arial" w:eastAsia="Arial" w:hAnsi="Arial"/>
            <w:sz w:val="18"/>
            <w:szCs w:val="18"/>
            <w:u w:val="single" w:color="auto"/>
            <w:color w:val="0000EE"/>
          </w:rPr>
          <w:t>Amendment Agreement, dated as of August 15, 2017, by and between the Eldorado Resorts, Inc. and JPMorgan Chase, N.A. as Administrative</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Agent in connection with the Credit Agreement, dated as of April 17, 2017 (incorporated by reference to our Quarterly Report on Form 10-Q</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filed on November 7, 2017).</w:t>
        </w:r>
      </w:hyperlink>
    </w:p>
    <w:p>
      <w:pPr>
        <w:spacing w:after="0" w:line="93" w:lineRule="exact"/>
        <w:rPr>
          <w:rFonts w:ascii="Arial" w:cs="Arial" w:eastAsia="Arial" w:hAnsi="Arial"/>
          <w:sz w:val="18"/>
          <w:szCs w:val="18"/>
          <w:u w:val="single" w:color="auto"/>
          <w:color w:val="0000EE"/>
        </w:rPr>
      </w:pPr>
    </w:p>
    <w:p>
      <w:pPr>
        <w:ind w:left="940" w:right="60" w:hanging="940"/>
        <w:spacing w:after="0" w:line="259"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10.38</w:t>
      </w:r>
      <w:r>
        <w:rPr>
          <w:sz w:val="20"/>
          <w:szCs w:val="20"/>
          <w:color w:val="auto"/>
        </w:rPr>
        <w:tab/>
      </w:r>
      <w:hyperlink r:id="rId147">
        <w:r>
          <w:rPr>
            <w:rFonts w:ascii="Arial" w:cs="Arial" w:eastAsia="Arial" w:hAnsi="Arial"/>
            <w:sz w:val="18"/>
            <w:szCs w:val="18"/>
            <w:u w:val="single" w:color="auto"/>
            <w:color w:val="0000EE"/>
          </w:rPr>
          <w:t>Amendment Agreement No. 2, dated June 6, 2018, by and between Eldorado Resorts, Inc. and JPMorgan Chase N.A., as administrative agent in</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connection with the Credit Agreement dated as of April 17, 2017 (incorporated by reference to our Quarterly Report on Form 10-Q filed on</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August 7, 2018).</w:t>
        </w:r>
      </w:hyperlink>
    </w:p>
    <w:p>
      <w:pPr>
        <w:spacing w:after="0" w:line="93" w:lineRule="exact"/>
        <w:rPr>
          <w:rFonts w:ascii="Arial" w:cs="Arial" w:eastAsia="Arial" w:hAnsi="Arial"/>
          <w:sz w:val="18"/>
          <w:szCs w:val="18"/>
          <w:u w:val="single" w:color="auto"/>
          <w:color w:val="0000EE"/>
        </w:rPr>
      </w:pPr>
    </w:p>
    <w:p>
      <w:pPr>
        <w:ind w:left="940" w:hanging="940"/>
        <w:spacing w:after="0" w:line="259"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10.39</w:t>
      </w:r>
      <w:r>
        <w:rPr>
          <w:sz w:val="20"/>
          <w:szCs w:val="20"/>
          <w:color w:val="auto"/>
        </w:rPr>
        <w:tab/>
      </w:r>
      <w:hyperlink r:id="rId148">
        <w:r>
          <w:rPr>
            <w:rFonts w:ascii="Arial" w:cs="Arial" w:eastAsia="Arial" w:hAnsi="Arial"/>
            <w:sz w:val="18"/>
            <w:szCs w:val="18"/>
            <w:u w:val="single" w:color="auto"/>
            <w:color w:val="0000EE"/>
          </w:rPr>
          <w:t>Amendment Agreement No. 3, dated October 1, 2018, by and between Eldorado Resorts, Inc. and JPMorgan Chase N.A., as administrative agent</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in connection with the Credit Agreement dated as of April 17, 2017 (incorporated by reference to our Current Report on Form 8-K filed on</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October 1, 2018).</w:t>
        </w:r>
      </w:hyperlink>
    </w:p>
    <w:p>
      <w:pPr>
        <w:spacing w:after="0" w:line="93" w:lineRule="exact"/>
        <w:rPr>
          <w:rFonts w:ascii="Arial" w:cs="Arial" w:eastAsia="Arial" w:hAnsi="Arial"/>
          <w:sz w:val="18"/>
          <w:szCs w:val="18"/>
          <w:u w:val="single" w:color="auto"/>
          <w:color w:val="0000EE"/>
        </w:rPr>
      </w:pPr>
    </w:p>
    <w:p>
      <w:pPr>
        <w:ind w:left="940" w:right="120" w:hanging="940"/>
        <w:spacing w:after="0" w:line="271"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10.40</w:t>
      </w:r>
      <w:r>
        <w:rPr>
          <w:sz w:val="20"/>
          <w:szCs w:val="20"/>
          <w:color w:val="auto"/>
        </w:rPr>
        <w:tab/>
      </w:r>
      <w:hyperlink r:id="rId149">
        <w:r>
          <w:rPr>
            <w:rFonts w:ascii="Arial" w:cs="Arial" w:eastAsia="Arial" w:hAnsi="Arial"/>
            <w:sz w:val="18"/>
            <w:szCs w:val="18"/>
            <w:u w:val="single" w:color="auto"/>
            <w:color w:val="0000EE"/>
          </w:rPr>
          <w:t>Loan Agreement, dated as of October 1, 2018, by and among Eldorado Resorts and GLP Capital, L.P. (incorporated by reference to our Current</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Report on Form 8-K filed on October 1, 2018).</w:t>
        </w:r>
      </w:hyperlink>
    </w:p>
    <w:p>
      <w:pPr>
        <w:spacing w:after="0" w:line="81" w:lineRule="exact"/>
        <w:rPr>
          <w:sz w:val="20"/>
          <w:szCs w:val="20"/>
          <w:color w:val="auto"/>
        </w:rPr>
      </w:pPr>
    </w:p>
    <w:p>
      <w:pPr>
        <w:ind w:left="940" w:right="60" w:hanging="940"/>
        <w:spacing w:after="0" w:line="271"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10.41</w:t>
      </w:r>
      <w:r>
        <w:rPr>
          <w:sz w:val="20"/>
          <w:szCs w:val="20"/>
          <w:color w:val="auto"/>
        </w:rPr>
        <w:tab/>
      </w:r>
      <w:hyperlink r:id="rId150">
        <w:r>
          <w:rPr>
            <w:rFonts w:ascii="Arial" w:cs="Arial" w:eastAsia="Arial" w:hAnsi="Arial"/>
            <w:sz w:val="18"/>
            <w:szCs w:val="18"/>
            <w:u w:val="single" w:color="auto"/>
            <w:color w:val="0000EE"/>
          </w:rPr>
          <w:t>Master Lease, dated as of October 1, 2018, by and among Eldorado Resorts, Inc. and GLP Capital L.P. (incorporated by reference to our Current</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Report on Form 8-K filed on October 1, 2018).</w:t>
        </w:r>
      </w:hyperlink>
    </w:p>
    <w:p>
      <w:pPr>
        <w:spacing w:after="0" w:line="81" w:lineRule="exact"/>
        <w:rPr>
          <w:sz w:val="20"/>
          <w:szCs w:val="20"/>
          <w:color w:val="auto"/>
        </w:rPr>
      </w:pPr>
    </w:p>
    <w:p>
      <w:pPr>
        <w:ind w:left="940" w:right="160" w:hanging="940"/>
        <w:spacing w:after="0" w:line="301" w:lineRule="auto"/>
        <w:tabs>
          <w:tab w:leader="none" w:pos="920" w:val="left"/>
        </w:tabs>
        <w:rPr>
          <w:rFonts w:ascii="Arial" w:cs="Arial" w:eastAsia="Arial" w:hAnsi="Arial"/>
          <w:sz w:val="17"/>
          <w:szCs w:val="17"/>
          <w:u w:val="single" w:color="auto"/>
          <w:color w:val="0000EE"/>
        </w:rPr>
      </w:pPr>
      <w:r>
        <w:rPr>
          <w:rFonts w:ascii="Arial" w:cs="Arial" w:eastAsia="Arial" w:hAnsi="Arial"/>
          <w:sz w:val="18"/>
          <w:szCs w:val="18"/>
          <w:color w:val="auto"/>
        </w:rPr>
        <w:t>10.42</w:t>
      </w:r>
      <w:r>
        <w:rPr>
          <w:sz w:val="20"/>
          <w:szCs w:val="20"/>
          <w:color w:val="auto"/>
        </w:rPr>
        <w:tab/>
      </w:r>
      <w:hyperlink r:id="rId151">
        <w:r>
          <w:rPr>
            <w:rFonts w:ascii="Arial" w:cs="Arial" w:eastAsia="Arial" w:hAnsi="Arial"/>
            <w:sz w:val="17"/>
            <w:szCs w:val="17"/>
            <w:u w:val="single" w:color="auto"/>
            <w:color w:val="0000EE"/>
          </w:rPr>
          <w:t>Registration Rights Agreement, dated as of May 1, 2017, by and among Eldorado Resorts, Inc., Recreational Enterprises, Inc., GFIL Holdings,</w:t>
        </w:r>
      </w:hyperlink>
      <w:r>
        <w:rPr>
          <w:rFonts w:ascii="Arial" w:cs="Arial" w:eastAsia="Arial" w:hAnsi="Arial"/>
          <w:sz w:val="17"/>
          <w:szCs w:val="17"/>
          <w:u w:val="single" w:color="auto"/>
          <w:color w:val="0000EE"/>
        </w:rPr>
        <w:t xml:space="preserve"> </w:t>
      </w:r>
      <w:hyperlink r:id="rId151">
        <w:r>
          <w:rPr>
            <w:rFonts w:ascii="Arial" w:cs="Arial" w:eastAsia="Arial" w:hAnsi="Arial"/>
            <w:sz w:val="17"/>
            <w:szCs w:val="17"/>
            <w:u w:val="single" w:color="auto"/>
            <w:color w:val="0000EE"/>
          </w:rPr>
          <w:t>LLC and certain of its affiliates (incorporated by reference to our Current Report on Form 8-K filed on May 1, 2017).</w:t>
        </w:r>
      </w:hyperlink>
    </w:p>
    <w:p>
      <w:pPr>
        <w:spacing w:after="0" w:line="152" w:lineRule="exact"/>
        <w:rPr>
          <w:sz w:val="20"/>
          <w:szCs w:val="20"/>
          <w:color w:val="auto"/>
        </w:rPr>
      </w:pPr>
    </w:p>
    <w:p>
      <w:pPr>
        <w:ind w:left="940" w:right="400" w:hanging="940"/>
        <w:spacing w:after="0" w:line="271"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10.43*</w:t>
      </w:r>
      <w:r>
        <w:rPr>
          <w:sz w:val="20"/>
          <w:szCs w:val="20"/>
          <w:color w:val="auto"/>
        </w:rPr>
        <w:tab/>
      </w:r>
      <w:hyperlink r:id="rId152">
        <w:r>
          <w:rPr>
            <w:rFonts w:ascii="Arial" w:cs="Arial" w:eastAsia="Arial" w:hAnsi="Arial"/>
            <w:sz w:val="18"/>
            <w:szCs w:val="18"/>
            <w:u w:val="single" w:color="auto"/>
            <w:color w:val="0000EE"/>
          </w:rPr>
          <w:t>Isle of Capri Casinos, Inc. Second Amended and Restated 2009 Long-Term Stock Incentive Plan (incorporated by reference to Isle of Capri</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Casinos, Inc.’s Current Report on Form 8-K filed on October 9, 2015).</w:t>
        </w:r>
      </w:hyperlink>
    </w:p>
    <w:p>
      <w:pPr>
        <w:spacing w:after="0" w:line="81" w:lineRule="exact"/>
        <w:rPr>
          <w:sz w:val="20"/>
          <w:szCs w:val="20"/>
          <w:color w:val="auto"/>
        </w:rPr>
      </w:pPr>
    </w:p>
    <w:p>
      <w:pPr>
        <w:ind w:left="940" w:right="320" w:hanging="940"/>
        <w:spacing w:after="0" w:line="271"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10.44*</w:t>
      </w:r>
      <w:r>
        <w:rPr>
          <w:sz w:val="20"/>
          <w:szCs w:val="20"/>
          <w:color w:val="auto"/>
        </w:rPr>
        <w:tab/>
      </w:r>
      <w:hyperlink r:id="rId153">
        <w:r>
          <w:rPr>
            <w:rFonts w:ascii="Arial" w:cs="Arial" w:eastAsia="Arial" w:hAnsi="Arial"/>
            <w:sz w:val="18"/>
            <w:szCs w:val="18"/>
            <w:u w:val="single" w:color="auto"/>
            <w:color w:val="0000EE"/>
          </w:rPr>
          <w:t>Isle of Capri Casino, Inc. Form of Non-Qualified Stock Option Agreement (incorporated by reference to Isle of Capri Casinos, Inc.’s Annual</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Report on Form 10-K filed on June 17, 2015).</w:t>
        </w:r>
      </w:hyperlink>
    </w:p>
    <w:p>
      <w:pPr>
        <w:spacing w:after="0" w:line="81" w:lineRule="exact"/>
        <w:rPr>
          <w:sz w:val="20"/>
          <w:szCs w:val="20"/>
          <w:color w:val="auto"/>
        </w:rPr>
      </w:pPr>
    </w:p>
    <w:p>
      <w:pPr>
        <w:ind w:left="940" w:right="100" w:hanging="940"/>
        <w:spacing w:after="0" w:line="271"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10.45*</w:t>
      </w:r>
      <w:r>
        <w:rPr>
          <w:sz w:val="20"/>
          <w:szCs w:val="20"/>
          <w:color w:val="auto"/>
        </w:rPr>
        <w:tab/>
      </w:r>
      <w:hyperlink r:id="rId154">
        <w:r>
          <w:rPr>
            <w:rFonts w:ascii="Arial" w:cs="Arial" w:eastAsia="Arial" w:hAnsi="Arial"/>
            <w:sz w:val="18"/>
            <w:szCs w:val="18"/>
            <w:u w:val="single" w:color="auto"/>
            <w:color w:val="0000EE"/>
          </w:rPr>
          <w:t>Isle of Capri Casino, Inc. Form of Performance Stock Unit Agreement (incorporated by reference to Isle of Capri Casinos, Inc.’s Annual Report</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on Form 10-K filed on June 17, 2015).</w:t>
        </w:r>
      </w:hyperlink>
    </w:p>
    <w:p>
      <w:pPr>
        <w:spacing w:after="0" w:line="2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69215</wp:posOffset>
            </wp:positionV>
            <wp:extent cx="7273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5">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300"/>
          </w:cols>
          <w:pgMar w:left="340" w:top="339" w:right="259" w:bottom="1440" w:gutter="0" w:footer="0" w:header="0"/>
        </w:sectPr>
      </w:pPr>
    </w:p>
    <w:bookmarkStart w:id="82" w:name="page83"/>
    <w:bookmarkEnd w:id="82"/>
    <w:p>
      <w:pPr>
        <w:ind w:left="940" w:right="80" w:hanging="940"/>
        <w:spacing w:after="0" w:line="271"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10.46*</w:t>
      </w:r>
      <w:r>
        <w:rPr>
          <w:sz w:val="20"/>
          <w:szCs w:val="20"/>
          <w:color w:val="auto"/>
        </w:rPr>
        <w:tab/>
      </w:r>
      <w:hyperlink r:id="rId156">
        <w:r>
          <w:rPr>
            <w:rFonts w:ascii="Arial" w:cs="Arial" w:eastAsia="Arial" w:hAnsi="Arial"/>
            <w:sz w:val="18"/>
            <w:szCs w:val="18"/>
            <w:u w:val="single" w:color="auto"/>
            <w:color w:val="0000EE"/>
          </w:rPr>
          <w:t>Isle of Capri Casino, Inc. Form of Restricted Stock Unit Agreement (incorporated by reference to Isle of Capri Casinos, Inc.’s Annual Report on</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Form 10-K filed on June 17, 2015).</w:t>
        </w:r>
      </w:hyperlink>
    </w:p>
    <w:p>
      <w:pPr>
        <w:spacing w:after="0" w:line="81" w:lineRule="exact"/>
        <w:rPr>
          <w:sz w:val="20"/>
          <w:szCs w:val="20"/>
          <w:color w:val="auto"/>
        </w:rPr>
      </w:pPr>
    </w:p>
    <w:p>
      <w:pPr>
        <w:ind w:left="940" w:right="260" w:hanging="940"/>
        <w:spacing w:after="0" w:line="259"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10.47</w:t>
      </w:r>
      <w:r>
        <w:rPr>
          <w:sz w:val="20"/>
          <w:szCs w:val="20"/>
          <w:color w:val="auto"/>
        </w:rPr>
        <w:tab/>
      </w:r>
      <w:hyperlink r:id="rId157">
        <w:r>
          <w:rPr>
            <w:rFonts w:ascii="Arial" w:cs="Arial" w:eastAsia="Arial" w:hAnsi="Arial"/>
            <w:sz w:val="18"/>
            <w:szCs w:val="18"/>
            <w:u w:val="single" w:color="auto"/>
            <w:color w:val="0000EE"/>
          </w:rPr>
          <w:t>Amended and Restated Lease, dated as of April 19, 1999, among Port Resources, Inc. and CRU, Inc., as landlords and St. Charles Gaming</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Company, Inc., as tenant (St. Charles) (incorporated by reference to Isle of Capri Casinos, Inc.’s Annual Report on Form 10-K filed on July 2,</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1999).</w:t>
        </w:r>
      </w:hyperlink>
    </w:p>
    <w:p>
      <w:pPr>
        <w:spacing w:after="0" w:line="93" w:lineRule="exact"/>
        <w:rPr>
          <w:rFonts w:ascii="Arial" w:cs="Arial" w:eastAsia="Arial" w:hAnsi="Arial"/>
          <w:sz w:val="18"/>
          <w:szCs w:val="18"/>
          <w:u w:val="single" w:color="auto"/>
          <w:color w:val="0000EE"/>
        </w:rPr>
      </w:pPr>
    </w:p>
    <w:p>
      <w:pPr>
        <w:ind w:left="940" w:right="280" w:hanging="940"/>
        <w:spacing w:after="0" w:line="301" w:lineRule="auto"/>
        <w:tabs>
          <w:tab w:leader="none" w:pos="920" w:val="left"/>
        </w:tabs>
        <w:rPr>
          <w:rFonts w:ascii="Arial" w:cs="Arial" w:eastAsia="Arial" w:hAnsi="Arial"/>
          <w:sz w:val="17"/>
          <w:szCs w:val="17"/>
          <w:u w:val="single" w:color="auto"/>
          <w:color w:val="0000EE"/>
        </w:rPr>
      </w:pPr>
      <w:r>
        <w:rPr>
          <w:rFonts w:ascii="Arial" w:cs="Arial" w:eastAsia="Arial" w:hAnsi="Arial"/>
          <w:sz w:val="18"/>
          <w:szCs w:val="18"/>
          <w:color w:val="auto"/>
        </w:rPr>
        <w:t>10.48</w:t>
      </w:r>
      <w:r>
        <w:rPr>
          <w:sz w:val="20"/>
          <w:szCs w:val="20"/>
          <w:color w:val="auto"/>
        </w:rPr>
        <w:tab/>
      </w:r>
      <w:hyperlink r:id="rId158">
        <w:r>
          <w:rPr>
            <w:rFonts w:ascii="Arial" w:cs="Arial" w:eastAsia="Arial" w:hAnsi="Arial"/>
            <w:sz w:val="17"/>
            <w:szCs w:val="17"/>
            <w:u w:val="single" w:color="auto"/>
            <w:color w:val="0000EE"/>
          </w:rPr>
          <w:t>Lease of property in Coahoma, Mississippi, dated as of November 16, 1993, by and among Roger Allen Johnson, Jr., Charles Bryant Johnson</w:t>
        </w:r>
      </w:hyperlink>
      <w:r>
        <w:rPr>
          <w:rFonts w:ascii="Arial" w:cs="Arial" w:eastAsia="Arial" w:hAnsi="Arial"/>
          <w:sz w:val="17"/>
          <w:szCs w:val="17"/>
          <w:u w:val="single" w:color="auto"/>
          <w:color w:val="0000EE"/>
        </w:rPr>
        <w:t xml:space="preserve"> </w:t>
      </w:r>
      <w:hyperlink r:id="rId158">
        <w:r>
          <w:rPr>
            <w:rFonts w:ascii="Arial" w:cs="Arial" w:eastAsia="Arial" w:hAnsi="Arial"/>
            <w:sz w:val="17"/>
            <w:szCs w:val="17"/>
            <w:u w:val="single" w:color="auto"/>
            <w:color w:val="0000EE"/>
          </w:rPr>
          <w:t>and Magnolia Lady, Inc. (incorporated by reference to Isle of Capri Casinos, Inc.’s Form S-4/A filed on June 19, 2002).</w:t>
        </w:r>
      </w:hyperlink>
    </w:p>
    <w:p>
      <w:pPr>
        <w:spacing w:after="0" w:line="58" w:lineRule="exact"/>
        <w:rPr>
          <w:sz w:val="20"/>
          <w:szCs w:val="20"/>
          <w:color w:val="auto"/>
        </w:rPr>
      </w:pPr>
    </w:p>
    <w:p>
      <w:pPr>
        <w:spacing w:after="0"/>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10.49</w:t>
      </w:r>
      <w:r>
        <w:rPr>
          <w:sz w:val="20"/>
          <w:szCs w:val="20"/>
          <w:color w:val="auto"/>
        </w:rPr>
        <w:tab/>
      </w:r>
      <w:hyperlink r:id="rId159">
        <w:r>
          <w:rPr>
            <w:rFonts w:ascii="Arial" w:cs="Arial" w:eastAsia="Arial" w:hAnsi="Arial"/>
            <w:sz w:val="16"/>
            <w:szCs w:val="16"/>
            <w:u w:val="single" w:color="auto"/>
            <w:color w:val="0000EE"/>
          </w:rPr>
          <w:t>Addendum to Lease, dated as of June 22, 1994, by and among Roger Allen Johnson, Jr., Charles Bryant Johnson and Magnolia Lady, Inc.</w:t>
        </w:r>
      </w:hyperlink>
    </w:p>
    <w:p>
      <w:pPr>
        <w:spacing w:after="0" w:line="20" w:lineRule="exact"/>
        <w:rPr>
          <w:sz w:val="20"/>
          <w:szCs w:val="20"/>
          <w:color w:val="auto"/>
        </w:rPr>
      </w:pPr>
    </w:p>
    <w:p>
      <w:pPr>
        <w:ind w:left="940"/>
        <w:spacing w:after="0"/>
        <w:rPr>
          <w:rFonts w:ascii="Arial" w:cs="Arial" w:eastAsia="Arial" w:hAnsi="Arial"/>
          <w:sz w:val="18"/>
          <w:szCs w:val="18"/>
          <w:u w:val="single" w:color="auto"/>
          <w:color w:val="0000EE"/>
        </w:rPr>
      </w:pPr>
      <w:hyperlink r:id="rId159">
        <w:r>
          <w:rPr>
            <w:rFonts w:ascii="Arial" w:cs="Arial" w:eastAsia="Arial" w:hAnsi="Arial"/>
            <w:sz w:val="18"/>
            <w:szCs w:val="18"/>
            <w:u w:val="single" w:color="auto"/>
            <w:color w:val="0000EE"/>
          </w:rPr>
          <w:t>(incorporated by reference to Isle of Capri Casinos, Inc.’s Annual Report on Form 10-K filed on July 28, 2000).</w:t>
        </w:r>
      </w:hyperlink>
    </w:p>
    <w:p>
      <w:pPr>
        <w:spacing w:after="0" w:line="115" w:lineRule="exact"/>
        <w:rPr>
          <w:sz w:val="20"/>
          <w:szCs w:val="20"/>
          <w:color w:val="auto"/>
        </w:rPr>
      </w:pPr>
    </w:p>
    <w:p>
      <w:pPr>
        <w:ind w:left="940" w:right="100" w:hanging="940"/>
        <w:spacing w:after="0" w:line="301" w:lineRule="auto"/>
        <w:tabs>
          <w:tab w:leader="none" w:pos="920" w:val="left"/>
        </w:tabs>
        <w:rPr>
          <w:rFonts w:ascii="Arial" w:cs="Arial" w:eastAsia="Arial" w:hAnsi="Arial"/>
          <w:sz w:val="17"/>
          <w:szCs w:val="17"/>
          <w:u w:val="single" w:color="auto"/>
          <w:color w:val="0000EE"/>
        </w:rPr>
      </w:pPr>
      <w:r>
        <w:rPr>
          <w:rFonts w:ascii="Arial" w:cs="Arial" w:eastAsia="Arial" w:hAnsi="Arial"/>
          <w:sz w:val="18"/>
          <w:szCs w:val="18"/>
          <w:color w:val="auto"/>
        </w:rPr>
        <w:t>10.50</w:t>
      </w:r>
      <w:r>
        <w:rPr>
          <w:sz w:val="20"/>
          <w:szCs w:val="20"/>
          <w:color w:val="auto"/>
        </w:rPr>
        <w:tab/>
      </w:r>
      <w:hyperlink r:id="rId160">
        <w:r>
          <w:rPr>
            <w:rFonts w:ascii="Arial" w:cs="Arial" w:eastAsia="Arial" w:hAnsi="Arial"/>
            <w:sz w:val="17"/>
            <w:szCs w:val="17"/>
            <w:u w:val="single" w:color="auto"/>
            <w:color w:val="0000EE"/>
          </w:rPr>
          <w:t>Second addendum to Lease, dated as of October 17, 1995, by and among Roger Allen Johnson, Jr., Charles Bryant Johnson and Magnolia Lady,</w:t>
        </w:r>
      </w:hyperlink>
      <w:r>
        <w:rPr>
          <w:rFonts w:ascii="Arial" w:cs="Arial" w:eastAsia="Arial" w:hAnsi="Arial"/>
          <w:sz w:val="17"/>
          <w:szCs w:val="17"/>
          <w:u w:val="single" w:color="auto"/>
          <w:color w:val="0000EE"/>
        </w:rPr>
        <w:t xml:space="preserve"> </w:t>
      </w:r>
      <w:hyperlink r:id="rId160">
        <w:r>
          <w:rPr>
            <w:rFonts w:ascii="Arial" w:cs="Arial" w:eastAsia="Arial" w:hAnsi="Arial"/>
            <w:sz w:val="17"/>
            <w:szCs w:val="17"/>
            <w:u w:val="single" w:color="auto"/>
            <w:color w:val="0000EE"/>
          </w:rPr>
          <w:t>Inc. (incorporated by reference to Isle of Capri Casinos, Inc.’s Annual Report on Form 10-K filed on July 28, 2000).</w:t>
        </w:r>
      </w:hyperlink>
    </w:p>
    <w:p>
      <w:pPr>
        <w:spacing w:after="0" w:line="58" w:lineRule="exact"/>
        <w:rPr>
          <w:sz w:val="20"/>
          <w:szCs w:val="20"/>
          <w:color w:val="auto"/>
        </w:rPr>
      </w:pPr>
    </w:p>
    <w:p>
      <w:pPr>
        <w:ind w:left="940" w:right="380" w:hanging="940"/>
        <w:spacing w:after="0" w:line="335"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10.51</w:t>
      </w:r>
      <w:r>
        <w:rPr>
          <w:sz w:val="20"/>
          <w:szCs w:val="20"/>
          <w:color w:val="auto"/>
        </w:rPr>
        <w:tab/>
      </w:r>
      <w:hyperlink r:id="rId161">
        <w:r>
          <w:rPr>
            <w:rFonts w:ascii="Arial" w:cs="Arial" w:eastAsia="Arial" w:hAnsi="Arial"/>
            <w:sz w:val="16"/>
            <w:szCs w:val="16"/>
            <w:u w:val="single" w:color="auto"/>
            <w:color w:val="0000EE"/>
          </w:rPr>
          <w:t>Master Lease, dated as of July 18, 1997, by and between The City of Boonville, Missouri and IOC-Boonville, Inc. formerly known as Davis</w:t>
        </w:r>
      </w:hyperlink>
      <w:r>
        <w:rPr>
          <w:rFonts w:ascii="Arial" w:cs="Arial" w:eastAsia="Arial" w:hAnsi="Arial"/>
          <w:sz w:val="16"/>
          <w:szCs w:val="16"/>
          <w:u w:val="single" w:color="auto"/>
          <w:color w:val="0000EE"/>
        </w:rPr>
        <w:t xml:space="preserve"> </w:t>
      </w:r>
      <w:hyperlink r:id="rId161">
        <w:r>
          <w:rPr>
            <w:rFonts w:ascii="Arial" w:cs="Arial" w:eastAsia="Arial" w:hAnsi="Arial"/>
            <w:sz w:val="16"/>
            <w:szCs w:val="16"/>
            <w:u w:val="single" w:color="auto"/>
            <w:color w:val="0000EE"/>
          </w:rPr>
          <w:t>Gaming Boonville, Inc. (incorporated by reference to Isle of Capri Casinos, Inc.’s Annual Report on Form 10-K filed on July 11, 2008).</w:t>
        </w:r>
      </w:hyperlink>
    </w:p>
    <w:p>
      <w:pPr>
        <w:spacing w:after="0" w:line="35" w:lineRule="exact"/>
        <w:rPr>
          <w:sz w:val="20"/>
          <w:szCs w:val="20"/>
          <w:color w:val="auto"/>
        </w:rPr>
      </w:pPr>
    </w:p>
    <w:p>
      <w:pPr>
        <w:ind w:left="940" w:hanging="940"/>
        <w:spacing w:after="0" w:line="259"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10.52</w:t>
      </w:r>
      <w:r>
        <w:rPr>
          <w:sz w:val="20"/>
          <w:szCs w:val="20"/>
          <w:color w:val="auto"/>
        </w:rPr>
        <w:tab/>
      </w:r>
      <w:hyperlink r:id="rId162">
        <w:r>
          <w:rPr>
            <w:rFonts w:ascii="Arial" w:cs="Arial" w:eastAsia="Arial" w:hAnsi="Arial"/>
            <w:sz w:val="18"/>
            <w:szCs w:val="18"/>
            <w:u w:val="single" w:color="auto"/>
            <w:color w:val="0000EE"/>
          </w:rPr>
          <w:t>Amendment to Master Lease, dated as of April 19, 1999, by and between The City of Boonville, Missouri and IOC-Boonville, Inc. formerly</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known as Davis Gaming Boonville, Inc. (incorporated by reference to Isle of Capri Casinos, Inc.’s Annual Report on Form 10-K filed on July 11,</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2008).</w:t>
        </w:r>
      </w:hyperlink>
    </w:p>
    <w:p>
      <w:pPr>
        <w:spacing w:after="0" w:line="93" w:lineRule="exact"/>
        <w:rPr>
          <w:rFonts w:ascii="Arial" w:cs="Arial" w:eastAsia="Arial" w:hAnsi="Arial"/>
          <w:sz w:val="18"/>
          <w:szCs w:val="18"/>
          <w:u w:val="single" w:color="auto"/>
          <w:color w:val="0000EE"/>
        </w:rPr>
      </w:pPr>
    </w:p>
    <w:p>
      <w:pPr>
        <w:jc w:val="both"/>
        <w:ind w:left="940" w:right="80" w:hanging="940"/>
        <w:spacing w:after="0" w:line="259"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10.53</w:t>
      </w:r>
      <w:r>
        <w:rPr>
          <w:sz w:val="20"/>
          <w:szCs w:val="20"/>
          <w:color w:val="auto"/>
        </w:rPr>
        <w:tab/>
      </w:r>
      <w:hyperlink r:id="rId163">
        <w:r>
          <w:rPr>
            <w:rFonts w:ascii="Arial" w:cs="Arial" w:eastAsia="Arial" w:hAnsi="Arial"/>
            <w:sz w:val="18"/>
            <w:szCs w:val="18"/>
            <w:u w:val="single" w:color="auto"/>
            <w:color w:val="0000EE"/>
          </w:rPr>
          <w:t>Second Amendment to Master Lease, dated as of September 17, 2001, by and between The City of Boonville, Missouri and IOC-Boonville, Inc.</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formerly known as Davis Gaming Boonville, Inc. (incorporated by reference to Isle of Capri Casinos, Inc.’s Annual Report on Form 10-K filed</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on July 11, 2008).</w:t>
        </w:r>
      </w:hyperlink>
    </w:p>
    <w:p>
      <w:pPr>
        <w:spacing w:after="0" w:line="93" w:lineRule="exact"/>
        <w:rPr>
          <w:rFonts w:ascii="Arial" w:cs="Arial" w:eastAsia="Arial" w:hAnsi="Arial"/>
          <w:sz w:val="18"/>
          <w:szCs w:val="18"/>
          <w:u w:val="single" w:color="auto"/>
          <w:color w:val="0000EE"/>
        </w:rPr>
      </w:pPr>
    </w:p>
    <w:p>
      <w:pPr>
        <w:jc w:val="both"/>
        <w:ind w:left="940" w:right="220" w:hanging="940"/>
        <w:spacing w:after="0" w:line="259"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10.54</w:t>
      </w:r>
      <w:r>
        <w:rPr>
          <w:sz w:val="20"/>
          <w:szCs w:val="20"/>
          <w:color w:val="auto"/>
        </w:rPr>
        <w:tab/>
      </w:r>
      <w:hyperlink r:id="rId164">
        <w:r>
          <w:rPr>
            <w:rFonts w:ascii="Arial" w:cs="Arial" w:eastAsia="Arial" w:hAnsi="Arial"/>
            <w:sz w:val="18"/>
            <w:szCs w:val="18"/>
            <w:u w:val="single" w:color="auto"/>
            <w:color w:val="0000EE"/>
          </w:rPr>
          <w:t>Third Amendment to Master Lease, dated as of November 19, 2001, by and between The City of Boonville, Missouri and IOC-Boonville, Inc.</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formerly known as Gold River's Boonville Resort, Inc. and Davis Gaming Boonville, Inc. (incorporated by reference to Isle of Capri Casinos,</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Inc.’s Annual Report on Form 10-K filed on July 11, 2008).</w:t>
        </w:r>
      </w:hyperlink>
    </w:p>
    <w:p>
      <w:pPr>
        <w:spacing w:after="0" w:line="93" w:lineRule="exact"/>
        <w:rPr>
          <w:rFonts w:ascii="Arial" w:cs="Arial" w:eastAsia="Arial" w:hAnsi="Arial"/>
          <w:sz w:val="18"/>
          <w:szCs w:val="18"/>
          <w:u w:val="single" w:color="auto"/>
          <w:color w:val="0000EE"/>
        </w:rPr>
      </w:pPr>
    </w:p>
    <w:p>
      <w:pPr>
        <w:ind w:left="940" w:right="140" w:hanging="940"/>
        <w:spacing w:after="0" w:line="301" w:lineRule="auto"/>
        <w:tabs>
          <w:tab w:leader="none" w:pos="920" w:val="left"/>
        </w:tabs>
        <w:rPr>
          <w:rFonts w:ascii="Arial" w:cs="Arial" w:eastAsia="Arial" w:hAnsi="Arial"/>
          <w:sz w:val="17"/>
          <w:szCs w:val="17"/>
          <w:u w:val="single" w:color="auto"/>
          <w:color w:val="0000EE"/>
        </w:rPr>
      </w:pPr>
      <w:r>
        <w:rPr>
          <w:rFonts w:ascii="Arial" w:cs="Arial" w:eastAsia="Arial" w:hAnsi="Arial"/>
          <w:sz w:val="18"/>
          <w:szCs w:val="18"/>
          <w:color w:val="auto"/>
        </w:rPr>
        <w:t>10.55</w:t>
      </w:r>
      <w:r>
        <w:rPr>
          <w:sz w:val="20"/>
          <w:szCs w:val="20"/>
          <w:color w:val="auto"/>
        </w:rPr>
        <w:tab/>
      </w:r>
      <w:hyperlink r:id="rId165">
        <w:r>
          <w:rPr>
            <w:rFonts w:ascii="Arial" w:cs="Arial" w:eastAsia="Arial" w:hAnsi="Arial"/>
            <w:sz w:val="17"/>
            <w:szCs w:val="17"/>
            <w:u w:val="single" w:color="auto"/>
            <w:color w:val="0000EE"/>
          </w:rPr>
          <w:t>Amended and Restated Lease Agreement, dated as of August 21, 1995, by and between the Port Authority of Kansas City, Missouri and Tenant</w:t>
        </w:r>
      </w:hyperlink>
      <w:r>
        <w:rPr>
          <w:rFonts w:ascii="Arial" w:cs="Arial" w:eastAsia="Arial" w:hAnsi="Arial"/>
          <w:sz w:val="17"/>
          <w:szCs w:val="17"/>
          <w:u w:val="single" w:color="auto"/>
          <w:color w:val="0000EE"/>
        </w:rPr>
        <w:t xml:space="preserve"> </w:t>
      </w:r>
      <w:hyperlink r:id="rId165">
        <w:r>
          <w:rPr>
            <w:rFonts w:ascii="Arial" w:cs="Arial" w:eastAsia="Arial" w:hAnsi="Arial"/>
            <w:sz w:val="17"/>
            <w:szCs w:val="17"/>
            <w:u w:val="single" w:color="auto"/>
            <w:color w:val="0000EE"/>
          </w:rPr>
          <w:t>(incorporated by reference to Isle of Capri Casinos, Inc.’s Annual Report on Form 10-K filed on June 25, 2009).</w:t>
        </w:r>
      </w:hyperlink>
    </w:p>
    <w:p>
      <w:pPr>
        <w:spacing w:after="0" w:line="58" w:lineRule="exact"/>
        <w:rPr>
          <w:sz w:val="20"/>
          <w:szCs w:val="20"/>
          <w:color w:val="auto"/>
        </w:rPr>
      </w:pPr>
    </w:p>
    <w:p>
      <w:pPr>
        <w:ind w:left="940" w:right="120" w:hanging="940"/>
        <w:spacing w:after="0" w:line="335"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10.56</w:t>
      </w:r>
      <w:r>
        <w:rPr>
          <w:sz w:val="20"/>
          <w:szCs w:val="20"/>
          <w:color w:val="auto"/>
        </w:rPr>
        <w:tab/>
      </w:r>
      <w:hyperlink r:id="rId166">
        <w:r>
          <w:rPr>
            <w:rFonts w:ascii="Arial" w:cs="Arial" w:eastAsia="Arial" w:hAnsi="Arial"/>
            <w:sz w:val="16"/>
            <w:szCs w:val="16"/>
            <w:u w:val="single" w:color="auto"/>
            <w:color w:val="0000EE"/>
          </w:rPr>
          <w:t>First Amendment to Amended and Restated Lease Agreement, dated as of October 31, 1995, by and between the Port Authority of Kansas City,</w:t>
        </w:r>
      </w:hyperlink>
      <w:r>
        <w:rPr>
          <w:rFonts w:ascii="Arial" w:cs="Arial" w:eastAsia="Arial" w:hAnsi="Arial"/>
          <w:sz w:val="16"/>
          <w:szCs w:val="16"/>
          <w:u w:val="single" w:color="auto"/>
          <w:color w:val="0000EE"/>
        </w:rPr>
        <w:t xml:space="preserve"> </w:t>
      </w:r>
      <w:hyperlink r:id="rId166">
        <w:r>
          <w:rPr>
            <w:rFonts w:ascii="Arial" w:cs="Arial" w:eastAsia="Arial" w:hAnsi="Arial"/>
            <w:sz w:val="16"/>
            <w:szCs w:val="16"/>
            <w:u w:val="single" w:color="auto"/>
            <w:color w:val="0000EE"/>
          </w:rPr>
          <w:t>Missouri and Tenant (incorporated by reference to Isle of Capri Casinos, Inc.’s Annual Report on Form 10-K filed on June 25, 2009).</w:t>
        </w:r>
      </w:hyperlink>
    </w:p>
    <w:p>
      <w:pPr>
        <w:spacing w:after="0" w:line="35" w:lineRule="exact"/>
        <w:rPr>
          <w:sz w:val="20"/>
          <w:szCs w:val="20"/>
          <w:color w:val="auto"/>
        </w:rPr>
      </w:pPr>
    </w:p>
    <w:p>
      <w:pPr>
        <w:ind w:left="940" w:right="160" w:hanging="940"/>
        <w:spacing w:after="0" w:line="335"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10.57</w:t>
      </w:r>
      <w:r>
        <w:rPr>
          <w:sz w:val="20"/>
          <w:szCs w:val="20"/>
          <w:color w:val="auto"/>
        </w:rPr>
        <w:tab/>
      </w:r>
      <w:hyperlink r:id="rId167">
        <w:r>
          <w:rPr>
            <w:rFonts w:ascii="Arial" w:cs="Arial" w:eastAsia="Arial" w:hAnsi="Arial"/>
            <w:sz w:val="16"/>
            <w:szCs w:val="16"/>
            <w:u w:val="single" w:color="auto"/>
            <w:color w:val="0000EE"/>
          </w:rPr>
          <w:t>Second Amendment to Amended and Restated Lease Agreement, dated as of June 10, 1996, by and between the Port Authority of Kansas City,</w:t>
        </w:r>
      </w:hyperlink>
      <w:r>
        <w:rPr>
          <w:rFonts w:ascii="Arial" w:cs="Arial" w:eastAsia="Arial" w:hAnsi="Arial"/>
          <w:sz w:val="16"/>
          <w:szCs w:val="16"/>
          <w:u w:val="single" w:color="auto"/>
          <w:color w:val="0000EE"/>
        </w:rPr>
        <w:t xml:space="preserve"> </w:t>
      </w:r>
      <w:hyperlink r:id="rId167">
        <w:r>
          <w:rPr>
            <w:rFonts w:ascii="Arial" w:cs="Arial" w:eastAsia="Arial" w:hAnsi="Arial"/>
            <w:sz w:val="16"/>
            <w:szCs w:val="16"/>
            <w:u w:val="single" w:color="auto"/>
            <w:color w:val="0000EE"/>
          </w:rPr>
          <w:t>Missouri and Tenant (incorporated by reference to Isle of Capri Casinos, Inc.’s Annual Report on Form 10-K filed on June 25, 2009).</w:t>
        </w:r>
      </w:hyperlink>
    </w:p>
    <w:p>
      <w:pPr>
        <w:spacing w:after="0" w:line="35" w:lineRule="exact"/>
        <w:rPr>
          <w:sz w:val="20"/>
          <w:szCs w:val="20"/>
          <w:color w:val="auto"/>
        </w:rPr>
      </w:pPr>
    </w:p>
    <w:p>
      <w:pPr>
        <w:ind w:left="940" w:right="20" w:hanging="940"/>
        <w:spacing w:after="0" w:line="259"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10.58</w:t>
      </w:r>
      <w:r>
        <w:rPr>
          <w:sz w:val="20"/>
          <w:szCs w:val="20"/>
          <w:color w:val="auto"/>
        </w:rPr>
        <w:tab/>
      </w:r>
      <w:hyperlink r:id="rId168">
        <w:r>
          <w:rPr>
            <w:rFonts w:ascii="Arial" w:cs="Arial" w:eastAsia="Arial" w:hAnsi="Arial"/>
            <w:sz w:val="18"/>
            <w:szCs w:val="18"/>
            <w:u w:val="single" w:color="auto"/>
            <w:color w:val="0000EE"/>
          </w:rPr>
          <w:t>Assignment and Assumption Agreement (Lease Agreement), dated as of June 6, 2000, by and among Flamingo Hilton Riverboat Casino, LP, Isle</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of Capri Casinos, Inc. and IOC-Kansas City, Inc. (incorporated by reference to Isle of Capri Casinos, Inc.’s Annual Report on Form 10-K filed</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on July 11, 2008).</w:t>
        </w:r>
      </w:hyperlink>
    </w:p>
    <w:p>
      <w:pPr>
        <w:spacing w:after="0" w:line="93" w:lineRule="exact"/>
        <w:rPr>
          <w:rFonts w:ascii="Arial" w:cs="Arial" w:eastAsia="Arial" w:hAnsi="Arial"/>
          <w:sz w:val="18"/>
          <w:szCs w:val="18"/>
          <w:u w:val="single" w:color="auto"/>
          <w:color w:val="0000EE"/>
        </w:rPr>
      </w:pPr>
    </w:p>
    <w:p>
      <w:pPr>
        <w:ind w:left="940" w:right="400" w:hanging="940"/>
        <w:spacing w:after="0" w:line="335"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10.59</w:t>
      </w:r>
      <w:r>
        <w:rPr>
          <w:sz w:val="20"/>
          <w:szCs w:val="20"/>
          <w:color w:val="auto"/>
        </w:rPr>
        <w:tab/>
      </w:r>
      <w:hyperlink r:id="rId169">
        <w:r>
          <w:rPr>
            <w:rFonts w:ascii="Arial" w:cs="Arial" w:eastAsia="Arial" w:hAnsi="Arial"/>
            <w:sz w:val="16"/>
            <w:szCs w:val="16"/>
            <w:u w:val="single" w:color="auto"/>
            <w:color w:val="0000EE"/>
          </w:rPr>
          <w:t>Lease and Agreement-Spring 1995, dated as of August 15, 1995, by and between Andrianakos Limited Liability Company and Isle of Capri</w:t>
        </w:r>
      </w:hyperlink>
      <w:r>
        <w:rPr>
          <w:rFonts w:ascii="Arial" w:cs="Arial" w:eastAsia="Arial" w:hAnsi="Arial"/>
          <w:sz w:val="16"/>
          <w:szCs w:val="16"/>
          <w:u w:val="single" w:color="auto"/>
          <w:color w:val="0000EE"/>
        </w:rPr>
        <w:t xml:space="preserve"> </w:t>
      </w:r>
      <w:hyperlink r:id="rId169">
        <w:r>
          <w:rPr>
            <w:rFonts w:ascii="Arial" w:cs="Arial" w:eastAsia="Arial" w:hAnsi="Arial"/>
            <w:sz w:val="16"/>
            <w:szCs w:val="16"/>
            <w:u w:val="single" w:color="auto"/>
            <w:color w:val="0000EE"/>
          </w:rPr>
          <w:t>Black Hawk, L.L.C. (incorporated by reference to Isle of Capri Casinos, Inc.’s Annual Report on Form 10-K filed on July 11, 2008).</w:t>
        </w:r>
      </w:hyperlink>
    </w:p>
    <w:p>
      <w:pPr>
        <w:spacing w:after="0" w:line="35" w:lineRule="exact"/>
        <w:rPr>
          <w:sz w:val="20"/>
          <w:szCs w:val="20"/>
          <w:color w:val="auto"/>
        </w:rPr>
      </w:pPr>
    </w:p>
    <w:p>
      <w:pPr>
        <w:ind w:left="940" w:right="280" w:hanging="940"/>
        <w:spacing w:after="0" w:line="259"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10.60</w:t>
      </w:r>
      <w:r>
        <w:rPr>
          <w:sz w:val="20"/>
          <w:szCs w:val="20"/>
          <w:color w:val="auto"/>
        </w:rPr>
        <w:tab/>
      </w:r>
      <w:hyperlink r:id="rId170">
        <w:r>
          <w:rPr>
            <w:rFonts w:ascii="Arial" w:cs="Arial" w:eastAsia="Arial" w:hAnsi="Arial"/>
            <w:sz w:val="18"/>
            <w:szCs w:val="18"/>
            <w:u w:val="single" w:color="auto"/>
            <w:color w:val="0000EE"/>
          </w:rPr>
          <w:t>Addendum to the Lease and Agreement-Spring 1995, dated as of April 4, 1996, by and between Andrianakos Limited Liability Company and</w:t>
        </w:r>
      </w:hyperlink>
      <w:r>
        <w:rPr>
          <w:rFonts w:ascii="Arial" w:cs="Arial" w:eastAsia="Arial" w:hAnsi="Arial"/>
          <w:sz w:val="18"/>
          <w:szCs w:val="18"/>
          <w:u w:val="single" w:color="auto"/>
          <w:color w:val="0000EE"/>
        </w:rPr>
        <w:t xml:space="preserve"> </w:t>
      </w:r>
      <w:hyperlink r:id="rId170">
        <w:r>
          <w:rPr>
            <w:rFonts w:ascii="Arial" w:cs="Arial" w:eastAsia="Arial" w:hAnsi="Arial"/>
            <w:sz w:val="18"/>
            <w:szCs w:val="18"/>
            <w:u w:val="single" w:color="auto"/>
            <w:color w:val="0000EE"/>
          </w:rPr>
          <w:t>Isle of Capri Black Hawk, L.L.C. (incorporated by reference to Isle of Capri Casinos, Inc.’s Annual Report on Form 10-K filed on July 11,</w:t>
        </w:r>
      </w:hyperlink>
      <w:r>
        <w:rPr>
          <w:rFonts w:ascii="Arial" w:cs="Arial" w:eastAsia="Arial" w:hAnsi="Arial"/>
          <w:sz w:val="18"/>
          <w:szCs w:val="18"/>
          <w:u w:val="single" w:color="auto"/>
          <w:color w:val="0000EE"/>
        </w:rPr>
        <w:t xml:space="preserve"> </w:t>
      </w:r>
      <w:hyperlink r:id="rId170">
        <w:r>
          <w:rPr>
            <w:rFonts w:ascii="Arial" w:cs="Arial" w:eastAsia="Arial" w:hAnsi="Arial"/>
            <w:sz w:val="18"/>
            <w:szCs w:val="18"/>
            <w:u w:val="single" w:color="auto"/>
            <w:color w:val="0000EE"/>
          </w:rPr>
          <w:t>2008).</w:t>
        </w:r>
      </w:hyperlink>
    </w:p>
    <w:p>
      <w:pPr>
        <w:spacing w:after="0" w:line="93" w:lineRule="exact"/>
        <w:rPr>
          <w:rFonts w:ascii="Arial" w:cs="Arial" w:eastAsia="Arial" w:hAnsi="Arial"/>
          <w:sz w:val="18"/>
          <w:szCs w:val="18"/>
          <w:u w:val="single" w:color="auto"/>
          <w:color w:val="0000EE"/>
        </w:rPr>
      </w:pPr>
    </w:p>
    <w:p>
      <w:pPr>
        <w:ind w:left="940" w:right="60" w:hanging="940"/>
        <w:spacing w:after="0" w:line="259"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10.61</w:t>
      </w:r>
      <w:r>
        <w:rPr>
          <w:sz w:val="20"/>
          <w:szCs w:val="20"/>
          <w:color w:val="auto"/>
        </w:rPr>
        <w:tab/>
      </w:r>
      <w:hyperlink r:id="rId171">
        <w:r>
          <w:rPr>
            <w:rFonts w:ascii="Arial" w:cs="Arial" w:eastAsia="Arial" w:hAnsi="Arial"/>
            <w:sz w:val="18"/>
            <w:szCs w:val="18"/>
            <w:u w:val="single" w:color="auto"/>
            <w:color w:val="0000EE"/>
          </w:rPr>
          <w:t>Second Addendum to the Lease and Agreement-Spring 1995, dated as of March 21, 2003, by and between Andrianakos Limited Liability</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Company and Isle of Capri Black Hawk, L.L.C. (incorporated by reference to Isle of Capri Casinos, Inc.’s Annual Report on Form 10-K filed on</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July 11, 2008).</w:t>
        </w:r>
      </w:hyperlink>
    </w:p>
    <w:p>
      <w:pPr>
        <w:spacing w:after="0" w:line="307" w:lineRule="exact"/>
        <w:rPr>
          <w:rFonts w:ascii="Arial" w:cs="Arial" w:eastAsia="Arial" w:hAnsi="Arial"/>
          <w:sz w:val="18"/>
          <w:szCs w:val="18"/>
          <w:u w:val="single" w:color="auto"/>
          <w:color w:val="0000EE"/>
        </w:rPr>
      </w:pPr>
    </w:p>
    <w:p>
      <w:pPr>
        <w:jc w:val="center"/>
        <w:ind w:right="80"/>
        <w:spacing w:after="0"/>
        <w:rPr>
          <w:sz w:val="20"/>
          <w:szCs w:val="20"/>
          <w:color w:val="auto"/>
        </w:rPr>
      </w:pPr>
      <w:r>
        <w:rPr>
          <w:rFonts w:ascii="Arial" w:cs="Arial" w:eastAsia="Arial" w:hAnsi="Arial"/>
          <w:sz w:val="18"/>
          <w:szCs w:val="18"/>
          <w:color w:val="auto"/>
        </w:rPr>
        <w:t>82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-71120</wp:posOffset>
            </wp:positionH>
            <wp:positionV relativeFrom="paragraph">
              <wp:posOffset>69215</wp:posOffset>
            </wp:positionV>
            <wp:extent cx="7273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2">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320"/>
          </w:cols>
          <w:pgMar w:left="340" w:top="339"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1040" w:type="dxa"/>
            <w:vAlign w:val="bottom"/>
          </w:tcPr>
          <w:p>
            <w:pPr>
              <w:ind w:left="100"/>
              <w:spacing w:after="0"/>
              <w:rPr>
                <w:sz w:val="20"/>
                <w:szCs w:val="20"/>
                <w:color w:val="auto"/>
              </w:rPr>
            </w:pPr>
            <w:r>
              <w:rPr>
                <w:rFonts w:ascii="Arial" w:cs="Arial" w:eastAsia="Arial" w:hAnsi="Arial"/>
                <w:sz w:val="18"/>
                <w:szCs w:val="18"/>
                <w:color w:val="auto"/>
              </w:rPr>
              <w:t>10.62</w:t>
            </w:r>
          </w:p>
        </w:tc>
        <w:tc>
          <w:tcPr>
            <w:tcW w:w="10360" w:type="dxa"/>
            <w:vAlign w:val="bottom"/>
            <w:tcBorders>
              <w:bottom w:val="single" w:sz="8" w:color="0000EE"/>
            </w:tcBorders>
            <w:gridSpan w:val="29"/>
          </w:tcPr>
          <w:p>
            <w:pPr>
              <w:spacing w:after="0"/>
              <w:rPr>
                <w:rFonts w:ascii="Arial" w:cs="Arial" w:eastAsia="Arial" w:hAnsi="Arial"/>
                <w:sz w:val="18"/>
                <w:szCs w:val="18"/>
                <w:color w:val="0000EE"/>
                <w:w w:val="91"/>
              </w:rPr>
            </w:pPr>
            <w:hyperlink r:id="rId173">
              <w:r>
                <w:rPr>
                  <w:rFonts w:ascii="Arial" w:cs="Arial" w:eastAsia="Arial" w:hAnsi="Arial"/>
                  <w:sz w:val="18"/>
                  <w:szCs w:val="18"/>
                  <w:color w:val="0000EE"/>
                  <w:w w:val="91"/>
                </w:rPr>
                <w:t>Third Addendum to the Lease and Agreement-Spring 1995, dated as of April 22, 2003, by and between Andrianakos Limited Liability Company</w:t>
              </w:r>
            </w:hyperlink>
          </w:p>
        </w:tc>
        <w:tc>
          <w:tcPr>
            <w:tcW w:w="20" w:type="dxa"/>
            <w:vAlign w:val="bottom"/>
          </w:tcPr>
          <w:p>
            <w:pPr>
              <w:spacing w:after="0"/>
              <w:rPr>
                <w:sz w:val="17"/>
                <w:szCs w:val="17"/>
                <w:color w:val="auto"/>
              </w:rPr>
            </w:pPr>
          </w:p>
        </w:tc>
      </w:tr>
      <w:tr>
        <w:trPr>
          <w:trHeight w:val="194"/>
        </w:trPr>
        <w:tc>
          <w:tcPr>
            <w:tcW w:w="1040" w:type="dxa"/>
            <w:vAlign w:val="bottom"/>
          </w:tcPr>
          <w:p>
            <w:pPr>
              <w:spacing w:after="0"/>
              <w:rPr>
                <w:sz w:val="16"/>
                <w:szCs w:val="16"/>
                <w:color w:val="auto"/>
              </w:rPr>
            </w:pPr>
          </w:p>
        </w:tc>
        <w:tc>
          <w:tcPr>
            <w:tcW w:w="10380" w:type="dxa"/>
            <w:vAlign w:val="bottom"/>
            <w:gridSpan w:val="30"/>
          </w:tcPr>
          <w:p>
            <w:pPr>
              <w:spacing w:after="0" w:line="195" w:lineRule="exact"/>
              <w:rPr>
                <w:rFonts w:ascii="Arial" w:cs="Arial" w:eastAsia="Arial" w:hAnsi="Arial"/>
                <w:sz w:val="18"/>
                <w:szCs w:val="18"/>
                <w:color w:val="0000EE"/>
                <w:w w:val="93"/>
              </w:rPr>
            </w:pPr>
            <w:hyperlink r:id="rId173">
              <w:r>
                <w:rPr>
                  <w:rFonts w:ascii="Arial" w:cs="Arial" w:eastAsia="Arial" w:hAnsi="Arial"/>
                  <w:sz w:val="18"/>
                  <w:szCs w:val="18"/>
                  <w:color w:val="0000EE"/>
                  <w:w w:val="93"/>
                </w:rPr>
                <w:t>and Isle of Capri Black Hawk, L.L.C. (incorporated by reference to Isle of Capri Casinos, Inc.’s Annual Report on Form 10-K filed on July 11,</w:t>
              </w:r>
            </w:hyperlink>
          </w:p>
        </w:tc>
      </w:tr>
      <w:tr>
        <w:trPr>
          <w:trHeight w:val="194"/>
        </w:trPr>
        <w:tc>
          <w:tcPr>
            <w:tcW w:w="1040" w:type="dxa"/>
            <w:vAlign w:val="bottom"/>
          </w:tcPr>
          <w:p>
            <w:pPr>
              <w:spacing w:after="0"/>
              <w:rPr>
                <w:sz w:val="16"/>
                <w:szCs w:val="16"/>
                <w:color w:val="auto"/>
              </w:rPr>
            </w:pPr>
          </w:p>
        </w:tc>
        <w:tc>
          <w:tcPr>
            <w:tcW w:w="46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86"/>
              </w:rPr>
            </w:pPr>
            <w:hyperlink r:id="rId173">
              <w:r>
                <w:rPr>
                  <w:rFonts w:ascii="Arial" w:cs="Arial" w:eastAsia="Arial" w:hAnsi="Arial"/>
                  <w:sz w:val="18"/>
                  <w:szCs w:val="18"/>
                  <w:color w:val="0000EE"/>
                  <w:w w:val="86"/>
                </w:rPr>
                <w:t>2008).</w:t>
              </w:r>
            </w:hyperlink>
          </w:p>
        </w:tc>
        <w:tc>
          <w:tcPr>
            <w:tcW w:w="640" w:type="dxa"/>
            <w:vAlign w:val="bottom"/>
            <w:tcBorders>
              <w:top w:val="single" w:sz="8" w:color="0000EE"/>
            </w:tcBorders>
          </w:tcPr>
          <w:p>
            <w:pPr>
              <w:spacing w:after="0"/>
              <w:rPr>
                <w:sz w:val="16"/>
                <w:szCs w:val="16"/>
                <w:color w:val="auto"/>
              </w:rPr>
            </w:pPr>
          </w:p>
        </w:tc>
        <w:tc>
          <w:tcPr>
            <w:tcW w:w="22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160" w:type="dxa"/>
            <w:vAlign w:val="bottom"/>
            <w:tcBorders>
              <w:top w:val="single" w:sz="8" w:color="0000EE"/>
            </w:tcBorders>
          </w:tcPr>
          <w:p>
            <w:pPr>
              <w:spacing w:after="0"/>
              <w:rPr>
                <w:sz w:val="16"/>
                <w:szCs w:val="16"/>
                <w:color w:val="auto"/>
              </w:rPr>
            </w:pPr>
          </w:p>
        </w:tc>
        <w:tc>
          <w:tcPr>
            <w:tcW w:w="76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5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15"/>
        </w:trPr>
        <w:tc>
          <w:tcPr>
            <w:tcW w:w="1040" w:type="dxa"/>
            <w:vAlign w:val="bottom"/>
          </w:tcPr>
          <w:p>
            <w:pPr>
              <w:ind w:left="100"/>
              <w:spacing w:after="0"/>
              <w:rPr>
                <w:sz w:val="20"/>
                <w:szCs w:val="20"/>
                <w:color w:val="auto"/>
              </w:rPr>
            </w:pPr>
            <w:r>
              <w:rPr>
                <w:rFonts w:ascii="Arial" w:cs="Arial" w:eastAsia="Arial" w:hAnsi="Arial"/>
                <w:sz w:val="18"/>
                <w:szCs w:val="18"/>
                <w:color w:val="auto"/>
              </w:rPr>
              <w:t>10.63</w:t>
            </w:r>
          </w:p>
        </w:tc>
        <w:tc>
          <w:tcPr>
            <w:tcW w:w="10380" w:type="dxa"/>
            <w:vAlign w:val="bottom"/>
            <w:gridSpan w:val="30"/>
          </w:tcPr>
          <w:p>
            <w:pPr>
              <w:spacing w:after="0"/>
              <w:rPr>
                <w:rFonts w:ascii="Arial" w:cs="Arial" w:eastAsia="Arial" w:hAnsi="Arial"/>
                <w:sz w:val="18"/>
                <w:szCs w:val="18"/>
                <w:color w:val="0000EE"/>
                <w:w w:val="93"/>
              </w:rPr>
            </w:pPr>
            <w:hyperlink r:id="rId174">
              <w:r>
                <w:rPr>
                  <w:rFonts w:ascii="Arial" w:cs="Arial" w:eastAsia="Arial" w:hAnsi="Arial"/>
                  <w:sz w:val="18"/>
                  <w:szCs w:val="18"/>
                  <w:color w:val="0000EE"/>
                  <w:w w:val="93"/>
                </w:rPr>
                <w:t>Fourth Addendum to the Lease and Agreement-Spring 1995, dated as of December 11, 2013, by and between Andrianakos Limited Liability</w:t>
              </w:r>
            </w:hyperlink>
          </w:p>
        </w:tc>
      </w:tr>
      <w:tr>
        <w:trPr>
          <w:trHeight w:val="20"/>
        </w:trPr>
        <w:tc>
          <w:tcPr>
            <w:tcW w:w="10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340" w:type="dxa"/>
            <w:vAlign w:val="bottom"/>
            <w:tcBorders>
              <w:bottom w:val="single" w:sz="8" w:color="0000EE"/>
            </w:tcBorders>
            <w:gridSpan w:val="28"/>
          </w:tcPr>
          <w:p>
            <w:pPr>
              <w:spacing w:after="0" w:line="195" w:lineRule="exact"/>
              <w:rPr>
                <w:rFonts w:ascii="Arial" w:cs="Arial" w:eastAsia="Arial" w:hAnsi="Arial"/>
                <w:sz w:val="18"/>
                <w:szCs w:val="18"/>
                <w:color w:val="0000EE"/>
                <w:w w:val="91"/>
              </w:rPr>
            </w:pPr>
            <w:hyperlink r:id="rId174">
              <w:r>
                <w:rPr>
                  <w:rFonts w:ascii="Arial" w:cs="Arial" w:eastAsia="Arial" w:hAnsi="Arial"/>
                  <w:sz w:val="18"/>
                  <w:szCs w:val="18"/>
                  <w:color w:val="0000EE"/>
                  <w:w w:val="91"/>
                </w:rPr>
                <w:t>Company and Isle of Capri Black Hawk, L.L.C. (incorporated by reference to Isle of Capri Casinos, Inc.’s Annual Report on Form 10-K filed on</w:t>
              </w:r>
            </w:hyperlink>
          </w:p>
        </w:tc>
        <w:tc>
          <w:tcPr>
            <w:tcW w:w="40" w:type="dxa"/>
            <w:vAlign w:val="bottom"/>
            <w:gridSpan w:val="2"/>
          </w:tcPr>
          <w:p>
            <w:pPr>
              <w:spacing w:after="0"/>
              <w:rPr>
                <w:sz w:val="16"/>
                <w:szCs w:val="16"/>
                <w:color w:val="auto"/>
              </w:rPr>
            </w:pPr>
          </w:p>
        </w:tc>
      </w:tr>
      <w:tr>
        <w:trPr>
          <w:trHeight w:val="194"/>
        </w:trPr>
        <w:tc>
          <w:tcPr>
            <w:tcW w:w="1040" w:type="dxa"/>
            <w:vAlign w:val="bottom"/>
          </w:tcPr>
          <w:p>
            <w:pPr>
              <w:spacing w:after="0"/>
              <w:rPr>
                <w:sz w:val="16"/>
                <w:szCs w:val="16"/>
                <w:color w:val="auto"/>
              </w:rPr>
            </w:pPr>
          </w:p>
        </w:tc>
        <w:tc>
          <w:tcPr>
            <w:tcW w:w="1100" w:type="dxa"/>
            <w:vAlign w:val="bottom"/>
            <w:tcBorders>
              <w:bottom w:val="single" w:sz="8" w:color="0000EE"/>
            </w:tcBorders>
            <w:gridSpan w:val="2"/>
          </w:tcPr>
          <w:p>
            <w:pPr>
              <w:spacing w:after="0" w:line="195" w:lineRule="exact"/>
              <w:rPr>
                <w:rFonts w:ascii="Arial" w:cs="Arial" w:eastAsia="Arial" w:hAnsi="Arial"/>
                <w:sz w:val="18"/>
                <w:szCs w:val="18"/>
                <w:color w:val="0000EE"/>
                <w:w w:val="86"/>
              </w:rPr>
            </w:pPr>
            <w:hyperlink r:id="rId174">
              <w:r>
                <w:rPr>
                  <w:rFonts w:ascii="Arial" w:cs="Arial" w:eastAsia="Arial" w:hAnsi="Arial"/>
                  <w:sz w:val="18"/>
                  <w:szCs w:val="18"/>
                  <w:color w:val="0000EE"/>
                  <w:w w:val="86"/>
                </w:rPr>
                <w:t>June 23, 2014).</w:t>
              </w:r>
            </w:hyperlink>
          </w:p>
        </w:tc>
        <w:tc>
          <w:tcPr>
            <w:tcW w:w="9280" w:type="dxa"/>
            <w:vAlign w:val="bottom"/>
            <w:gridSpan w:val="28"/>
          </w:tcPr>
          <w:p>
            <w:pPr>
              <w:spacing w:after="0"/>
              <w:rPr>
                <w:sz w:val="16"/>
                <w:szCs w:val="16"/>
                <w:color w:val="auto"/>
              </w:rPr>
            </w:pPr>
          </w:p>
        </w:tc>
      </w:tr>
      <w:tr>
        <w:trPr>
          <w:trHeight w:val="315"/>
        </w:trPr>
        <w:tc>
          <w:tcPr>
            <w:tcW w:w="1040" w:type="dxa"/>
            <w:vAlign w:val="bottom"/>
          </w:tcPr>
          <w:p>
            <w:pPr>
              <w:ind w:left="100"/>
              <w:spacing w:after="0"/>
              <w:rPr>
                <w:sz w:val="20"/>
                <w:szCs w:val="20"/>
                <w:color w:val="auto"/>
              </w:rPr>
            </w:pPr>
            <w:r>
              <w:rPr>
                <w:rFonts w:ascii="Arial" w:cs="Arial" w:eastAsia="Arial" w:hAnsi="Arial"/>
                <w:sz w:val="18"/>
                <w:szCs w:val="18"/>
                <w:color w:val="auto"/>
              </w:rPr>
              <w:t>10.64</w:t>
            </w:r>
          </w:p>
        </w:tc>
        <w:tc>
          <w:tcPr>
            <w:tcW w:w="10380" w:type="dxa"/>
            <w:vAlign w:val="bottom"/>
            <w:gridSpan w:val="30"/>
          </w:tcPr>
          <w:p>
            <w:pPr>
              <w:spacing w:after="0"/>
              <w:rPr>
                <w:rFonts w:ascii="Arial" w:cs="Arial" w:eastAsia="Arial" w:hAnsi="Arial"/>
                <w:sz w:val="18"/>
                <w:szCs w:val="18"/>
                <w:color w:val="0000EE"/>
                <w:w w:val="90"/>
              </w:rPr>
            </w:pPr>
            <w:hyperlink r:id="rId175">
              <w:r>
                <w:rPr>
                  <w:rFonts w:ascii="Arial" w:cs="Arial" w:eastAsia="Arial" w:hAnsi="Arial"/>
                  <w:sz w:val="18"/>
                  <w:szCs w:val="18"/>
                  <w:color w:val="0000EE"/>
                  <w:w w:val="90"/>
                </w:rPr>
                <w:t>Amended and Restated Operator’s Contract, dated as of November 9, 2004, by and between Black Hawk County Gaming Association and IOC</w:t>
              </w:r>
            </w:hyperlink>
          </w:p>
        </w:tc>
      </w:tr>
      <w:tr>
        <w:trPr>
          <w:trHeight w:val="194"/>
        </w:trPr>
        <w:tc>
          <w:tcPr>
            <w:tcW w:w="1040" w:type="dxa"/>
            <w:vAlign w:val="bottom"/>
          </w:tcPr>
          <w:p>
            <w:pPr>
              <w:spacing w:after="0"/>
              <w:rPr>
                <w:sz w:val="16"/>
                <w:szCs w:val="16"/>
                <w:color w:val="auto"/>
              </w:rPr>
            </w:pPr>
          </w:p>
        </w:tc>
        <w:tc>
          <w:tcPr>
            <w:tcW w:w="9860" w:type="dxa"/>
            <w:vAlign w:val="bottom"/>
            <w:tcBorders>
              <w:top w:val="single" w:sz="8" w:color="0000EE"/>
              <w:bottom w:val="single" w:sz="8" w:color="0000EE"/>
            </w:tcBorders>
            <w:gridSpan w:val="17"/>
          </w:tcPr>
          <w:p>
            <w:pPr>
              <w:spacing w:after="0" w:line="195"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Black Hawk County, Inc. (incorporated by reference to Isle of Capri Casinos, Inc.’s Annual Report on Form 10-K filed on June 23, 2014).</w:t>
              </w:r>
            </w:hyperlink>
          </w:p>
        </w:tc>
        <w:tc>
          <w:tcPr>
            <w:tcW w:w="360" w:type="dxa"/>
            <w:vAlign w:val="bottom"/>
            <w:tcBorders>
              <w:top w:val="single" w:sz="8" w:color="0000EE"/>
            </w:tcBorders>
            <w:gridSpan w:val="8"/>
          </w:tcPr>
          <w:p>
            <w:pPr>
              <w:spacing w:after="0"/>
              <w:rPr>
                <w:sz w:val="16"/>
                <w:szCs w:val="16"/>
                <w:color w:val="auto"/>
              </w:rPr>
            </w:pPr>
          </w:p>
        </w:tc>
        <w:tc>
          <w:tcPr>
            <w:tcW w:w="160" w:type="dxa"/>
            <w:vAlign w:val="bottom"/>
            <w:gridSpan w:val="5"/>
          </w:tcPr>
          <w:p>
            <w:pPr>
              <w:spacing w:after="0"/>
              <w:rPr>
                <w:sz w:val="16"/>
                <w:szCs w:val="16"/>
                <w:color w:val="auto"/>
              </w:rPr>
            </w:pPr>
          </w:p>
        </w:tc>
      </w:tr>
      <w:tr>
        <w:trPr>
          <w:trHeight w:val="315"/>
        </w:trPr>
        <w:tc>
          <w:tcPr>
            <w:tcW w:w="1040" w:type="dxa"/>
            <w:vAlign w:val="bottom"/>
          </w:tcPr>
          <w:p>
            <w:pPr>
              <w:ind w:left="100"/>
              <w:spacing w:after="0"/>
              <w:rPr>
                <w:sz w:val="20"/>
                <w:szCs w:val="20"/>
                <w:color w:val="auto"/>
              </w:rPr>
            </w:pPr>
            <w:r>
              <w:rPr>
                <w:rFonts w:ascii="Arial" w:cs="Arial" w:eastAsia="Arial" w:hAnsi="Arial"/>
                <w:sz w:val="18"/>
                <w:szCs w:val="18"/>
                <w:color w:val="auto"/>
              </w:rPr>
              <w:t>10.65</w:t>
            </w:r>
          </w:p>
        </w:tc>
        <w:tc>
          <w:tcPr>
            <w:tcW w:w="10380" w:type="dxa"/>
            <w:vAlign w:val="bottom"/>
            <w:gridSpan w:val="30"/>
          </w:tcPr>
          <w:p>
            <w:pPr>
              <w:spacing w:after="0"/>
              <w:rPr>
                <w:rFonts w:ascii="Arial" w:cs="Arial" w:eastAsia="Arial" w:hAnsi="Arial"/>
                <w:sz w:val="18"/>
                <w:szCs w:val="18"/>
                <w:color w:val="0000EE"/>
                <w:w w:val="95"/>
              </w:rPr>
            </w:pPr>
            <w:hyperlink r:id="rId176">
              <w:r>
                <w:rPr>
                  <w:rFonts w:ascii="Arial" w:cs="Arial" w:eastAsia="Arial" w:hAnsi="Arial"/>
                  <w:sz w:val="18"/>
                  <w:szCs w:val="18"/>
                  <w:color w:val="0000EE"/>
                  <w:w w:val="95"/>
                </w:rPr>
                <w:t>Operator's Contract, dated as of August 11, 1994, by and between the Riverbend Regional Authority, Green Bridge Company, Bettendorf</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380" w:type="dxa"/>
            <w:vAlign w:val="bottom"/>
            <w:gridSpan w:val="30"/>
          </w:tcPr>
          <w:p>
            <w:pPr>
              <w:spacing w:after="0" w:line="195" w:lineRule="exact"/>
              <w:rPr>
                <w:rFonts w:ascii="Arial" w:cs="Arial" w:eastAsia="Arial" w:hAnsi="Arial"/>
                <w:sz w:val="18"/>
                <w:szCs w:val="18"/>
                <w:color w:val="0000EE"/>
                <w:w w:val="92"/>
              </w:rPr>
            </w:pPr>
            <w:hyperlink r:id="rId176">
              <w:r>
                <w:rPr>
                  <w:rFonts w:ascii="Arial" w:cs="Arial" w:eastAsia="Arial" w:hAnsi="Arial"/>
                  <w:sz w:val="18"/>
                  <w:szCs w:val="18"/>
                  <w:color w:val="0000EE"/>
                  <w:w w:val="92"/>
                </w:rPr>
                <w:t>Riverfront Development Company, L.C., Lady Luck Gaming Corporation and Lady Luck Bettendorf, L.C. (incorporated by reference to Isle of</w:t>
              </w:r>
            </w:hyperlink>
          </w:p>
        </w:tc>
      </w:tr>
      <w:tr>
        <w:trPr>
          <w:trHeight w:val="194"/>
        </w:trPr>
        <w:tc>
          <w:tcPr>
            <w:tcW w:w="1040" w:type="dxa"/>
            <w:vAlign w:val="bottom"/>
          </w:tcPr>
          <w:p>
            <w:pPr>
              <w:spacing w:after="0"/>
              <w:rPr>
                <w:sz w:val="16"/>
                <w:szCs w:val="16"/>
                <w:color w:val="auto"/>
              </w:rPr>
            </w:pPr>
          </w:p>
        </w:tc>
        <w:tc>
          <w:tcPr>
            <w:tcW w:w="10220" w:type="dxa"/>
            <w:vAlign w:val="bottom"/>
            <w:tcBorders>
              <w:top w:val="single" w:sz="8" w:color="0000EE"/>
            </w:tcBorders>
            <w:gridSpan w:val="25"/>
          </w:tcPr>
          <w:p>
            <w:pPr>
              <w:spacing w:after="0" w:line="195" w:lineRule="exact"/>
              <w:rPr>
                <w:rFonts w:ascii="Arial" w:cs="Arial" w:eastAsia="Arial" w:hAnsi="Arial"/>
                <w:sz w:val="18"/>
                <w:szCs w:val="18"/>
                <w:color w:val="0000EE"/>
              </w:rPr>
            </w:pPr>
            <w:hyperlink r:id="rId176">
              <w:r>
                <w:rPr>
                  <w:rFonts w:ascii="Arial" w:cs="Arial" w:eastAsia="Arial" w:hAnsi="Arial"/>
                  <w:sz w:val="18"/>
                  <w:szCs w:val="18"/>
                  <w:color w:val="0000EE"/>
                </w:rPr>
                <w:t>Capri Casinos, Inc.’s Annual Report on Form 10-K filed on June 23, 2014).</w:t>
              </w:r>
            </w:hyperlink>
          </w:p>
        </w:tc>
        <w:tc>
          <w:tcPr>
            <w:tcW w:w="160" w:type="dxa"/>
            <w:vAlign w:val="bottom"/>
            <w:gridSpan w:val="5"/>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5"/>
        </w:trPr>
        <w:tc>
          <w:tcPr>
            <w:tcW w:w="1040" w:type="dxa"/>
            <w:vAlign w:val="bottom"/>
          </w:tcPr>
          <w:p>
            <w:pPr>
              <w:ind w:left="100"/>
              <w:spacing w:after="0"/>
              <w:rPr>
                <w:sz w:val="20"/>
                <w:szCs w:val="20"/>
                <w:color w:val="auto"/>
              </w:rPr>
            </w:pPr>
            <w:r>
              <w:rPr>
                <w:rFonts w:ascii="Arial" w:cs="Arial" w:eastAsia="Arial" w:hAnsi="Arial"/>
                <w:sz w:val="18"/>
                <w:szCs w:val="18"/>
                <w:color w:val="auto"/>
              </w:rPr>
              <w:t>10.66</w:t>
            </w:r>
          </w:p>
        </w:tc>
        <w:tc>
          <w:tcPr>
            <w:tcW w:w="10080" w:type="dxa"/>
            <w:vAlign w:val="bottom"/>
            <w:tcBorders>
              <w:bottom w:val="single" w:sz="8" w:color="0000EE"/>
            </w:tcBorders>
            <w:gridSpan w:val="20"/>
          </w:tcPr>
          <w:p>
            <w:pPr>
              <w:spacing w:after="0"/>
              <w:rPr>
                <w:rFonts w:ascii="Arial" w:cs="Arial" w:eastAsia="Arial" w:hAnsi="Arial"/>
                <w:sz w:val="18"/>
                <w:szCs w:val="18"/>
                <w:color w:val="0000EE"/>
                <w:w w:val="89"/>
              </w:rPr>
            </w:pPr>
            <w:hyperlink r:id="rId177">
              <w:r>
                <w:rPr>
                  <w:rFonts w:ascii="Arial" w:cs="Arial" w:eastAsia="Arial" w:hAnsi="Arial"/>
                  <w:sz w:val="18"/>
                  <w:szCs w:val="18"/>
                  <w:color w:val="0000EE"/>
                  <w:w w:val="89"/>
                </w:rPr>
                <w:t>Amendment to Operator's Contract, dated as of August 27, 1998, by and among Green Bridge Company, Bettendorf Riverfront Development</w:t>
              </w:r>
            </w:hyperlink>
          </w:p>
        </w:tc>
        <w:tc>
          <w:tcPr>
            <w:tcW w:w="300" w:type="dxa"/>
            <w:vAlign w:val="bottom"/>
            <w:gridSpan w:val="10"/>
          </w:tcPr>
          <w:p>
            <w:pPr>
              <w:spacing w:after="0"/>
              <w:rPr>
                <w:sz w:val="24"/>
                <w:szCs w:val="24"/>
                <w:color w:val="auto"/>
              </w:rPr>
            </w:pPr>
          </w:p>
        </w:tc>
      </w:tr>
      <w:tr>
        <w:trPr>
          <w:trHeight w:val="194"/>
        </w:trPr>
        <w:tc>
          <w:tcPr>
            <w:tcW w:w="1040" w:type="dxa"/>
            <w:vAlign w:val="bottom"/>
          </w:tcPr>
          <w:p>
            <w:pPr>
              <w:spacing w:after="0"/>
              <w:rPr>
                <w:sz w:val="16"/>
                <w:szCs w:val="16"/>
                <w:color w:val="auto"/>
              </w:rPr>
            </w:pPr>
          </w:p>
        </w:tc>
        <w:tc>
          <w:tcPr>
            <w:tcW w:w="10200" w:type="dxa"/>
            <w:vAlign w:val="bottom"/>
            <w:tcBorders>
              <w:bottom w:val="single" w:sz="8" w:color="0000EE"/>
            </w:tcBorders>
            <w:gridSpan w:val="24"/>
          </w:tcPr>
          <w:p>
            <w:pPr>
              <w:spacing w:after="0" w:line="195"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Company, L.C., Lady Luck Gaming Corporation, Lady Luck Bettendorf, L.C. and Riverbend Regional Authority (incorporated by reference to</w:t>
              </w:r>
            </w:hyperlink>
          </w:p>
        </w:tc>
        <w:tc>
          <w:tcPr>
            <w:tcW w:w="180" w:type="dxa"/>
            <w:vAlign w:val="bottom"/>
            <w:gridSpan w:val="6"/>
          </w:tcPr>
          <w:p>
            <w:pPr>
              <w:spacing w:after="0"/>
              <w:rPr>
                <w:sz w:val="16"/>
                <w:szCs w:val="16"/>
                <w:color w:val="auto"/>
              </w:rPr>
            </w:pPr>
          </w:p>
        </w:tc>
      </w:tr>
      <w:tr>
        <w:trPr>
          <w:trHeight w:val="194"/>
        </w:trPr>
        <w:tc>
          <w:tcPr>
            <w:tcW w:w="1040" w:type="dxa"/>
            <w:vAlign w:val="bottom"/>
          </w:tcPr>
          <w:p>
            <w:pPr>
              <w:spacing w:after="0"/>
              <w:rPr>
                <w:sz w:val="16"/>
                <w:szCs w:val="16"/>
                <w:color w:val="auto"/>
              </w:rPr>
            </w:pPr>
          </w:p>
        </w:tc>
        <w:tc>
          <w:tcPr>
            <w:tcW w:w="10380" w:type="dxa"/>
            <w:vAlign w:val="bottom"/>
            <w:gridSpan w:val="30"/>
          </w:tcPr>
          <w:p>
            <w:pPr>
              <w:spacing w:after="0" w:line="195" w:lineRule="exact"/>
              <w:rPr>
                <w:rFonts w:ascii="Arial" w:cs="Arial" w:eastAsia="Arial" w:hAnsi="Arial"/>
                <w:sz w:val="18"/>
                <w:szCs w:val="18"/>
                <w:color w:val="0000EE"/>
              </w:rPr>
            </w:pPr>
            <w:hyperlink r:id="rId177">
              <w:r>
                <w:rPr>
                  <w:rFonts w:ascii="Arial" w:cs="Arial" w:eastAsia="Arial" w:hAnsi="Arial"/>
                  <w:sz w:val="18"/>
                  <w:szCs w:val="18"/>
                  <w:color w:val="0000EE"/>
                </w:rPr>
                <w:t>Isle of Capri Casinos, Inc.’s Annual Report on Form 10-K filed on June 23, 2014).</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5"/>
        </w:trPr>
        <w:tc>
          <w:tcPr>
            <w:tcW w:w="1040" w:type="dxa"/>
            <w:vAlign w:val="bottom"/>
          </w:tcPr>
          <w:p>
            <w:pPr>
              <w:ind w:left="100"/>
              <w:spacing w:after="0"/>
              <w:rPr>
                <w:sz w:val="20"/>
                <w:szCs w:val="20"/>
                <w:color w:val="auto"/>
              </w:rPr>
            </w:pPr>
            <w:r>
              <w:rPr>
                <w:rFonts w:ascii="Arial" w:cs="Arial" w:eastAsia="Arial" w:hAnsi="Arial"/>
                <w:sz w:val="18"/>
                <w:szCs w:val="18"/>
                <w:color w:val="auto"/>
              </w:rPr>
              <w:t>10.67</w:t>
            </w:r>
          </w:p>
        </w:tc>
        <w:tc>
          <w:tcPr>
            <w:tcW w:w="10380" w:type="dxa"/>
            <w:vAlign w:val="bottom"/>
            <w:gridSpan w:val="30"/>
          </w:tcPr>
          <w:p>
            <w:pPr>
              <w:spacing w:after="0"/>
              <w:rPr>
                <w:rFonts w:ascii="Arial" w:cs="Arial" w:eastAsia="Arial" w:hAnsi="Arial"/>
                <w:sz w:val="18"/>
                <w:szCs w:val="18"/>
                <w:color w:val="0000EE"/>
                <w:w w:val="89"/>
              </w:rPr>
            </w:pPr>
            <w:hyperlink r:id="rId178">
              <w:r>
                <w:rPr>
                  <w:rFonts w:ascii="Arial" w:cs="Arial" w:eastAsia="Arial" w:hAnsi="Arial"/>
                  <w:sz w:val="18"/>
                  <w:szCs w:val="18"/>
                  <w:color w:val="0000EE"/>
                  <w:w w:val="89"/>
                </w:rPr>
                <w:t>Second Amendment to Operator's Contract, dated as of June 30, 2004, by and between Isle of Capri Bettendorf, L.C. and Scott County Regional</w:t>
              </w:r>
            </w:hyperlink>
          </w:p>
        </w:tc>
      </w:tr>
      <w:tr>
        <w:trPr>
          <w:trHeight w:val="194"/>
        </w:trPr>
        <w:tc>
          <w:tcPr>
            <w:tcW w:w="1040" w:type="dxa"/>
            <w:vAlign w:val="bottom"/>
          </w:tcPr>
          <w:p>
            <w:pPr>
              <w:spacing w:after="0"/>
              <w:rPr>
                <w:sz w:val="16"/>
                <w:szCs w:val="16"/>
                <w:color w:val="auto"/>
              </w:rPr>
            </w:pPr>
          </w:p>
        </w:tc>
        <w:tc>
          <w:tcPr>
            <w:tcW w:w="8740" w:type="dxa"/>
            <w:vAlign w:val="bottom"/>
            <w:tcBorders>
              <w:top w:val="single" w:sz="8" w:color="0000EE"/>
              <w:bottom w:val="single" w:sz="8" w:color="0000EE"/>
            </w:tcBorders>
            <w:gridSpan w:val="11"/>
          </w:tcPr>
          <w:p>
            <w:pPr>
              <w:spacing w:after="0" w:line="195" w:lineRule="exact"/>
              <w:rPr>
                <w:rFonts w:ascii="Arial" w:cs="Arial" w:eastAsia="Arial" w:hAnsi="Arial"/>
                <w:sz w:val="18"/>
                <w:szCs w:val="18"/>
                <w:color w:val="0000EE"/>
                <w:w w:val="90"/>
              </w:rPr>
            </w:pPr>
            <w:hyperlink r:id="rId178">
              <w:r>
                <w:rPr>
                  <w:rFonts w:ascii="Arial" w:cs="Arial" w:eastAsia="Arial" w:hAnsi="Arial"/>
                  <w:sz w:val="18"/>
                  <w:szCs w:val="18"/>
                  <w:color w:val="0000EE"/>
                  <w:w w:val="90"/>
                </w:rPr>
                <w:t>Authority (incorporated by reference to Isle of Capri Casinos, Inc.’s Annual Report on Form 10-K filed on June 23, 2014).</w:t>
              </w:r>
            </w:hyperlink>
          </w:p>
        </w:tc>
        <w:tc>
          <w:tcPr>
            <w:tcW w:w="1560" w:type="dxa"/>
            <w:vAlign w:val="bottom"/>
            <w:tcBorders>
              <w:top w:val="single" w:sz="8" w:color="0000EE"/>
            </w:tcBorders>
            <w:gridSpan w:val="15"/>
          </w:tcPr>
          <w:p>
            <w:pPr>
              <w:spacing w:after="0"/>
              <w:rPr>
                <w:sz w:val="16"/>
                <w:szCs w:val="16"/>
                <w:color w:val="auto"/>
              </w:rPr>
            </w:pPr>
          </w:p>
        </w:tc>
        <w:tc>
          <w:tcPr>
            <w:tcW w:w="80" w:type="dxa"/>
            <w:vAlign w:val="bottom"/>
            <w:gridSpan w:val="4"/>
          </w:tcPr>
          <w:p>
            <w:pPr>
              <w:spacing w:after="0"/>
              <w:rPr>
                <w:sz w:val="16"/>
                <w:szCs w:val="16"/>
                <w:color w:val="auto"/>
              </w:rPr>
            </w:pPr>
          </w:p>
        </w:tc>
      </w:tr>
      <w:tr>
        <w:trPr>
          <w:trHeight w:val="315"/>
        </w:trPr>
        <w:tc>
          <w:tcPr>
            <w:tcW w:w="1040" w:type="dxa"/>
            <w:vAlign w:val="bottom"/>
          </w:tcPr>
          <w:p>
            <w:pPr>
              <w:ind w:left="100"/>
              <w:spacing w:after="0"/>
              <w:rPr>
                <w:sz w:val="20"/>
                <w:szCs w:val="20"/>
                <w:color w:val="auto"/>
              </w:rPr>
            </w:pPr>
            <w:r>
              <w:rPr>
                <w:rFonts w:ascii="Arial" w:cs="Arial" w:eastAsia="Arial" w:hAnsi="Arial"/>
                <w:sz w:val="18"/>
                <w:szCs w:val="18"/>
                <w:color w:val="auto"/>
              </w:rPr>
              <w:t>10.68</w:t>
            </w:r>
          </w:p>
        </w:tc>
        <w:tc>
          <w:tcPr>
            <w:tcW w:w="9780" w:type="dxa"/>
            <w:vAlign w:val="bottom"/>
            <w:tcBorders>
              <w:bottom w:val="single" w:sz="8" w:color="0000EE"/>
            </w:tcBorders>
            <w:gridSpan w:val="16"/>
          </w:tcPr>
          <w:p>
            <w:pPr>
              <w:spacing w:after="0"/>
              <w:rPr>
                <w:rFonts w:ascii="Arial" w:cs="Arial" w:eastAsia="Arial" w:hAnsi="Arial"/>
                <w:sz w:val="18"/>
                <w:szCs w:val="18"/>
                <w:color w:val="0000EE"/>
                <w:w w:val="90"/>
              </w:rPr>
            </w:pPr>
            <w:hyperlink r:id="rId179">
              <w:r>
                <w:rPr>
                  <w:rFonts w:ascii="Arial" w:cs="Arial" w:eastAsia="Arial" w:hAnsi="Arial"/>
                  <w:sz w:val="18"/>
                  <w:szCs w:val="18"/>
                  <w:color w:val="0000EE"/>
                  <w:w w:val="90"/>
                </w:rPr>
                <w:t>Third Amendment to Operator's Contract, dated as of October 30, 2007, by and between Isle of Capri Bettendorf, L.C. and Scott County</w:t>
              </w:r>
            </w:hyperlink>
          </w:p>
        </w:tc>
        <w:tc>
          <w:tcPr>
            <w:tcW w:w="600" w:type="dxa"/>
            <w:vAlign w:val="bottom"/>
            <w:gridSpan w:val="14"/>
          </w:tcPr>
          <w:p>
            <w:pPr>
              <w:spacing w:after="0"/>
              <w:rPr>
                <w:sz w:val="24"/>
                <w:szCs w:val="24"/>
                <w:color w:val="auto"/>
              </w:rPr>
            </w:pPr>
          </w:p>
        </w:tc>
      </w:tr>
      <w:tr>
        <w:trPr>
          <w:trHeight w:val="194"/>
        </w:trPr>
        <w:tc>
          <w:tcPr>
            <w:tcW w:w="1040" w:type="dxa"/>
            <w:vAlign w:val="bottom"/>
          </w:tcPr>
          <w:p>
            <w:pPr>
              <w:spacing w:after="0"/>
              <w:rPr>
                <w:sz w:val="16"/>
                <w:szCs w:val="16"/>
                <w:color w:val="auto"/>
              </w:rPr>
            </w:pPr>
          </w:p>
        </w:tc>
        <w:tc>
          <w:tcPr>
            <w:tcW w:w="10380" w:type="dxa"/>
            <w:vAlign w:val="bottom"/>
            <w:gridSpan w:val="30"/>
          </w:tcPr>
          <w:p>
            <w:pPr>
              <w:spacing w:after="0" w:line="195" w:lineRule="exact"/>
              <w:rPr>
                <w:rFonts w:ascii="Arial" w:cs="Arial" w:eastAsia="Arial" w:hAnsi="Arial"/>
                <w:sz w:val="18"/>
                <w:szCs w:val="18"/>
                <w:color w:val="0000EE"/>
              </w:rPr>
            </w:pPr>
            <w:hyperlink r:id="rId179">
              <w:r>
                <w:rPr>
                  <w:rFonts w:ascii="Arial" w:cs="Arial" w:eastAsia="Arial" w:hAnsi="Arial"/>
                  <w:sz w:val="18"/>
                  <w:szCs w:val="18"/>
                  <w:color w:val="0000EE"/>
                </w:rPr>
                <w:t>Regional Authority (incorporated by reference to Isle of Capri Casinos, Inc.’s Annual Report on Form 10-K filed on June 23, 2014).</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5"/>
        </w:trPr>
        <w:tc>
          <w:tcPr>
            <w:tcW w:w="1040" w:type="dxa"/>
            <w:vAlign w:val="bottom"/>
          </w:tcPr>
          <w:p>
            <w:pPr>
              <w:ind w:left="100"/>
              <w:spacing w:after="0"/>
              <w:rPr>
                <w:sz w:val="20"/>
                <w:szCs w:val="20"/>
                <w:color w:val="auto"/>
              </w:rPr>
            </w:pPr>
            <w:r>
              <w:rPr>
                <w:rFonts w:ascii="Arial" w:cs="Arial" w:eastAsia="Arial" w:hAnsi="Arial"/>
                <w:sz w:val="18"/>
                <w:szCs w:val="18"/>
                <w:color w:val="auto"/>
              </w:rPr>
              <w:t>10.69</w:t>
            </w:r>
          </w:p>
        </w:tc>
        <w:tc>
          <w:tcPr>
            <w:tcW w:w="9700" w:type="dxa"/>
            <w:vAlign w:val="bottom"/>
            <w:tcBorders>
              <w:bottom w:val="single" w:sz="8" w:color="0000EE"/>
            </w:tcBorders>
            <w:gridSpan w:val="14"/>
          </w:tcPr>
          <w:p>
            <w:pPr>
              <w:spacing w:after="0"/>
              <w:rPr>
                <w:rFonts w:ascii="Arial" w:cs="Arial" w:eastAsia="Arial" w:hAnsi="Arial"/>
                <w:sz w:val="18"/>
                <w:szCs w:val="18"/>
                <w:color w:val="0000EE"/>
                <w:w w:val="89"/>
              </w:rPr>
            </w:pPr>
            <w:hyperlink r:id="rId180">
              <w:r>
                <w:rPr>
                  <w:rFonts w:ascii="Arial" w:cs="Arial" w:eastAsia="Arial" w:hAnsi="Arial"/>
                  <w:sz w:val="18"/>
                  <w:szCs w:val="18"/>
                  <w:color w:val="0000EE"/>
                  <w:w w:val="89"/>
                </w:rPr>
                <w:t>Fourth Amendment to Operator's Contract, dated as of March 11, 2015, by and between Isle of Capri Bettendorf, L.C. and Scott County</w:t>
              </w:r>
            </w:hyperlink>
          </w:p>
        </w:tc>
        <w:tc>
          <w:tcPr>
            <w:tcW w:w="680" w:type="dxa"/>
            <w:vAlign w:val="bottom"/>
            <w:gridSpan w:val="16"/>
          </w:tcPr>
          <w:p>
            <w:pPr>
              <w:spacing w:after="0"/>
              <w:rPr>
                <w:sz w:val="24"/>
                <w:szCs w:val="24"/>
                <w:color w:val="auto"/>
              </w:rPr>
            </w:pPr>
          </w:p>
        </w:tc>
      </w:tr>
      <w:tr>
        <w:trPr>
          <w:trHeight w:val="194"/>
        </w:trPr>
        <w:tc>
          <w:tcPr>
            <w:tcW w:w="1040" w:type="dxa"/>
            <w:vAlign w:val="bottom"/>
          </w:tcPr>
          <w:p>
            <w:pPr>
              <w:spacing w:after="0"/>
              <w:rPr>
                <w:sz w:val="16"/>
                <w:szCs w:val="16"/>
                <w:color w:val="auto"/>
              </w:rPr>
            </w:pPr>
          </w:p>
        </w:tc>
        <w:tc>
          <w:tcPr>
            <w:tcW w:w="10380" w:type="dxa"/>
            <w:vAlign w:val="bottom"/>
            <w:gridSpan w:val="30"/>
          </w:tcPr>
          <w:p>
            <w:pPr>
              <w:spacing w:after="0" w:line="195" w:lineRule="exact"/>
              <w:rPr>
                <w:rFonts w:ascii="Arial" w:cs="Arial" w:eastAsia="Arial" w:hAnsi="Arial"/>
                <w:sz w:val="18"/>
                <w:szCs w:val="18"/>
                <w:color w:val="0000EE"/>
              </w:rPr>
            </w:pPr>
            <w:hyperlink r:id="rId180">
              <w:r>
                <w:rPr>
                  <w:rFonts w:ascii="Arial" w:cs="Arial" w:eastAsia="Arial" w:hAnsi="Arial"/>
                  <w:sz w:val="18"/>
                  <w:szCs w:val="18"/>
                  <w:color w:val="0000EE"/>
                </w:rPr>
                <w:t>Regional Authority (incorporated by reference to Isle of Capri Casinos, Inc.’s Annual Report on Form 10-K filed on June 17, 2015).</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5"/>
        </w:trPr>
        <w:tc>
          <w:tcPr>
            <w:tcW w:w="1040" w:type="dxa"/>
            <w:vAlign w:val="bottom"/>
          </w:tcPr>
          <w:p>
            <w:pPr>
              <w:ind w:left="100"/>
              <w:spacing w:after="0"/>
              <w:rPr>
                <w:sz w:val="20"/>
                <w:szCs w:val="20"/>
                <w:color w:val="auto"/>
              </w:rPr>
            </w:pPr>
            <w:r>
              <w:rPr>
                <w:rFonts w:ascii="Arial" w:cs="Arial" w:eastAsia="Arial" w:hAnsi="Arial"/>
                <w:sz w:val="18"/>
                <w:szCs w:val="18"/>
                <w:color w:val="auto"/>
              </w:rPr>
              <w:t>10.70</w:t>
            </w:r>
          </w:p>
        </w:tc>
        <w:tc>
          <w:tcPr>
            <w:tcW w:w="10080" w:type="dxa"/>
            <w:vAlign w:val="bottom"/>
            <w:tcBorders>
              <w:bottom w:val="single" w:sz="8" w:color="0000EE"/>
            </w:tcBorders>
            <w:gridSpan w:val="20"/>
          </w:tcPr>
          <w:p>
            <w:pPr>
              <w:spacing w:after="0"/>
              <w:rPr>
                <w:rFonts w:ascii="Arial" w:cs="Arial" w:eastAsia="Arial" w:hAnsi="Arial"/>
                <w:sz w:val="18"/>
                <w:szCs w:val="18"/>
                <w:color w:val="0000EE"/>
                <w:w w:val="88"/>
              </w:rPr>
            </w:pPr>
            <w:hyperlink r:id="rId181">
              <w:r>
                <w:rPr>
                  <w:rFonts w:ascii="Arial" w:cs="Arial" w:eastAsia="Arial" w:hAnsi="Arial"/>
                  <w:sz w:val="18"/>
                  <w:szCs w:val="18"/>
                  <w:color w:val="0000EE"/>
                  <w:w w:val="88"/>
                </w:rPr>
                <w:t>Amended and Restated Net Lease Agreement by and between Park Cattle Co. and Desert Palace, Inc. dated January 1, 2000 (incorporated by</w:t>
              </w:r>
            </w:hyperlink>
          </w:p>
        </w:tc>
        <w:tc>
          <w:tcPr>
            <w:tcW w:w="300" w:type="dxa"/>
            <w:vAlign w:val="bottom"/>
            <w:gridSpan w:val="10"/>
          </w:tcPr>
          <w:p>
            <w:pPr>
              <w:spacing w:after="0"/>
              <w:rPr>
                <w:sz w:val="24"/>
                <w:szCs w:val="24"/>
                <w:color w:val="auto"/>
              </w:rPr>
            </w:pPr>
          </w:p>
        </w:tc>
      </w:tr>
      <w:tr>
        <w:trPr>
          <w:trHeight w:val="194"/>
        </w:trPr>
        <w:tc>
          <w:tcPr>
            <w:tcW w:w="1040" w:type="dxa"/>
            <w:vAlign w:val="bottom"/>
          </w:tcPr>
          <w:p>
            <w:pPr>
              <w:spacing w:after="0"/>
              <w:rPr>
                <w:sz w:val="16"/>
                <w:szCs w:val="16"/>
                <w:color w:val="auto"/>
              </w:rPr>
            </w:pPr>
          </w:p>
        </w:tc>
        <w:tc>
          <w:tcPr>
            <w:tcW w:w="10380" w:type="dxa"/>
            <w:vAlign w:val="bottom"/>
            <w:gridSpan w:val="30"/>
          </w:tcPr>
          <w:p>
            <w:pPr>
              <w:spacing w:after="0" w:line="195" w:lineRule="exact"/>
              <w:rPr>
                <w:rFonts w:ascii="Arial" w:cs="Arial" w:eastAsia="Arial" w:hAnsi="Arial"/>
                <w:sz w:val="18"/>
                <w:szCs w:val="18"/>
                <w:color w:val="0000EE"/>
              </w:rPr>
            </w:pPr>
            <w:hyperlink r:id="rId181">
              <w:r>
                <w:rPr>
                  <w:rFonts w:ascii="Arial" w:cs="Arial" w:eastAsia="Arial" w:hAnsi="Arial"/>
                  <w:sz w:val="18"/>
                  <w:szCs w:val="18"/>
                  <w:color w:val="0000EE"/>
                </w:rPr>
                <w:t>reference to the Tropicana Entertainment, Inc.’s Current Report on Form 8-K dated March 11, 2010)</w:t>
              </w:r>
              <w:r>
                <w:rPr>
                  <w:rFonts w:ascii="Arial" w:cs="Arial" w:eastAsia="Arial" w:hAnsi="Arial"/>
                  <w:sz w:val="18"/>
                  <w:szCs w:val="18"/>
                  <w:color w:val="000000"/>
                </w:rPr>
                <w:t>.</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5"/>
        </w:trPr>
        <w:tc>
          <w:tcPr>
            <w:tcW w:w="1040" w:type="dxa"/>
            <w:vAlign w:val="bottom"/>
          </w:tcPr>
          <w:p>
            <w:pPr>
              <w:ind w:left="100"/>
              <w:spacing w:after="0"/>
              <w:rPr>
                <w:sz w:val="20"/>
                <w:szCs w:val="20"/>
                <w:color w:val="auto"/>
              </w:rPr>
            </w:pPr>
            <w:r>
              <w:rPr>
                <w:rFonts w:ascii="Arial" w:cs="Arial" w:eastAsia="Arial" w:hAnsi="Arial"/>
                <w:sz w:val="18"/>
                <w:szCs w:val="18"/>
                <w:color w:val="auto"/>
              </w:rPr>
              <w:t>10.71</w:t>
            </w:r>
          </w:p>
        </w:tc>
        <w:tc>
          <w:tcPr>
            <w:tcW w:w="10380" w:type="dxa"/>
            <w:vAlign w:val="bottom"/>
            <w:gridSpan w:val="30"/>
          </w:tcPr>
          <w:p>
            <w:pPr>
              <w:spacing w:after="0"/>
              <w:rPr>
                <w:rFonts w:ascii="Arial" w:cs="Arial" w:eastAsia="Arial" w:hAnsi="Arial"/>
                <w:sz w:val="18"/>
                <w:szCs w:val="18"/>
                <w:color w:val="0000EE"/>
                <w:w w:val="94"/>
              </w:rPr>
            </w:pPr>
            <w:hyperlink r:id="rId182">
              <w:r>
                <w:rPr>
                  <w:rFonts w:ascii="Arial" w:cs="Arial" w:eastAsia="Arial" w:hAnsi="Arial"/>
                  <w:sz w:val="18"/>
                  <w:szCs w:val="18"/>
                  <w:color w:val="0000EE"/>
                  <w:w w:val="94"/>
                </w:rPr>
                <w:t>Amendment and Reservation of Rights Regarding MontBleu dated April 2, 2008 by and between Park Cattle Co. and Columbia Properties</w:t>
              </w:r>
            </w:hyperlink>
          </w:p>
        </w:tc>
      </w:tr>
      <w:tr>
        <w:trPr>
          <w:trHeight w:val="194"/>
        </w:trPr>
        <w:tc>
          <w:tcPr>
            <w:tcW w:w="1040" w:type="dxa"/>
            <w:vAlign w:val="bottom"/>
          </w:tcPr>
          <w:p>
            <w:pPr>
              <w:spacing w:after="0"/>
              <w:rPr>
                <w:sz w:val="16"/>
                <w:szCs w:val="16"/>
                <w:color w:val="auto"/>
              </w:rPr>
            </w:pPr>
          </w:p>
        </w:tc>
        <w:tc>
          <w:tcPr>
            <w:tcW w:w="9880" w:type="dxa"/>
            <w:vAlign w:val="bottom"/>
            <w:tcBorders>
              <w:top w:val="single" w:sz="8" w:color="0000EE"/>
            </w:tcBorders>
            <w:gridSpan w:val="18"/>
          </w:tcPr>
          <w:p>
            <w:pPr>
              <w:spacing w:after="0" w:line="195" w:lineRule="exact"/>
              <w:rPr>
                <w:rFonts w:ascii="Arial" w:cs="Arial" w:eastAsia="Arial" w:hAnsi="Arial"/>
                <w:sz w:val="18"/>
                <w:szCs w:val="18"/>
                <w:color w:val="0000EE"/>
                <w:w w:val="98"/>
              </w:rPr>
            </w:pPr>
            <w:hyperlink r:id="rId182">
              <w:r>
                <w:rPr>
                  <w:rFonts w:ascii="Arial" w:cs="Arial" w:eastAsia="Arial" w:hAnsi="Arial"/>
                  <w:sz w:val="18"/>
                  <w:szCs w:val="18"/>
                  <w:color w:val="0000EE"/>
                  <w:w w:val="98"/>
                </w:rPr>
                <w:t>Tahoe, LLC (incorporated by reference to Tropicana Entertainment Inc.’s Current Report on Form 8-K dated March 11, 2010)</w:t>
              </w:r>
              <w:r>
                <w:rPr>
                  <w:rFonts w:ascii="Arial" w:cs="Arial" w:eastAsia="Arial" w:hAnsi="Arial"/>
                  <w:sz w:val="18"/>
                  <w:szCs w:val="18"/>
                  <w:color w:val="000000"/>
                  <w:w w:val="98"/>
                </w:rPr>
                <w:t>.</w:t>
              </w:r>
            </w:hyperlink>
          </w:p>
        </w:tc>
        <w:tc>
          <w:tcPr>
            <w:tcW w:w="500" w:type="dxa"/>
            <w:vAlign w:val="bottom"/>
            <w:gridSpan w:val="12"/>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5"/>
        </w:trPr>
        <w:tc>
          <w:tcPr>
            <w:tcW w:w="1040" w:type="dxa"/>
            <w:vAlign w:val="bottom"/>
          </w:tcPr>
          <w:p>
            <w:pPr>
              <w:ind w:left="100"/>
              <w:spacing w:after="0"/>
              <w:rPr>
                <w:sz w:val="20"/>
                <w:szCs w:val="20"/>
                <w:color w:val="auto"/>
              </w:rPr>
            </w:pPr>
            <w:r>
              <w:rPr>
                <w:rFonts w:ascii="Arial" w:cs="Arial" w:eastAsia="Arial" w:hAnsi="Arial"/>
                <w:sz w:val="18"/>
                <w:szCs w:val="18"/>
                <w:color w:val="auto"/>
              </w:rPr>
              <w:t>10.72</w:t>
            </w:r>
          </w:p>
        </w:tc>
        <w:tc>
          <w:tcPr>
            <w:tcW w:w="10320" w:type="dxa"/>
            <w:vAlign w:val="bottom"/>
            <w:tcBorders>
              <w:bottom w:val="single" w:sz="8" w:color="0000EE"/>
            </w:tcBorders>
            <w:gridSpan w:val="27"/>
          </w:tcPr>
          <w:p>
            <w:pPr>
              <w:spacing w:after="0"/>
              <w:rPr>
                <w:rFonts w:ascii="Arial" w:cs="Arial" w:eastAsia="Arial" w:hAnsi="Arial"/>
                <w:sz w:val="18"/>
                <w:szCs w:val="18"/>
                <w:color w:val="0000EE"/>
                <w:w w:val="89"/>
              </w:rPr>
            </w:pPr>
            <w:hyperlink r:id="rId183">
              <w:r>
                <w:rPr>
                  <w:rFonts w:ascii="Arial" w:cs="Arial" w:eastAsia="Arial" w:hAnsi="Arial"/>
                  <w:sz w:val="18"/>
                  <w:szCs w:val="18"/>
                  <w:color w:val="0000EE"/>
                  <w:w w:val="89"/>
                </w:rPr>
                <w:t>MontBleu Lease Amendment No. 2 by and between Park Cattle Co. and Columbia Properties Tahoe, LLC, dated June 12, 2009 (incorporated by</w:t>
              </w:r>
            </w:hyperlink>
          </w:p>
        </w:tc>
        <w:tc>
          <w:tcPr>
            <w:tcW w:w="60" w:type="dxa"/>
            <w:vAlign w:val="bottom"/>
            <w:gridSpan w:val="3"/>
          </w:tcPr>
          <w:p>
            <w:pPr>
              <w:spacing w:after="0"/>
              <w:rPr>
                <w:sz w:val="24"/>
                <w:szCs w:val="24"/>
                <w:color w:val="auto"/>
              </w:rPr>
            </w:pPr>
          </w:p>
        </w:tc>
      </w:tr>
      <w:tr>
        <w:trPr>
          <w:trHeight w:val="194"/>
        </w:trPr>
        <w:tc>
          <w:tcPr>
            <w:tcW w:w="1040" w:type="dxa"/>
            <w:vAlign w:val="bottom"/>
          </w:tcPr>
          <w:p>
            <w:pPr>
              <w:spacing w:after="0"/>
              <w:rPr>
                <w:sz w:val="16"/>
                <w:szCs w:val="16"/>
                <w:color w:val="auto"/>
              </w:rPr>
            </w:pPr>
          </w:p>
        </w:tc>
        <w:tc>
          <w:tcPr>
            <w:tcW w:w="10380" w:type="dxa"/>
            <w:vAlign w:val="bottom"/>
            <w:gridSpan w:val="30"/>
          </w:tcPr>
          <w:p>
            <w:pPr>
              <w:spacing w:after="0" w:line="195" w:lineRule="exact"/>
              <w:rPr>
                <w:rFonts w:ascii="Arial" w:cs="Arial" w:eastAsia="Arial" w:hAnsi="Arial"/>
                <w:sz w:val="18"/>
                <w:szCs w:val="18"/>
                <w:color w:val="0000EE"/>
              </w:rPr>
            </w:pPr>
            <w:hyperlink r:id="rId183">
              <w:r>
                <w:rPr>
                  <w:rFonts w:ascii="Arial" w:cs="Arial" w:eastAsia="Arial" w:hAnsi="Arial"/>
                  <w:sz w:val="18"/>
                  <w:szCs w:val="18"/>
                  <w:color w:val="0000EE"/>
                </w:rPr>
                <w:t>reference to Tropicana Entertainment Inc.’s Current Report on Form 8-K dated March 11, 2010)</w:t>
              </w:r>
              <w:r>
                <w:rPr>
                  <w:rFonts w:ascii="Arial" w:cs="Arial" w:eastAsia="Arial" w:hAnsi="Arial"/>
                  <w:sz w:val="18"/>
                  <w:szCs w:val="18"/>
                  <w:color w:val="000000"/>
                </w:rPr>
                <w:t>.</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r>
      <w:tr>
        <w:trPr>
          <w:trHeight w:val="315"/>
        </w:trPr>
        <w:tc>
          <w:tcPr>
            <w:tcW w:w="1040" w:type="dxa"/>
            <w:vAlign w:val="bottom"/>
          </w:tcPr>
          <w:p>
            <w:pPr>
              <w:ind w:left="100"/>
              <w:spacing w:after="0"/>
              <w:rPr>
                <w:sz w:val="20"/>
                <w:szCs w:val="20"/>
                <w:color w:val="auto"/>
              </w:rPr>
            </w:pPr>
            <w:r>
              <w:rPr>
                <w:rFonts w:ascii="Arial" w:cs="Arial" w:eastAsia="Arial" w:hAnsi="Arial"/>
                <w:sz w:val="18"/>
                <w:szCs w:val="18"/>
                <w:color w:val="auto"/>
              </w:rPr>
              <w:t>10.73</w:t>
            </w:r>
          </w:p>
        </w:tc>
        <w:tc>
          <w:tcPr>
            <w:tcW w:w="10380" w:type="dxa"/>
            <w:vAlign w:val="bottom"/>
            <w:gridSpan w:val="30"/>
          </w:tcPr>
          <w:p>
            <w:pPr>
              <w:spacing w:after="0"/>
              <w:rPr>
                <w:rFonts w:ascii="Arial" w:cs="Arial" w:eastAsia="Arial" w:hAnsi="Arial"/>
                <w:sz w:val="18"/>
                <w:szCs w:val="18"/>
                <w:color w:val="0000EE"/>
                <w:w w:val="91"/>
              </w:rPr>
            </w:pPr>
            <w:hyperlink r:id="rId184">
              <w:r>
                <w:rPr>
                  <w:rFonts w:ascii="Arial" w:cs="Arial" w:eastAsia="Arial" w:hAnsi="Arial"/>
                  <w:sz w:val="18"/>
                  <w:szCs w:val="18"/>
                  <w:color w:val="0000EE"/>
                  <w:w w:val="91"/>
                </w:rPr>
                <w:t>MontBleu Lease Amendment No. 3 by and between the Edgewood Companies and Columbia Properties Tahoe, LLC, made effective May 10,</w:t>
              </w:r>
            </w:hyperlink>
          </w:p>
        </w:tc>
      </w:tr>
      <w:tr>
        <w:trPr>
          <w:trHeight w:val="194"/>
        </w:trPr>
        <w:tc>
          <w:tcPr>
            <w:tcW w:w="1040" w:type="dxa"/>
            <w:vAlign w:val="bottom"/>
          </w:tcPr>
          <w:p>
            <w:pPr>
              <w:spacing w:after="0"/>
              <w:rPr>
                <w:sz w:val="16"/>
                <w:szCs w:val="16"/>
                <w:color w:val="auto"/>
              </w:rPr>
            </w:pPr>
          </w:p>
        </w:tc>
        <w:tc>
          <w:tcPr>
            <w:tcW w:w="10120" w:type="dxa"/>
            <w:vAlign w:val="bottom"/>
            <w:tcBorders>
              <w:top w:val="single" w:sz="8" w:color="0000EE"/>
            </w:tcBorders>
            <w:gridSpan w:val="21"/>
          </w:tcPr>
          <w:p>
            <w:pPr>
              <w:spacing w:after="0" w:line="195" w:lineRule="exact"/>
              <w:rPr>
                <w:rFonts w:ascii="Arial" w:cs="Arial" w:eastAsia="Arial" w:hAnsi="Arial"/>
                <w:sz w:val="18"/>
                <w:szCs w:val="18"/>
                <w:color w:val="0000EE"/>
                <w:w w:val="93"/>
              </w:rPr>
            </w:pPr>
            <w:hyperlink r:id="rId184">
              <w:r>
                <w:rPr>
                  <w:rFonts w:ascii="Arial" w:cs="Arial" w:eastAsia="Arial" w:hAnsi="Arial"/>
                  <w:sz w:val="18"/>
                  <w:szCs w:val="18"/>
                  <w:color w:val="0000EE"/>
                  <w:w w:val="93"/>
                </w:rPr>
                <w:t>2010 (incorporated by reference to Tropicana Entertainment Inc.’s Quarterly Report on Form 10-Q for the quarter ended June 30, 2010)</w:t>
              </w:r>
              <w:r>
                <w:rPr>
                  <w:rFonts w:ascii="Arial" w:cs="Arial" w:eastAsia="Arial" w:hAnsi="Arial"/>
                  <w:sz w:val="18"/>
                  <w:szCs w:val="18"/>
                  <w:color w:val="000000"/>
                  <w:w w:val="93"/>
                </w:rPr>
                <w:t>.</w:t>
              </w:r>
            </w:hyperlink>
          </w:p>
        </w:tc>
        <w:tc>
          <w:tcPr>
            <w:tcW w:w="260" w:type="dxa"/>
            <w:vAlign w:val="bottom"/>
            <w:gridSpan w:val="9"/>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820" w:type="dxa"/>
            <w:vAlign w:val="bottom"/>
            <w:gridSpan w:val="7"/>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r>
      <w:tr>
        <w:trPr>
          <w:trHeight w:val="315"/>
        </w:trPr>
        <w:tc>
          <w:tcPr>
            <w:tcW w:w="1040" w:type="dxa"/>
            <w:vAlign w:val="bottom"/>
          </w:tcPr>
          <w:p>
            <w:pPr>
              <w:ind w:left="100"/>
              <w:spacing w:after="0"/>
              <w:rPr>
                <w:sz w:val="20"/>
                <w:szCs w:val="20"/>
                <w:color w:val="auto"/>
              </w:rPr>
            </w:pPr>
            <w:r>
              <w:rPr>
                <w:rFonts w:ascii="Arial" w:cs="Arial" w:eastAsia="Arial" w:hAnsi="Arial"/>
                <w:sz w:val="18"/>
                <w:szCs w:val="18"/>
                <w:color w:val="auto"/>
              </w:rPr>
              <w:t>10.74</w:t>
            </w:r>
          </w:p>
        </w:tc>
        <w:tc>
          <w:tcPr>
            <w:tcW w:w="10140" w:type="dxa"/>
            <w:vAlign w:val="bottom"/>
            <w:tcBorders>
              <w:bottom w:val="single" w:sz="8" w:color="0000EE"/>
            </w:tcBorders>
            <w:gridSpan w:val="22"/>
          </w:tcPr>
          <w:p>
            <w:pPr>
              <w:spacing w:after="0"/>
              <w:rPr>
                <w:rFonts w:ascii="Arial" w:cs="Arial" w:eastAsia="Arial" w:hAnsi="Arial"/>
                <w:sz w:val="18"/>
                <w:szCs w:val="18"/>
                <w:color w:val="0000EE"/>
                <w:w w:val="89"/>
              </w:rPr>
            </w:pPr>
            <w:hyperlink r:id="rId185">
              <w:r>
                <w:rPr>
                  <w:rFonts w:ascii="Arial" w:cs="Arial" w:eastAsia="Arial" w:hAnsi="Arial"/>
                  <w:sz w:val="18"/>
                  <w:szCs w:val="18"/>
                  <w:color w:val="0000EE"/>
                  <w:w w:val="89"/>
                </w:rPr>
                <w:t>MontBleu Lease Amendment No. 4 by and between the Edgewood Companies, a Nevada corporation formerly known as Park Cattle Co., and</w:t>
              </w:r>
            </w:hyperlink>
          </w:p>
        </w:tc>
        <w:tc>
          <w:tcPr>
            <w:tcW w:w="240" w:type="dxa"/>
            <w:vAlign w:val="bottom"/>
            <w:gridSpan w:val="8"/>
          </w:tcPr>
          <w:p>
            <w:pPr>
              <w:spacing w:after="0"/>
              <w:rPr>
                <w:sz w:val="24"/>
                <w:szCs w:val="24"/>
                <w:color w:val="auto"/>
              </w:rPr>
            </w:pPr>
          </w:p>
        </w:tc>
      </w:tr>
      <w:tr>
        <w:trPr>
          <w:trHeight w:val="194"/>
        </w:trPr>
        <w:tc>
          <w:tcPr>
            <w:tcW w:w="1040" w:type="dxa"/>
            <w:vAlign w:val="bottom"/>
          </w:tcPr>
          <w:p>
            <w:pPr>
              <w:spacing w:after="0"/>
              <w:rPr>
                <w:sz w:val="16"/>
                <w:szCs w:val="16"/>
                <w:color w:val="auto"/>
              </w:rPr>
            </w:pPr>
          </w:p>
        </w:tc>
        <w:tc>
          <w:tcPr>
            <w:tcW w:w="9860" w:type="dxa"/>
            <w:vAlign w:val="bottom"/>
            <w:tcBorders>
              <w:bottom w:val="single" w:sz="8" w:color="0000EE"/>
            </w:tcBorders>
            <w:gridSpan w:val="17"/>
          </w:tcPr>
          <w:p>
            <w:pPr>
              <w:spacing w:after="0" w:line="195" w:lineRule="exact"/>
              <w:rPr>
                <w:rFonts w:ascii="Arial" w:cs="Arial" w:eastAsia="Arial" w:hAnsi="Arial"/>
                <w:sz w:val="18"/>
                <w:szCs w:val="18"/>
                <w:color w:val="0000EE"/>
                <w:w w:val="90"/>
              </w:rPr>
            </w:pPr>
            <w:hyperlink r:id="rId185">
              <w:r>
                <w:rPr>
                  <w:rFonts w:ascii="Arial" w:cs="Arial" w:eastAsia="Arial" w:hAnsi="Arial"/>
                  <w:sz w:val="18"/>
                  <w:szCs w:val="18"/>
                  <w:color w:val="0000EE"/>
                  <w:w w:val="90"/>
                </w:rPr>
                <w:t>Columbia Properties Tahoe, LLC, made effective October 1, 2014 (incorporated by reference to Tropicana Entertainment Inc.’s Quarterly</w:t>
              </w:r>
            </w:hyperlink>
          </w:p>
        </w:tc>
        <w:tc>
          <w:tcPr>
            <w:tcW w:w="520" w:type="dxa"/>
            <w:vAlign w:val="bottom"/>
            <w:gridSpan w:val="13"/>
          </w:tcPr>
          <w:p>
            <w:pPr>
              <w:spacing w:after="0"/>
              <w:rPr>
                <w:sz w:val="16"/>
                <w:szCs w:val="16"/>
                <w:color w:val="auto"/>
              </w:rPr>
            </w:pPr>
          </w:p>
        </w:tc>
      </w:tr>
      <w:tr>
        <w:trPr>
          <w:trHeight w:val="194"/>
        </w:trPr>
        <w:tc>
          <w:tcPr>
            <w:tcW w:w="1040" w:type="dxa"/>
            <w:vAlign w:val="bottom"/>
          </w:tcPr>
          <w:p>
            <w:pPr>
              <w:spacing w:after="0"/>
              <w:rPr>
                <w:sz w:val="16"/>
                <w:szCs w:val="16"/>
                <w:color w:val="auto"/>
              </w:rPr>
            </w:pPr>
          </w:p>
        </w:tc>
        <w:tc>
          <w:tcPr>
            <w:tcW w:w="10380" w:type="dxa"/>
            <w:vAlign w:val="bottom"/>
            <w:gridSpan w:val="30"/>
          </w:tcPr>
          <w:p>
            <w:pPr>
              <w:spacing w:after="0" w:line="195" w:lineRule="exact"/>
              <w:rPr>
                <w:rFonts w:ascii="Arial" w:cs="Arial" w:eastAsia="Arial" w:hAnsi="Arial"/>
                <w:sz w:val="18"/>
                <w:szCs w:val="18"/>
                <w:color w:val="0000EE"/>
              </w:rPr>
            </w:pPr>
            <w:hyperlink r:id="rId185">
              <w:r>
                <w:rPr>
                  <w:rFonts w:ascii="Arial" w:cs="Arial" w:eastAsia="Arial" w:hAnsi="Arial"/>
                  <w:sz w:val="18"/>
                  <w:szCs w:val="18"/>
                  <w:color w:val="0000EE"/>
                </w:rPr>
                <w:t>Report on Form 10-Q for the quarter ended September 30, 2014)</w:t>
              </w:r>
              <w:r>
                <w:rPr>
                  <w:rFonts w:ascii="Arial" w:cs="Arial" w:eastAsia="Arial" w:hAnsi="Arial"/>
                  <w:sz w:val="18"/>
                  <w:szCs w:val="18"/>
                  <w:color w:val="000000"/>
                </w:rPr>
                <w:t>.</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480" w:type="dxa"/>
            <w:vAlign w:val="bottom"/>
            <w:gridSpan w:val="22"/>
          </w:tcPr>
          <w:p>
            <w:pPr>
              <w:spacing w:after="0" w:line="20" w:lineRule="exact"/>
              <w:rPr>
                <w:sz w:val="1"/>
                <w:szCs w:val="1"/>
                <w:color w:val="auto"/>
              </w:rPr>
            </w:pPr>
          </w:p>
        </w:tc>
      </w:tr>
      <w:tr>
        <w:trPr>
          <w:trHeight w:val="315"/>
        </w:trPr>
        <w:tc>
          <w:tcPr>
            <w:tcW w:w="1040" w:type="dxa"/>
            <w:vAlign w:val="bottom"/>
          </w:tcPr>
          <w:p>
            <w:pPr>
              <w:ind w:left="100"/>
              <w:spacing w:after="0"/>
              <w:rPr>
                <w:sz w:val="20"/>
                <w:szCs w:val="20"/>
                <w:color w:val="auto"/>
              </w:rPr>
            </w:pPr>
            <w:r>
              <w:rPr>
                <w:rFonts w:ascii="Arial" w:cs="Arial" w:eastAsia="Arial" w:hAnsi="Arial"/>
                <w:sz w:val="18"/>
                <w:szCs w:val="18"/>
                <w:color w:val="auto"/>
              </w:rPr>
              <w:t>10.75</w:t>
            </w:r>
          </w:p>
        </w:tc>
        <w:tc>
          <w:tcPr>
            <w:tcW w:w="1014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165">
              <w:r>
                <w:rPr>
                  <w:rFonts w:ascii="Arial" w:cs="Arial" w:eastAsia="Arial" w:hAnsi="Arial"/>
                  <w:sz w:val="18"/>
                  <w:szCs w:val="18"/>
                  <w:color w:val="0000EE"/>
                  <w:w w:val="89"/>
                </w:rPr>
                <w:t>MontBleu Lease Amendment No. 5 by and between the Edgewood Companies, a Nevada corporation formerly known as Park Cattle Co., and</w:t>
              </w:r>
            </w:hyperlink>
          </w:p>
        </w:tc>
        <w:tc>
          <w:tcPr>
            <w:tcW w:w="240" w:type="dxa"/>
            <w:vAlign w:val="bottom"/>
            <w:gridSpan w:val="8"/>
          </w:tcPr>
          <w:p>
            <w:pPr>
              <w:spacing w:after="0"/>
              <w:rPr>
                <w:sz w:val="24"/>
                <w:szCs w:val="24"/>
                <w:color w:val="auto"/>
              </w:rPr>
            </w:pPr>
          </w:p>
        </w:tc>
      </w:tr>
      <w:tr>
        <w:trPr>
          <w:trHeight w:val="194"/>
        </w:trPr>
        <w:tc>
          <w:tcPr>
            <w:tcW w:w="1040" w:type="dxa"/>
            <w:vAlign w:val="bottom"/>
          </w:tcPr>
          <w:p>
            <w:pPr>
              <w:spacing w:after="0"/>
              <w:rPr>
                <w:sz w:val="16"/>
                <w:szCs w:val="16"/>
                <w:color w:val="auto"/>
              </w:rPr>
            </w:pPr>
          </w:p>
        </w:tc>
        <w:tc>
          <w:tcPr>
            <w:tcW w:w="5900" w:type="dxa"/>
            <w:vAlign w:val="bottom"/>
            <w:tcBorders>
              <w:bottom w:val="single" w:sz="8" w:color="0000EE"/>
            </w:tcBorders>
            <w:gridSpan w:val="8"/>
          </w:tcPr>
          <w:p>
            <w:pPr>
              <w:spacing w:after="0" w:line="195" w:lineRule="exact"/>
              <w:rPr>
                <w:rFonts w:ascii="Arial" w:cs="Arial" w:eastAsia="Arial" w:hAnsi="Arial"/>
                <w:sz w:val="18"/>
                <w:szCs w:val="18"/>
                <w:color w:val="0000EE"/>
                <w:w w:val="90"/>
              </w:rPr>
            </w:pPr>
            <w:hyperlink w:anchor="page165">
              <w:r>
                <w:rPr>
                  <w:rFonts w:ascii="Arial" w:cs="Arial" w:eastAsia="Arial" w:hAnsi="Arial"/>
                  <w:sz w:val="18"/>
                  <w:szCs w:val="18"/>
                  <w:color w:val="0000EE"/>
                  <w:w w:val="90"/>
                </w:rPr>
                <w:t>Columbia Properties Tahoe, LLC, made effective January 1, 2020 (filed herewith).</w:t>
              </w:r>
            </w:hyperlink>
          </w:p>
        </w:tc>
        <w:tc>
          <w:tcPr>
            <w:tcW w:w="4480" w:type="dxa"/>
            <w:vAlign w:val="bottom"/>
            <w:gridSpan w:val="22"/>
          </w:tcPr>
          <w:p>
            <w:pPr>
              <w:spacing w:after="0"/>
              <w:rPr>
                <w:sz w:val="16"/>
                <w:szCs w:val="16"/>
                <w:color w:val="auto"/>
              </w:rPr>
            </w:pPr>
          </w:p>
        </w:tc>
      </w:tr>
      <w:tr>
        <w:trPr>
          <w:trHeight w:val="315"/>
        </w:trPr>
        <w:tc>
          <w:tcPr>
            <w:tcW w:w="1040" w:type="dxa"/>
            <w:vAlign w:val="bottom"/>
          </w:tcPr>
          <w:p>
            <w:pPr>
              <w:ind w:left="100"/>
              <w:spacing w:after="0"/>
              <w:rPr>
                <w:sz w:val="20"/>
                <w:szCs w:val="20"/>
                <w:color w:val="auto"/>
              </w:rPr>
            </w:pPr>
            <w:r>
              <w:rPr>
                <w:rFonts w:ascii="Arial" w:cs="Arial" w:eastAsia="Arial" w:hAnsi="Arial"/>
                <w:sz w:val="18"/>
                <w:szCs w:val="18"/>
                <w:color w:val="auto"/>
              </w:rPr>
              <w:t>21.1</w:t>
            </w:r>
          </w:p>
        </w:tc>
        <w:tc>
          <w:tcPr>
            <w:tcW w:w="10380" w:type="dxa"/>
            <w:vAlign w:val="bottom"/>
            <w:gridSpan w:val="30"/>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Subsidiaries of the Registrant (filed herewith).</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20" w:type="dxa"/>
            <w:vAlign w:val="bottom"/>
            <w:gridSpan w:val="26"/>
          </w:tcPr>
          <w:p>
            <w:pPr>
              <w:spacing w:after="0" w:line="20" w:lineRule="exact"/>
              <w:rPr>
                <w:sz w:val="1"/>
                <w:szCs w:val="1"/>
                <w:color w:val="auto"/>
              </w:rPr>
            </w:pPr>
          </w:p>
        </w:tc>
      </w:tr>
      <w:tr>
        <w:trPr>
          <w:trHeight w:val="315"/>
        </w:trPr>
        <w:tc>
          <w:tcPr>
            <w:tcW w:w="1040" w:type="dxa"/>
            <w:vAlign w:val="bottom"/>
          </w:tcPr>
          <w:p>
            <w:pPr>
              <w:ind w:left="100"/>
              <w:spacing w:after="0"/>
              <w:rPr>
                <w:sz w:val="20"/>
                <w:szCs w:val="20"/>
                <w:color w:val="auto"/>
              </w:rPr>
            </w:pPr>
            <w:r>
              <w:rPr>
                <w:rFonts w:ascii="Arial" w:cs="Arial" w:eastAsia="Arial" w:hAnsi="Arial"/>
                <w:sz w:val="18"/>
                <w:szCs w:val="18"/>
                <w:color w:val="auto"/>
              </w:rPr>
              <w:t>23.1</w:t>
            </w:r>
          </w:p>
        </w:tc>
        <w:tc>
          <w:tcPr>
            <w:tcW w:w="34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72">
              <w:r>
                <w:rPr>
                  <w:rFonts w:ascii="Arial" w:cs="Arial" w:eastAsia="Arial" w:hAnsi="Arial"/>
                  <w:sz w:val="18"/>
                  <w:szCs w:val="18"/>
                  <w:color w:val="0000EE"/>
                  <w:w w:val="92"/>
                </w:rPr>
                <w:t>Consent of Ernst &amp; Young LLP (filed herewith).</w:t>
              </w:r>
            </w:hyperlink>
          </w:p>
        </w:tc>
        <w:tc>
          <w:tcPr>
            <w:tcW w:w="6920" w:type="dxa"/>
            <w:vAlign w:val="bottom"/>
            <w:gridSpan w:val="26"/>
          </w:tcPr>
          <w:p>
            <w:pPr>
              <w:spacing w:after="0"/>
              <w:rPr>
                <w:sz w:val="24"/>
                <w:szCs w:val="24"/>
                <w:color w:val="auto"/>
              </w:rPr>
            </w:pPr>
          </w:p>
        </w:tc>
      </w:tr>
      <w:tr>
        <w:trPr>
          <w:trHeight w:val="567"/>
        </w:trPr>
        <w:tc>
          <w:tcPr>
            <w:tcW w:w="1040" w:type="dxa"/>
            <w:vAlign w:val="bottom"/>
          </w:tcPr>
          <w:p>
            <w:pPr>
              <w:spacing w:after="0"/>
              <w:rPr>
                <w:sz w:val="24"/>
                <w:szCs w:val="24"/>
                <w:color w:val="auto"/>
              </w:rPr>
            </w:pPr>
          </w:p>
        </w:tc>
        <w:tc>
          <w:tcPr>
            <w:tcW w:w="5380" w:type="dxa"/>
            <w:vAlign w:val="bottom"/>
            <w:gridSpan w:val="6"/>
          </w:tcPr>
          <w:p>
            <w:pPr>
              <w:ind w:left="4580"/>
              <w:spacing w:after="0"/>
              <w:rPr>
                <w:sz w:val="20"/>
                <w:szCs w:val="20"/>
                <w:color w:val="auto"/>
              </w:rPr>
            </w:pPr>
            <w:r>
              <w:rPr>
                <w:rFonts w:ascii="Arial" w:cs="Arial" w:eastAsia="Arial" w:hAnsi="Arial"/>
                <w:sz w:val="18"/>
                <w:szCs w:val="18"/>
                <w:color w:val="auto"/>
              </w:rPr>
              <w:t>83</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7231380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551"/>
              <w:spacing w:after="0"/>
              <w:rPr>
                <w:sz w:val="20"/>
                <w:szCs w:val="20"/>
                <w:color w:val="auto"/>
              </w:rPr>
            </w:pPr>
            <w:r>
              <w:rPr>
                <w:rFonts w:ascii="Arial" w:cs="Arial" w:eastAsia="Arial" w:hAnsi="Arial"/>
                <w:sz w:val="18"/>
                <w:szCs w:val="18"/>
                <w:color w:val="auto"/>
              </w:rPr>
              <w:t>31.1</w:t>
            </w:r>
          </w:p>
        </w:tc>
        <w:tc>
          <w:tcPr>
            <w:tcW w:w="6800" w:type="dxa"/>
            <w:vAlign w:val="bottom"/>
            <w:tcBorders>
              <w:bottom w:val="single" w:sz="8" w:color="0000EE"/>
            </w:tcBorders>
            <w:gridSpan w:val="5"/>
          </w:tcPr>
          <w:p>
            <w:pPr>
              <w:spacing w:after="0" w:line="207" w:lineRule="exact"/>
              <w:rPr>
                <w:rFonts w:ascii="Arial" w:cs="Arial" w:eastAsia="Arial" w:hAnsi="Arial"/>
                <w:sz w:val="18"/>
                <w:szCs w:val="18"/>
                <w:color w:val="0000EE"/>
                <w:w w:val="90"/>
              </w:rPr>
            </w:pPr>
            <w:hyperlink w:anchor="page173">
              <w:r>
                <w:rPr>
                  <w:rFonts w:ascii="Arial" w:cs="Arial" w:eastAsia="Arial" w:hAnsi="Arial"/>
                  <w:sz w:val="18"/>
                  <w:szCs w:val="18"/>
                  <w:color w:val="0000EE"/>
                  <w:w w:val="90"/>
                </w:rPr>
                <w:t>Certification of Thomas R. Reeg pursuant to Rule 13a</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and Rule 15d</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(filed herewith).</w:t>
              </w:r>
            </w:hyperlink>
          </w:p>
        </w:tc>
      </w:tr>
      <w:tr>
        <w:trPr>
          <w:trHeight w:val="315"/>
        </w:trPr>
        <w:tc>
          <w:tcPr>
            <w:tcW w:w="1040" w:type="dxa"/>
            <w:vAlign w:val="bottom"/>
          </w:tcPr>
          <w:p>
            <w:pPr>
              <w:jc w:val="right"/>
              <w:ind w:right="551"/>
              <w:spacing w:after="0"/>
              <w:rPr>
                <w:sz w:val="20"/>
                <w:szCs w:val="20"/>
                <w:color w:val="auto"/>
              </w:rPr>
            </w:pPr>
            <w:r>
              <w:rPr>
                <w:rFonts w:ascii="Arial" w:cs="Arial" w:eastAsia="Arial" w:hAnsi="Arial"/>
                <w:sz w:val="18"/>
                <w:szCs w:val="18"/>
                <w:color w:val="auto"/>
              </w:rPr>
              <w:t>31.2</w:t>
            </w:r>
          </w:p>
        </w:tc>
        <w:tc>
          <w:tcPr>
            <w:tcW w:w="6800" w:type="dxa"/>
            <w:vAlign w:val="bottom"/>
            <w:gridSpan w:val="5"/>
          </w:tcPr>
          <w:p>
            <w:pPr>
              <w:spacing w:after="0" w:line="207" w:lineRule="exact"/>
              <w:rPr>
                <w:rFonts w:ascii="Arial" w:cs="Arial" w:eastAsia="Arial" w:hAnsi="Arial"/>
                <w:sz w:val="18"/>
                <w:szCs w:val="18"/>
                <w:color w:val="0000EE"/>
                <w:w w:val="95"/>
              </w:rPr>
            </w:pPr>
            <w:hyperlink w:anchor="page174">
              <w:r>
                <w:rPr>
                  <w:rFonts w:ascii="Arial" w:cs="Arial" w:eastAsia="Arial" w:hAnsi="Arial"/>
                  <w:sz w:val="18"/>
                  <w:szCs w:val="18"/>
                  <w:color w:val="0000EE"/>
                  <w:w w:val="95"/>
                </w:rPr>
                <w:t>Certification of Bret Yunker pursuant to Rule 13a</w:t>
              </w:r>
              <w:r>
                <w:rPr>
                  <w:rFonts w:ascii="MS PGothic" w:cs="MS PGothic" w:eastAsia="MS PGothic" w:hAnsi="MS PGothic"/>
                  <w:sz w:val="18"/>
                  <w:szCs w:val="18"/>
                  <w:color w:val="0000EE"/>
                  <w:w w:val="95"/>
                </w:rPr>
                <w:t>‑</w:t>
              </w:r>
              <w:r>
                <w:rPr>
                  <w:rFonts w:ascii="Arial" w:cs="Arial" w:eastAsia="Arial" w:hAnsi="Arial"/>
                  <w:sz w:val="18"/>
                  <w:szCs w:val="18"/>
                  <w:color w:val="0000EE"/>
                  <w:w w:val="95"/>
                </w:rPr>
                <w:t>14a and Rule 15d</w:t>
              </w:r>
              <w:r>
                <w:rPr>
                  <w:rFonts w:ascii="MS PGothic" w:cs="MS PGothic" w:eastAsia="MS PGothic" w:hAnsi="MS PGothic"/>
                  <w:sz w:val="18"/>
                  <w:szCs w:val="18"/>
                  <w:color w:val="0000EE"/>
                  <w:w w:val="95"/>
                </w:rPr>
                <w:t>‑</w:t>
              </w:r>
              <w:r>
                <w:rPr>
                  <w:rFonts w:ascii="Arial" w:cs="Arial" w:eastAsia="Arial" w:hAnsi="Arial"/>
                  <w:sz w:val="18"/>
                  <w:szCs w:val="18"/>
                  <w:color w:val="0000EE"/>
                  <w:w w:val="95"/>
                </w:rPr>
                <w:t>14(a) (filed herewith).</w:t>
              </w:r>
            </w:hyperlink>
          </w:p>
        </w:tc>
      </w:tr>
      <w:tr>
        <w:trPr>
          <w:trHeight w:val="20"/>
        </w:trPr>
        <w:tc>
          <w:tcPr>
            <w:tcW w:w="1040" w:type="dxa"/>
            <w:vAlign w:val="bottom"/>
          </w:tcPr>
          <w:p>
            <w:pPr>
              <w:spacing w:after="0" w:line="20" w:lineRule="exact"/>
              <w:rPr>
                <w:sz w:val="1"/>
                <w:szCs w:val="1"/>
                <w:color w:val="auto"/>
              </w:rPr>
            </w:pPr>
          </w:p>
        </w:tc>
        <w:tc>
          <w:tcPr>
            <w:tcW w:w="52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5"/>
        </w:trPr>
        <w:tc>
          <w:tcPr>
            <w:tcW w:w="1040" w:type="dxa"/>
            <w:vAlign w:val="bottom"/>
          </w:tcPr>
          <w:p>
            <w:pPr>
              <w:jc w:val="right"/>
              <w:ind w:right="551"/>
              <w:spacing w:after="0"/>
              <w:rPr>
                <w:sz w:val="20"/>
                <w:szCs w:val="20"/>
                <w:color w:val="auto"/>
              </w:rPr>
            </w:pPr>
            <w:r>
              <w:rPr>
                <w:rFonts w:ascii="Arial" w:cs="Arial" w:eastAsia="Arial" w:hAnsi="Arial"/>
                <w:sz w:val="18"/>
                <w:szCs w:val="18"/>
                <w:color w:val="auto"/>
              </w:rPr>
              <w:t>32.1</w:t>
            </w:r>
          </w:p>
        </w:tc>
        <w:tc>
          <w:tcPr>
            <w:tcW w:w="66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75">
              <w:r>
                <w:rPr>
                  <w:rFonts w:ascii="Arial" w:cs="Arial" w:eastAsia="Arial" w:hAnsi="Arial"/>
                  <w:sz w:val="18"/>
                  <w:szCs w:val="18"/>
                  <w:color w:val="0000EE"/>
                  <w:w w:val="90"/>
                </w:rPr>
                <w:t>Certification of Thomas R. Reeg in accordance with 18 U.S.C. Section 1350 (filed herewith).</w:t>
              </w:r>
            </w:hyperlink>
          </w:p>
        </w:tc>
        <w:tc>
          <w:tcPr>
            <w:tcW w:w="140" w:type="dxa"/>
            <w:vAlign w:val="bottom"/>
          </w:tcPr>
          <w:p>
            <w:pPr>
              <w:spacing w:after="0"/>
              <w:rPr>
                <w:sz w:val="24"/>
                <w:szCs w:val="24"/>
                <w:color w:val="auto"/>
              </w:rPr>
            </w:pPr>
          </w:p>
        </w:tc>
      </w:tr>
      <w:tr>
        <w:trPr>
          <w:trHeight w:val="315"/>
        </w:trPr>
        <w:tc>
          <w:tcPr>
            <w:tcW w:w="1040" w:type="dxa"/>
            <w:vAlign w:val="bottom"/>
          </w:tcPr>
          <w:p>
            <w:pPr>
              <w:jc w:val="right"/>
              <w:ind w:right="551"/>
              <w:spacing w:after="0"/>
              <w:rPr>
                <w:sz w:val="20"/>
                <w:szCs w:val="20"/>
                <w:color w:val="auto"/>
              </w:rPr>
            </w:pPr>
            <w:r>
              <w:rPr>
                <w:rFonts w:ascii="Arial" w:cs="Arial" w:eastAsia="Arial" w:hAnsi="Arial"/>
                <w:sz w:val="18"/>
                <w:szCs w:val="18"/>
                <w:color w:val="auto"/>
              </w:rPr>
              <w:t>32.2</w:t>
            </w:r>
          </w:p>
        </w:tc>
        <w:tc>
          <w:tcPr>
            <w:tcW w:w="6800" w:type="dxa"/>
            <w:vAlign w:val="bottom"/>
            <w:gridSpan w:val="5"/>
          </w:tcPr>
          <w:p>
            <w:pPr>
              <w:spacing w:after="0"/>
              <w:rPr>
                <w:rFonts w:ascii="Arial" w:cs="Arial" w:eastAsia="Arial" w:hAnsi="Arial"/>
                <w:sz w:val="18"/>
                <w:szCs w:val="18"/>
                <w:color w:val="0000EE"/>
                <w:w w:val="98"/>
              </w:rPr>
            </w:pPr>
            <w:hyperlink w:anchor="page176">
              <w:r>
                <w:rPr>
                  <w:rFonts w:ascii="Arial" w:cs="Arial" w:eastAsia="Arial" w:hAnsi="Arial"/>
                  <w:sz w:val="18"/>
                  <w:szCs w:val="18"/>
                  <w:color w:val="0000EE"/>
                  <w:w w:val="98"/>
                </w:rPr>
                <w:t>Certification of Bret Yunker in accordance with 18 U.S.C. Section 1350 (filed herewith).</w:t>
              </w:r>
            </w:hyperlink>
          </w:p>
        </w:tc>
      </w:tr>
      <w:tr>
        <w:trPr>
          <w:trHeight w:val="315"/>
        </w:trPr>
        <w:tc>
          <w:tcPr>
            <w:tcW w:w="1040" w:type="dxa"/>
            <w:vAlign w:val="bottom"/>
          </w:tcPr>
          <w:p>
            <w:pPr>
              <w:jc w:val="right"/>
              <w:ind w:right="551"/>
              <w:spacing w:after="0"/>
              <w:rPr>
                <w:sz w:val="20"/>
                <w:szCs w:val="20"/>
                <w:color w:val="auto"/>
              </w:rPr>
            </w:pPr>
            <w:r>
              <w:rPr>
                <w:rFonts w:ascii="Arial" w:cs="Arial" w:eastAsia="Arial" w:hAnsi="Arial"/>
                <w:sz w:val="18"/>
                <w:szCs w:val="18"/>
                <w:color w:val="auto"/>
              </w:rPr>
              <w:t>99.1</w:t>
            </w:r>
          </w:p>
        </w:tc>
        <w:tc>
          <w:tcPr>
            <w:tcW w:w="524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177">
              <w:r>
                <w:rPr>
                  <w:rFonts w:ascii="Arial" w:cs="Arial" w:eastAsia="Arial" w:hAnsi="Arial"/>
                  <w:sz w:val="18"/>
                  <w:szCs w:val="18"/>
                  <w:color w:val="0000EE"/>
                  <w:w w:val="91"/>
                </w:rPr>
                <w:t>Description of Governmental Regulations and Licensing (filed herewith).</w:t>
              </w:r>
            </w:hyperlink>
          </w:p>
        </w:tc>
        <w:tc>
          <w:tcPr>
            <w:tcW w:w="1080" w:type="dxa"/>
            <w:vAlign w:val="bottom"/>
            <w:tcBorders>
              <w:top w:val="single" w:sz="8" w:color="0000EE"/>
            </w:tcBorders>
          </w:tcPr>
          <w:p>
            <w:pPr>
              <w:spacing w:after="0"/>
              <w:rPr>
                <w:sz w:val="24"/>
                <w:szCs w:val="24"/>
                <w:color w:val="auto"/>
              </w:rPr>
            </w:pPr>
          </w:p>
        </w:tc>
        <w:tc>
          <w:tcPr>
            <w:tcW w:w="480" w:type="dxa"/>
            <w:vAlign w:val="bottom"/>
            <w:gridSpan w:val="3"/>
          </w:tcPr>
          <w:p>
            <w:pPr>
              <w:spacing w:after="0"/>
              <w:rPr>
                <w:sz w:val="24"/>
                <w:szCs w:val="24"/>
                <w:color w:val="auto"/>
              </w:rPr>
            </w:pPr>
          </w:p>
        </w:tc>
      </w:tr>
      <w:tr>
        <w:trPr>
          <w:trHeight w:val="353"/>
        </w:trPr>
        <w:tc>
          <w:tcPr>
            <w:tcW w:w="1040" w:type="dxa"/>
            <w:vAlign w:val="bottom"/>
          </w:tcPr>
          <w:p>
            <w:pPr>
              <w:jc w:val="right"/>
              <w:ind w:right="551"/>
              <w:spacing w:after="0"/>
              <w:rPr>
                <w:sz w:val="20"/>
                <w:szCs w:val="20"/>
                <w:color w:val="auto"/>
              </w:rPr>
            </w:pPr>
            <w:r>
              <w:rPr>
                <w:rFonts w:ascii="Arial" w:cs="Arial" w:eastAsia="Arial" w:hAnsi="Arial"/>
                <w:sz w:val="18"/>
                <w:szCs w:val="18"/>
                <w:color w:val="auto"/>
                <w:w w:val="84"/>
              </w:rPr>
              <w:t>101.1</w:t>
            </w:r>
          </w:p>
        </w:tc>
        <w:tc>
          <w:tcPr>
            <w:tcW w:w="6800" w:type="dxa"/>
            <w:vAlign w:val="bottom"/>
            <w:gridSpan w:val="5"/>
          </w:tcPr>
          <w:p>
            <w:pPr>
              <w:spacing w:after="0"/>
              <w:rPr>
                <w:sz w:val="20"/>
                <w:szCs w:val="20"/>
                <w:color w:val="auto"/>
              </w:rPr>
            </w:pPr>
            <w:r>
              <w:rPr>
                <w:rFonts w:ascii="Arial" w:cs="Arial" w:eastAsia="Arial" w:hAnsi="Arial"/>
                <w:sz w:val="18"/>
                <w:szCs w:val="18"/>
                <w:color w:val="auto"/>
              </w:rPr>
              <w:t>Inline XBRL Instance Document</w:t>
            </w:r>
          </w:p>
        </w:tc>
      </w:tr>
      <w:tr>
        <w:trPr>
          <w:trHeight w:val="335"/>
        </w:trPr>
        <w:tc>
          <w:tcPr>
            <w:tcW w:w="1040" w:type="dxa"/>
            <w:vAlign w:val="bottom"/>
          </w:tcPr>
          <w:p>
            <w:pPr>
              <w:jc w:val="right"/>
              <w:ind w:right="551"/>
              <w:spacing w:after="0"/>
              <w:rPr>
                <w:sz w:val="20"/>
                <w:szCs w:val="20"/>
                <w:color w:val="auto"/>
              </w:rPr>
            </w:pPr>
            <w:r>
              <w:rPr>
                <w:rFonts w:ascii="Arial" w:cs="Arial" w:eastAsia="Arial" w:hAnsi="Arial"/>
                <w:sz w:val="18"/>
                <w:szCs w:val="18"/>
                <w:color w:val="auto"/>
                <w:w w:val="84"/>
              </w:rPr>
              <w:t>101.2</w:t>
            </w:r>
          </w:p>
        </w:tc>
        <w:tc>
          <w:tcPr>
            <w:tcW w:w="680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5"/>
        </w:trPr>
        <w:tc>
          <w:tcPr>
            <w:tcW w:w="1040" w:type="dxa"/>
            <w:vAlign w:val="bottom"/>
          </w:tcPr>
          <w:p>
            <w:pPr>
              <w:jc w:val="right"/>
              <w:ind w:right="551"/>
              <w:spacing w:after="0"/>
              <w:rPr>
                <w:sz w:val="20"/>
                <w:szCs w:val="20"/>
                <w:color w:val="auto"/>
              </w:rPr>
            </w:pPr>
            <w:r>
              <w:rPr>
                <w:rFonts w:ascii="Arial" w:cs="Arial" w:eastAsia="Arial" w:hAnsi="Arial"/>
                <w:sz w:val="18"/>
                <w:szCs w:val="18"/>
                <w:color w:val="auto"/>
                <w:w w:val="84"/>
              </w:rPr>
              <w:t>101.3</w:t>
            </w:r>
          </w:p>
        </w:tc>
        <w:tc>
          <w:tcPr>
            <w:tcW w:w="680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5"/>
        </w:trPr>
        <w:tc>
          <w:tcPr>
            <w:tcW w:w="1040" w:type="dxa"/>
            <w:vAlign w:val="bottom"/>
          </w:tcPr>
          <w:p>
            <w:pPr>
              <w:jc w:val="right"/>
              <w:ind w:right="551"/>
              <w:spacing w:after="0"/>
              <w:rPr>
                <w:sz w:val="20"/>
                <w:szCs w:val="20"/>
                <w:color w:val="auto"/>
              </w:rPr>
            </w:pPr>
            <w:r>
              <w:rPr>
                <w:rFonts w:ascii="Arial" w:cs="Arial" w:eastAsia="Arial" w:hAnsi="Arial"/>
                <w:sz w:val="18"/>
                <w:szCs w:val="18"/>
                <w:color w:val="auto"/>
                <w:w w:val="84"/>
              </w:rPr>
              <w:t>101.4</w:t>
            </w:r>
          </w:p>
        </w:tc>
        <w:tc>
          <w:tcPr>
            <w:tcW w:w="680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5"/>
        </w:trPr>
        <w:tc>
          <w:tcPr>
            <w:tcW w:w="1040" w:type="dxa"/>
            <w:vAlign w:val="bottom"/>
          </w:tcPr>
          <w:p>
            <w:pPr>
              <w:jc w:val="right"/>
              <w:ind w:right="551"/>
              <w:spacing w:after="0"/>
              <w:rPr>
                <w:sz w:val="20"/>
                <w:szCs w:val="20"/>
                <w:color w:val="auto"/>
              </w:rPr>
            </w:pPr>
            <w:r>
              <w:rPr>
                <w:rFonts w:ascii="Arial" w:cs="Arial" w:eastAsia="Arial" w:hAnsi="Arial"/>
                <w:sz w:val="18"/>
                <w:szCs w:val="18"/>
                <w:color w:val="auto"/>
                <w:w w:val="84"/>
              </w:rPr>
              <w:t>101.5</w:t>
            </w:r>
          </w:p>
        </w:tc>
        <w:tc>
          <w:tcPr>
            <w:tcW w:w="680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5"/>
        </w:trPr>
        <w:tc>
          <w:tcPr>
            <w:tcW w:w="1040" w:type="dxa"/>
            <w:vAlign w:val="bottom"/>
          </w:tcPr>
          <w:p>
            <w:pPr>
              <w:jc w:val="right"/>
              <w:ind w:right="551"/>
              <w:spacing w:after="0"/>
              <w:rPr>
                <w:sz w:val="20"/>
                <w:szCs w:val="20"/>
                <w:color w:val="auto"/>
              </w:rPr>
            </w:pPr>
            <w:r>
              <w:rPr>
                <w:rFonts w:ascii="Arial" w:cs="Arial" w:eastAsia="Arial" w:hAnsi="Arial"/>
                <w:sz w:val="18"/>
                <w:szCs w:val="18"/>
                <w:color w:val="auto"/>
                <w:w w:val="84"/>
              </w:rPr>
              <w:t>101.6</w:t>
            </w:r>
          </w:p>
        </w:tc>
        <w:tc>
          <w:tcPr>
            <w:tcW w:w="680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35"/>
        </w:trPr>
        <w:tc>
          <w:tcPr>
            <w:tcW w:w="1040" w:type="dxa"/>
            <w:vAlign w:val="bottom"/>
          </w:tcPr>
          <w:p>
            <w:pPr>
              <w:jc w:val="right"/>
              <w:ind w:right="671"/>
              <w:spacing w:after="0"/>
              <w:rPr>
                <w:sz w:val="20"/>
                <w:szCs w:val="20"/>
                <w:color w:val="auto"/>
              </w:rPr>
            </w:pPr>
            <w:r>
              <w:rPr>
                <w:rFonts w:ascii="Arial" w:cs="Arial" w:eastAsia="Arial" w:hAnsi="Arial"/>
                <w:sz w:val="18"/>
                <w:szCs w:val="18"/>
                <w:color w:val="auto"/>
                <w:w w:val="86"/>
              </w:rPr>
              <w:t>104</w:t>
            </w:r>
          </w:p>
        </w:tc>
        <w:tc>
          <w:tcPr>
            <w:tcW w:w="680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7734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88">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55" w:lineRule="exact"/>
        <w:rPr>
          <w:sz w:val="20"/>
          <w:szCs w:val="20"/>
          <w:color w:val="auto"/>
        </w:rPr>
      </w:pPr>
    </w:p>
    <w:p>
      <w:pPr>
        <w:ind w:left="560" w:hanging="553"/>
        <w:spacing w:after="0" w:line="255" w:lineRule="auto"/>
        <w:tabs>
          <w:tab w:leader="none" w:pos="560" w:val="left"/>
        </w:tabs>
        <w:numPr>
          <w:ilvl w:val="0"/>
          <w:numId w:val="46"/>
        </w:numPr>
        <w:rPr>
          <w:rFonts w:ascii="MS PGothic" w:cs="MS PGothic" w:eastAsia="MS PGothic" w:hAnsi="MS PGothic"/>
          <w:sz w:val="18"/>
          <w:szCs w:val="18"/>
          <w:color w:val="auto"/>
        </w:rPr>
      </w:pPr>
      <w:r>
        <w:rPr>
          <w:rFonts w:ascii="Arial" w:cs="Arial" w:eastAsia="Arial" w:hAnsi="Arial"/>
          <w:sz w:val="18"/>
          <w:szCs w:val="18"/>
          <w:color w:val="212529"/>
        </w:rPr>
        <w:t>Certain schedules and exhibits have been omitted pursuant to Item 601(a)(5) of Regulation S-K. Eldorado will furnish supplementally copies of omitted schedules and exhibits to the U.S. Securities and Exchange Commission upon its request.</w:t>
      </w:r>
    </w:p>
    <w:p>
      <w:pPr>
        <w:spacing w:after="0" w:line="1" w:lineRule="exact"/>
        <w:rPr>
          <w:sz w:val="20"/>
          <w:szCs w:val="20"/>
          <w:color w:val="auto"/>
        </w:rPr>
      </w:pPr>
    </w:p>
    <w:p>
      <w:pPr>
        <w:ind w:left="560" w:hanging="553"/>
        <w:spacing w:after="0"/>
        <w:tabs>
          <w:tab w:leader="none" w:pos="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Management contracts or compensatory plans or arrangements.</w:t>
      </w:r>
    </w:p>
    <w:p>
      <w:pPr>
        <w:spacing w:after="0" w:line="20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89">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0860"/>
          </w:cols>
          <w:pgMar w:left="240" w:top="321" w:right="79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180" w:firstLine="555"/>
        <w:spacing w:after="0" w:line="271" w:lineRule="auto"/>
        <w:rPr>
          <w:sz w:val="20"/>
          <w:szCs w:val="20"/>
          <w:color w:val="auto"/>
        </w:rPr>
      </w:pPr>
      <w:r>
        <w:rPr>
          <w:rFonts w:ascii="Arial" w:cs="Arial" w:eastAsia="Arial" w:hAnsi="Arial"/>
          <w:sz w:val="18"/>
          <w:szCs w:val="18"/>
          <w:color w:val="auto"/>
        </w:rPr>
        <w:t>Pursuant to the requirements of Sections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ELDORADO RESORTS, INC.</w:t>
      </w:r>
    </w:p>
    <w:p>
      <w:pPr>
        <w:spacing w:after="0" w:line="248" w:lineRule="exact"/>
        <w:rPr>
          <w:sz w:val="20"/>
          <w:szCs w:val="20"/>
          <w:color w:val="auto"/>
        </w:rPr>
      </w:pPr>
    </w:p>
    <w:tbl>
      <w:tblPr>
        <w:tblLayout w:type="fixed"/>
        <w:tblInd w:w="5800" w:type="dxa"/>
        <w:tblCellMar>
          <w:top w:w="0" w:type="dxa"/>
          <w:left w:w="0" w:type="dxa"/>
          <w:bottom w:w="0" w:type="dxa"/>
          <w:right w:w="0" w:type="dxa"/>
        </w:tblCellMar>
      </w:tblPr>
      <w:tr>
        <w:trPr>
          <w:trHeight w:val="228"/>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T</w:t>
            </w:r>
            <w:r>
              <w:rPr>
                <w:rFonts w:ascii="Arial" w:cs="Arial" w:eastAsia="Arial" w:hAnsi="Arial"/>
                <w:sz w:val="12"/>
                <w:szCs w:val="12"/>
                <w:color w:val="auto"/>
                <w:w w:val="93"/>
              </w:rPr>
              <w:t>HOMAS</w:t>
            </w:r>
            <w:r>
              <w:rPr>
                <w:rFonts w:ascii="Arial" w:cs="Arial" w:eastAsia="Arial" w:hAnsi="Arial"/>
                <w:sz w:val="18"/>
                <w:szCs w:val="18"/>
                <w:color w:val="auto"/>
                <w:w w:val="93"/>
              </w:rPr>
              <w:t xml:space="preserve"> R. R</w:t>
            </w:r>
            <w:r>
              <w:rPr>
                <w:rFonts w:ascii="Arial" w:cs="Arial" w:eastAsia="Arial" w:hAnsi="Arial"/>
                <w:sz w:val="12"/>
                <w:szCs w:val="12"/>
                <w:color w:val="auto"/>
                <w:w w:val="93"/>
              </w:rPr>
              <w:t>EEG</w:t>
            </w:r>
          </w:p>
        </w:tc>
      </w:tr>
      <w:tr>
        <w:trPr>
          <w:trHeight w:val="194"/>
        </w:trPr>
        <w:tc>
          <w:tcPr>
            <w:tcW w:w="340" w:type="dxa"/>
            <w:vAlign w:val="bottom"/>
          </w:tcPr>
          <w:p>
            <w:pPr>
              <w:spacing w:after="0"/>
              <w:rPr>
                <w:sz w:val="16"/>
                <w:szCs w:val="16"/>
                <w:color w:val="auto"/>
              </w:rPr>
            </w:pPr>
          </w:p>
        </w:tc>
        <w:tc>
          <w:tcPr>
            <w:tcW w:w="5280" w:type="dxa"/>
            <w:vAlign w:val="bottom"/>
          </w:tcPr>
          <w:p>
            <w:pPr>
              <w:jc w:val="center"/>
              <w:spacing w:after="0" w:line="194" w:lineRule="exact"/>
              <w:rPr>
                <w:sz w:val="20"/>
                <w:szCs w:val="20"/>
                <w:color w:val="auto"/>
              </w:rPr>
            </w:pPr>
            <w:r>
              <w:rPr>
                <w:rFonts w:ascii="Arial" w:cs="Arial" w:eastAsia="Arial" w:hAnsi="Arial"/>
                <w:sz w:val="18"/>
                <w:szCs w:val="18"/>
                <w:color w:val="auto"/>
                <w:w w:val="88"/>
              </w:rPr>
              <w:t>Thomas R. Reeg</w:t>
            </w:r>
          </w:p>
        </w:tc>
      </w:tr>
      <w:tr>
        <w:trPr>
          <w:trHeight w:val="227"/>
        </w:trPr>
        <w:tc>
          <w:tcPr>
            <w:tcW w:w="34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bl>
    <w:p>
      <w:pPr>
        <w:spacing w:after="0"/>
        <w:rPr>
          <w:sz w:val="20"/>
          <w:szCs w:val="20"/>
          <w:color w:val="auto"/>
        </w:rPr>
      </w:pPr>
      <w:r>
        <w:rPr>
          <w:rFonts w:ascii="Arial" w:cs="Arial" w:eastAsia="Arial" w:hAnsi="Arial"/>
          <w:sz w:val="18"/>
          <w:szCs w:val="18"/>
          <w:color w:val="auto"/>
        </w:rPr>
        <w:t>Dated: February 27, 2020</w:t>
      </w:r>
    </w:p>
    <w:p>
      <w:pPr>
        <w:spacing w:after="0" w:line="249" w:lineRule="exact"/>
        <w:rPr>
          <w:sz w:val="20"/>
          <w:szCs w:val="20"/>
          <w:color w:val="auto"/>
        </w:rPr>
      </w:pPr>
    </w:p>
    <w:p>
      <w:pPr>
        <w:ind w:right="520" w:firstLine="555"/>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335" w:right="239" w:bottom="1440" w:gutter="0" w:footer="0" w:header="0"/>
        </w:sectPr>
      </w:pPr>
    </w:p>
    <w:p>
      <w:pPr>
        <w:spacing w:after="0" w:line="167"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25406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90">
                      <a:extLst>
                        <a:ext uri="{28A0092B-C50C-407E-A947-70E740481C1C}"/>
                      </a:extLst>
                    </a:blip>
                    <a:srcRect/>
                    <a:stretch>
                      <a:fillRect/>
                    </a:stretch>
                  </pic:blipFill>
                  <pic:spPr bwMode="auto">
                    <a:xfrm>
                      <a:off x="0" y="0"/>
                      <a:ext cx="2540635" cy="8255"/>
                    </a:xfrm>
                    <a:prstGeom prst="rect">
                      <a:avLst/>
                    </a:prstGeom>
                    <a:noFill/>
                  </pic:spPr>
                </pic:pic>
              </a:graphicData>
            </a:graphic>
          </wp:anchor>
        </w:drawing>
      </w:r>
    </w:p>
    <w:p>
      <w:pPr>
        <w:spacing w:after="0" w:line="108"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HOMAS</w:t>
      </w:r>
      <w:r>
        <w:rPr>
          <w:rFonts w:ascii="Arial" w:cs="Arial" w:eastAsia="Arial" w:hAnsi="Arial"/>
          <w:sz w:val="18"/>
          <w:szCs w:val="18"/>
          <w:color w:val="auto"/>
        </w:rPr>
        <w:t xml:space="preserve"> R. R</w:t>
      </w:r>
      <w:r>
        <w:rPr>
          <w:rFonts w:ascii="Arial" w:cs="Arial" w:eastAsia="Arial" w:hAnsi="Arial"/>
          <w:sz w:val="12"/>
          <w:szCs w:val="12"/>
          <w:color w:val="auto"/>
        </w:rPr>
        <w:t>EEG</w:t>
      </w:r>
    </w:p>
    <w:p>
      <w:pPr>
        <w:spacing w:after="0" w:line="2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5406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91">
                      <a:extLst>
                        <a:ext uri="{28A0092B-C50C-407E-A947-70E740481C1C}"/>
                      </a:extLst>
                    </a:blip>
                    <a:srcRect/>
                    <a:stretch>
                      <a:fillRect/>
                    </a:stretch>
                  </pic:blipFill>
                  <pic:spPr bwMode="auto">
                    <a:xfrm>
                      <a:off x="0" y="0"/>
                      <a:ext cx="2540635" cy="8255"/>
                    </a:xfrm>
                    <a:prstGeom prst="rect">
                      <a:avLst/>
                    </a:prstGeom>
                    <a:noFill/>
                  </pic:spPr>
                </pic:pic>
              </a:graphicData>
            </a:graphic>
          </wp:anchor>
        </w:drawing>
      </w:r>
    </w:p>
    <w:p>
      <w:pPr>
        <w:spacing w:after="0" w:line="108"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B</w:t>
      </w:r>
      <w:r>
        <w:rPr>
          <w:rFonts w:ascii="Arial" w:cs="Arial" w:eastAsia="Arial" w:hAnsi="Arial"/>
          <w:sz w:val="12"/>
          <w:szCs w:val="12"/>
          <w:color w:val="auto"/>
        </w:rPr>
        <w:t>RET YUNKER</w:t>
      </w:r>
    </w:p>
    <w:p>
      <w:pPr>
        <w:spacing w:after="0" w:line="20"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5406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92">
                      <a:extLst>
                        <a:ext uri="{28A0092B-C50C-407E-A947-70E740481C1C}"/>
                      </a:extLst>
                    </a:blip>
                    <a:srcRect/>
                    <a:stretch>
                      <a:fillRect/>
                    </a:stretch>
                  </pic:blipFill>
                  <pic:spPr bwMode="auto">
                    <a:xfrm>
                      <a:off x="0" y="0"/>
                      <a:ext cx="2540635" cy="8255"/>
                    </a:xfrm>
                    <a:prstGeom prst="rect">
                      <a:avLst/>
                    </a:prstGeom>
                    <a:noFill/>
                  </pic:spPr>
                </pic:pic>
              </a:graphicData>
            </a:graphic>
          </wp:anchor>
        </w:drawing>
      </w:r>
    </w:p>
    <w:p>
      <w:pPr>
        <w:spacing w:after="0" w:line="108"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TEPHANIE</w:t>
      </w:r>
      <w:r>
        <w:rPr>
          <w:rFonts w:ascii="Arial" w:cs="Arial" w:eastAsia="Arial" w:hAnsi="Arial"/>
          <w:sz w:val="18"/>
          <w:szCs w:val="18"/>
          <w:color w:val="auto"/>
        </w:rPr>
        <w:t xml:space="preserve"> D. L</w:t>
      </w:r>
      <w:r>
        <w:rPr>
          <w:rFonts w:ascii="Arial" w:cs="Arial" w:eastAsia="Arial" w:hAnsi="Arial"/>
          <w:sz w:val="12"/>
          <w:szCs w:val="12"/>
          <w:color w:val="auto"/>
        </w:rPr>
        <w:t>EPORI</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Stephanie D. Lepori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5406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93">
                      <a:extLst>
                        <a:ext uri="{28A0092B-C50C-407E-A947-70E740481C1C}"/>
                      </a:extLst>
                    </a:blip>
                    <a:srcRect/>
                    <a:stretch>
                      <a:fillRect/>
                    </a:stretch>
                  </pic:blipFill>
                  <pic:spPr bwMode="auto">
                    <a:xfrm>
                      <a:off x="0" y="0"/>
                      <a:ext cx="2540635" cy="8255"/>
                    </a:xfrm>
                    <a:prstGeom prst="rect">
                      <a:avLst/>
                    </a:prstGeom>
                    <a:noFill/>
                  </pic:spPr>
                </pic:pic>
              </a:graphicData>
            </a:graphic>
          </wp:anchor>
        </w:drawing>
      </w:r>
    </w:p>
    <w:p>
      <w:pPr>
        <w:spacing w:after="0" w:line="108"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ARY</w:t>
      </w:r>
      <w:r>
        <w:rPr>
          <w:rFonts w:ascii="Arial" w:cs="Arial" w:eastAsia="Arial" w:hAnsi="Arial"/>
          <w:sz w:val="18"/>
          <w:szCs w:val="18"/>
          <w:color w:val="auto"/>
        </w:rPr>
        <w:t xml:space="preserve"> L. C</w:t>
      </w:r>
      <w:r>
        <w:rPr>
          <w:rFonts w:ascii="Arial" w:cs="Arial" w:eastAsia="Arial" w:hAnsi="Arial"/>
          <w:sz w:val="12"/>
          <w:szCs w:val="12"/>
          <w:color w:val="auto"/>
        </w:rPr>
        <w:t>ARANO</w:t>
      </w:r>
    </w:p>
    <w:p>
      <w:pPr>
        <w:spacing w:after="0" w:line="2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5406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4">
                      <a:extLst>
                        <a:ext uri="{28A0092B-C50C-407E-A947-70E740481C1C}"/>
                      </a:extLst>
                    </a:blip>
                    <a:srcRect/>
                    <a:stretch>
                      <a:fillRect/>
                    </a:stretch>
                  </pic:blipFill>
                  <pic:spPr bwMode="auto">
                    <a:xfrm>
                      <a:off x="0" y="0"/>
                      <a:ext cx="2540635" cy="8255"/>
                    </a:xfrm>
                    <a:prstGeom prst="rect">
                      <a:avLst/>
                    </a:prstGeom>
                    <a:noFill/>
                  </pic:spPr>
                </pic:pic>
              </a:graphicData>
            </a:graphic>
          </wp:anchor>
        </w:drawing>
      </w:r>
    </w:p>
    <w:p>
      <w:pPr>
        <w:spacing w:after="0" w:line="201"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B</w:t>
      </w:r>
      <w:r>
        <w:rPr>
          <w:rFonts w:ascii="Arial" w:cs="Arial" w:eastAsia="Arial" w:hAnsi="Arial"/>
          <w:sz w:val="12"/>
          <w:szCs w:val="12"/>
          <w:color w:val="auto"/>
        </w:rPr>
        <w:t>ONNIE BIUMI</w:t>
      </w:r>
    </w:p>
    <w:p>
      <w:pPr>
        <w:spacing w:after="0" w:line="20"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Bonnie Biumi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5406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95">
                      <a:extLst>
                        <a:ext uri="{28A0092B-C50C-407E-A947-70E740481C1C}"/>
                      </a:extLst>
                    </a:blip>
                    <a:srcRect/>
                    <a:stretch>
                      <a:fillRect/>
                    </a:stretch>
                  </pic:blipFill>
                  <pic:spPr bwMode="auto">
                    <a:xfrm>
                      <a:off x="0" y="0"/>
                      <a:ext cx="2540635" cy="8255"/>
                    </a:xfrm>
                    <a:prstGeom prst="rect">
                      <a:avLst/>
                    </a:prstGeom>
                    <a:noFill/>
                  </pic:spPr>
                </pic:pic>
              </a:graphicData>
            </a:graphic>
          </wp:anchor>
        </w:drawing>
      </w:r>
    </w:p>
    <w:p>
      <w:pPr>
        <w:spacing w:after="0" w:line="108" w:lineRule="exact"/>
        <w:rPr>
          <w:sz w:val="20"/>
          <w:szCs w:val="20"/>
          <w:color w:val="auto"/>
        </w:rPr>
      </w:pPr>
    </w:p>
    <w:p>
      <w:pPr>
        <w:jc w:val="center"/>
        <w:ind w:left="560"/>
        <w:spacing w:after="0"/>
        <w:rPr>
          <w:sz w:val="20"/>
          <w:szCs w:val="20"/>
          <w:color w:val="auto"/>
        </w:rPr>
      </w:pPr>
      <w:r>
        <w:rPr>
          <w:rFonts w:ascii="Arial" w:cs="Arial" w:eastAsia="Arial" w:hAnsi="Arial"/>
          <w:sz w:val="17"/>
          <w:szCs w:val="17"/>
          <w:color w:val="auto"/>
        </w:rPr>
        <w:t>/s/ F</w:t>
      </w:r>
      <w:r>
        <w:rPr>
          <w:rFonts w:ascii="Arial" w:cs="Arial" w:eastAsia="Arial" w:hAnsi="Arial"/>
          <w:sz w:val="11"/>
          <w:szCs w:val="11"/>
          <w:color w:val="auto"/>
        </w:rPr>
        <w:t>RANK</w:t>
      </w:r>
      <w:r>
        <w:rPr>
          <w:rFonts w:ascii="Arial" w:cs="Arial" w:eastAsia="Arial" w:hAnsi="Arial"/>
          <w:sz w:val="17"/>
          <w:szCs w:val="17"/>
          <w:color w:val="auto"/>
        </w:rPr>
        <w:t xml:space="preserve"> J. F</w:t>
      </w:r>
      <w:r>
        <w:rPr>
          <w:rFonts w:ascii="Arial" w:cs="Arial" w:eastAsia="Arial" w:hAnsi="Arial"/>
          <w:sz w:val="11"/>
          <w:szCs w:val="11"/>
          <w:color w:val="auto"/>
        </w:rPr>
        <w:t>AHRENKOPF</w:t>
      </w:r>
      <w:r>
        <w:rPr>
          <w:rFonts w:ascii="Arial" w:cs="Arial" w:eastAsia="Arial" w:hAnsi="Arial"/>
          <w:sz w:val="17"/>
          <w:szCs w:val="17"/>
          <w:color w:val="auto"/>
        </w:rPr>
        <w:t xml:space="preserve"> J</w:t>
      </w:r>
      <w:r>
        <w:rPr>
          <w:rFonts w:ascii="Arial" w:cs="Arial" w:eastAsia="Arial" w:hAnsi="Arial"/>
          <w:sz w:val="11"/>
          <w:szCs w:val="11"/>
          <w:color w:val="auto"/>
        </w:rPr>
        <w:t>R</w:t>
      </w:r>
      <w:r>
        <w:rPr>
          <w:rFonts w:ascii="Arial" w:cs="Arial" w:eastAsia="Arial" w:hAnsi="Arial"/>
          <w:sz w:val="17"/>
          <w:szCs w:val="17"/>
          <w:color w:val="auto"/>
        </w:rPr>
        <w:t>.</w:t>
      </w:r>
    </w:p>
    <w:p>
      <w:pPr>
        <w:spacing w:after="0" w:line="32"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Frank J. Fahrenkopf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5406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96">
                      <a:extLst>
                        <a:ext uri="{28A0092B-C50C-407E-A947-70E740481C1C}"/>
                      </a:extLst>
                    </a:blip>
                    <a:srcRect/>
                    <a:stretch>
                      <a:fillRect/>
                    </a:stretch>
                  </pic:blipFill>
                  <pic:spPr bwMode="auto">
                    <a:xfrm>
                      <a:off x="0" y="0"/>
                      <a:ext cx="2540635" cy="8255"/>
                    </a:xfrm>
                    <a:prstGeom prst="rect">
                      <a:avLst/>
                    </a:prstGeom>
                    <a:noFill/>
                  </pic:spPr>
                </pic:pic>
              </a:graphicData>
            </a:graphic>
          </wp:anchor>
        </w:drawing>
      </w:r>
    </w:p>
    <w:p>
      <w:pPr>
        <w:spacing w:after="0" w:line="108"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B. H</w:t>
      </w:r>
      <w:r>
        <w:rPr>
          <w:rFonts w:ascii="Arial" w:cs="Arial" w:eastAsia="Arial" w:hAnsi="Arial"/>
          <w:sz w:val="12"/>
          <w:szCs w:val="12"/>
          <w:color w:val="auto"/>
        </w:rPr>
        <w:t>AWKINS</w:t>
      </w:r>
    </w:p>
    <w:p>
      <w:pPr>
        <w:spacing w:after="0" w:line="20"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James B.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5406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7">
                      <a:extLst>
                        <a:ext uri="{28A0092B-C50C-407E-A947-70E740481C1C}"/>
                      </a:extLst>
                    </a:blip>
                    <a:srcRect/>
                    <a:stretch>
                      <a:fillRect/>
                    </a:stretch>
                  </pic:blipFill>
                  <pic:spPr bwMode="auto">
                    <a:xfrm>
                      <a:off x="0" y="0"/>
                      <a:ext cx="2540635" cy="8255"/>
                    </a:xfrm>
                    <a:prstGeom prst="rect">
                      <a:avLst/>
                    </a:prstGeom>
                    <a:noFill/>
                  </pic:spPr>
                </pic:pic>
              </a:graphicData>
            </a:graphic>
          </wp:anchor>
        </w:drawing>
      </w:r>
    </w:p>
    <w:p>
      <w:pPr>
        <w:spacing w:after="0" w:line="108"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REGORY</w:t>
      </w:r>
      <w:r>
        <w:rPr>
          <w:rFonts w:ascii="Arial" w:cs="Arial" w:eastAsia="Arial" w:hAnsi="Arial"/>
          <w:sz w:val="18"/>
          <w:szCs w:val="18"/>
          <w:color w:val="auto"/>
        </w:rPr>
        <w:t xml:space="preserve"> J. K</w:t>
      </w:r>
      <w:r>
        <w:rPr>
          <w:rFonts w:ascii="Arial" w:cs="Arial" w:eastAsia="Arial" w:hAnsi="Arial"/>
          <w:sz w:val="12"/>
          <w:szCs w:val="12"/>
          <w:color w:val="auto"/>
        </w:rPr>
        <w:t>OZICZ</w:t>
      </w:r>
    </w:p>
    <w:p>
      <w:pPr>
        <w:spacing w:after="0" w:line="20"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Gregory J. Kozicz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5406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98">
                      <a:extLst>
                        <a:ext uri="{28A0092B-C50C-407E-A947-70E740481C1C}"/>
                      </a:extLst>
                    </a:blip>
                    <a:srcRect/>
                    <a:stretch>
                      <a:fillRect/>
                    </a:stretch>
                  </pic:blipFill>
                  <pic:spPr bwMode="auto">
                    <a:xfrm>
                      <a:off x="0" y="0"/>
                      <a:ext cx="2540635" cy="8255"/>
                    </a:xfrm>
                    <a:prstGeom prst="rect">
                      <a:avLst/>
                    </a:prstGeom>
                    <a:noFill/>
                  </pic:spPr>
                </pic:pic>
              </a:graphicData>
            </a:graphic>
          </wp:anchor>
        </w:drawing>
      </w:r>
    </w:p>
    <w:p>
      <w:pPr>
        <w:spacing w:after="0" w:line="108"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E. P</w:t>
      </w:r>
      <w:r>
        <w:rPr>
          <w:rFonts w:ascii="Arial" w:cs="Arial" w:eastAsia="Arial" w:hAnsi="Arial"/>
          <w:sz w:val="12"/>
          <w:szCs w:val="12"/>
          <w:color w:val="auto"/>
        </w:rPr>
        <w:t>EGRAM</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Michael E. Pegram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5406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99">
                      <a:extLst>
                        <a:ext uri="{28A0092B-C50C-407E-A947-70E740481C1C}"/>
                      </a:extLst>
                    </a:blip>
                    <a:srcRect/>
                    <a:stretch>
                      <a:fillRect/>
                    </a:stretch>
                  </pic:blipFill>
                  <pic:spPr bwMode="auto">
                    <a:xfrm>
                      <a:off x="0" y="0"/>
                      <a:ext cx="2540635" cy="8255"/>
                    </a:xfrm>
                    <a:prstGeom prst="rect">
                      <a:avLst/>
                    </a:prstGeom>
                    <a:noFill/>
                  </pic:spPr>
                </pic:pic>
              </a:graphicData>
            </a:graphic>
          </wp:anchor>
        </w:drawing>
      </w:r>
    </w:p>
    <w:p>
      <w:pPr>
        <w:spacing w:after="0" w:line="108"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AVID</w:t>
      </w:r>
      <w:r>
        <w:rPr>
          <w:rFonts w:ascii="Arial" w:cs="Arial" w:eastAsia="Arial" w:hAnsi="Arial"/>
          <w:sz w:val="18"/>
          <w:szCs w:val="18"/>
          <w:color w:val="auto"/>
        </w:rPr>
        <w:t xml:space="preserve"> P. T</w:t>
      </w:r>
      <w:r>
        <w:rPr>
          <w:rFonts w:ascii="Arial" w:cs="Arial" w:eastAsia="Arial" w:hAnsi="Arial"/>
          <w:sz w:val="12"/>
          <w:szCs w:val="12"/>
          <w:color w:val="auto"/>
        </w:rPr>
        <w:t>OMICK</w:t>
      </w:r>
    </w:p>
    <w:p>
      <w:pPr>
        <w:spacing w:after="0" w:line="20"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David P. Tomick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5406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00">
                      <a:extLst>
                        <a:ext uri="{28A0092B-C50C-407E-A947-70E740481C1C}"/>
                      </a:extLst>
                    </a:blip>
                    <a:srcRect/>
                    <a:stretch>
                      <a:fillRect/>
                    </a:stretch>
                  </pic:blipFill>
                  <pic:spPr bwMode="auto">
                    <a:xfrm>
                      <a:off x="0" y="0"/>
                      <a:ext cx="2540635" cy="8255"/>
                    </a:xfrm>
                    <a:prstGeom prst="rect">
                      <a:avLst/>
                    </a:prstGeom>
                    <a:noFill/>
                  </pic:spPr>
                </pic:pic>
              </a:graphicData>
            </a:graphic>
          </wp:anchor>
        </w:drawing>
      </w:r>
    </w:p>
    <w:p>
      <w:pPr>
        <w:spacing w:after="0" w:line="108"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OGER</w:t>
      </w:r>
      <w:r>
        <w:rPr>
          <w:rFonts w:ascii="Arial" w:cs="Arial" w:eastAsia="Arial" w:hAnsi="Arial"/>
          <w:sz w:val="18"/>
          <w:szCs w:val="18"/>
          <w:color w:val="auto"/>
        </w:rPr>
        <w:t xml:space="preserve"> P. W</w:t>
      </w:r>
      <w:r>
        <w:rPr>
          <w:rFonts w:ascii="Arial" w:cs="Arial" w:eastAsia="Arial" w:hAnsi="Arial"/>
          <w:sz w:val="12"/>
          <w:szCs w:val="12"/>
          <w:color w:val="auto"/>
        </w:rPr>
        <w:t>AGNER</w:t>
      </w:r>
    </w:p>
    <w:p>
      <w:pPr>
        <w:spacing w:after="0" w:line="20"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Roger P.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5406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1">
                      <a:extLst>
                        <a:ext uri="{28A0092B-C50C-407E-A947-70E740481C1C}"/>
                      </a:extLst>
                    </a:blip>
                    <a:srcRect/>
                    <a:stretch>
                      <a:fillRect/>
                    </a:stretch>
                  </pic:blipFill>
                  <pic:spPr bwMode="auto">
                    <a:xfrm>
                      <a:off x="0" y="0"/>
                      <a:ext cx="25406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29057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02">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08"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Chief Executive Officer (Principal Executive Officer) and Director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p>
      <w:pPr>
        <w:spacing w:after="0" w:line="248"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Chief Administrative and Accounting Officer (Principal Accounting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of the Board of Directors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5715</wp:posOffset>
            </wp:positionV>
            <wp:extent cx="16059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3">
                      <a:extLst>
                        <a:ext uri="{28A0092B-C50C-407E-A947-70E740481C1C}"/>
                      </a:extLst>
                    </a:blip>
                    <a:srcRect/>
                    <a:stretch>
                      <a:fillRect/>
                    </a:stretch>
                  </pic:blipFill>
                  <pic:spPr bwMode="auto">
                    <a:xfrm>
                      <a:off x="0" y="0"/>
                      <a:ext cx="160591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2020</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2020</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2020</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2020</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2020</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2020</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2020</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2020</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2020</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2020</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2020</w:t>
      </w:r>
    </w:p>
    <w:p>
      <w:pPr>
        <w:spacing w:after="0" w:line="343" w:lineRule="exact"/>
        <w:rPr>
          <w:sz w:val="20"/>
          <w:szCs w:val="20"/>
          <w:color w:val="auto"/>
        </w:rPr>
      </w:pPr>
    </w:p>
    <w:p>
      <w:pPr>
        <w:sectPr>
          <w:pgSz w:w="11900" w:h="16838" w:orient="portrait"/>
          <w:cols w:equalWidth="0" w:num="3">
            <w:col w:w="3440" w:space="720"/>
            <w:col w:w="4620" w:space="720"/>
            <w:col w:w="1920"/>
          </w:cols>
          <w:pgMar w:left="240" w:top="335" w:right="239" w:bottom="1440" w:gutter="0" w:footer="0" w:header="0"/>
          <w:type w:val="continuous"/>
        </w:sect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83820</wp:posOffset>
            </wp:positionV>
            <wp:extent cx="7273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4">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INDEX TO CONSOLIDATED FINANCIAL STATEMENTS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5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Page</w:t>
            </w:r>
          </w:p>
        </w:tc>
      </w:tr>
      <w:tr>
        <w:trPr>
          <w:trHeight w:val="288"/>
        </w:trPr>
        <w:tc>
          <w:tcPr>
            <w:tcW w:w="4900" w:type="dxa"/>
            <w:vAlign w:val="bottom"/>
            <w:gridSpan w:val="8"/>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Report of Independent Registered Public Accounting Firm</w:t>
              </w:r>
            </w:hyperlink>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315"/>
        </w:trPr>
        <w:tc>
          <w:tcPr>
            <w:tcW w:w="208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90">
              <w:r>
                <w:rPr>
                  <w:rFonts w:ascii="Arial" w:cs="Arial" w:eastAsia="Arial" w:hAnsi="Arial"/>
                  <w:sz w:val="18"/>
                  <w:szCs w:val="18"/>
                  <w:color w:val="0000EE"/>
                  <w:w w:val="87"/>
                </w:rPr>
                <w:t>Consolidated Balance Sheets</w:t>
              </w:r>
            </w:hyperlink>
          </w:p>
        </w:tc>
        <w:tc>
          <w:tcPr>
            <w:tcW w:w="2100" w:type="dxa"/>
            <w:vAlign w:val="bottom"/>
            <w:tcBorders>
              <w:top w:val="single" w:sz="8" w:color="0000EE"/>
            </w:tcBorders>
            <w:gridSpan w:val="6"/>
          </w:tcPr>
          <w:p>
            <w:pPr>
              <w:spacing w:after="0"/>
              <w:rPr>
                <w:sz w:val="24"/>
                <w:szCs w:val="24"/>
                <w:color w:val="auto"/>
              </w:rPr>
            </w:pPr>
          </w:p>
        </w:tc>
        <w:tc>
          <w:tcPr>
            <w:tcW w:w="720" w:type="dxa"/>
            <w:vAlign w:val="bottom"/>
          </w:tcPr>
          <w:p>
            <w:pPr>
              <w:spacing w:after="0"/>
              <w:rPr>
                <w:sz w:val="24"/>
                <w:szCs w:val="24"/>
                <w:color w:val="auto"/>
              </w:rPr>
            </w:pP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315"/>
        </w:trPr>
        <w:tc>
          <w:tcPr>
            <w:tcW w:w="4900" w:type="dxa"/>
            <w:vAlign w:val="bottom"/>
            <w:gridSpan w:val="8"/>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Consolidated Statements of Income</w:t>
              </w:r>
            </w:hyperlink>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25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r>
      <w:tr>
        <w:trPr>
          <w:trHeight w:val="315"/>
        </w:trPr>
        <w:tc>
          <w:tcPr>
            <w:tcW w:w="37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92">
              <w:r>
                <w:rPr>
                  <w:rFonts w:ascii="Arial" w:cs="Arial" w:eastAsia="Arial" w:hAnsi="Arial"/>
                  <w:sz w:val="18"/>
                  <w:szCs w:val="18"/>
                  <w:color w:val="0000EE"/>
                  <w:w w:val="88"/>
                </w:rPr>
                <w:t>Consolidated Statements of Comprehensive Income</w:t>
              </w:r>
            </w:hyperlink>
          </w:p>
        </w:tc>
        <w:tc>
          <w:tcPr>
            <w:tcW w:w="1180" w:type="dxa"/>
            <w:vAlign w:val="bottom"/>
            <w:gridSpan w:val="2"/>
          </w:tcPr>
          <w:p>
            <w:pPr>
              <w:spacing w:after="0"/>
              <w:rPr>
                <w:sz w:val="24"/>
                <w:szCs w:val="24"/>
                <w:color w:val="auto"/>
              </w:rPr>
            </w:pP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315"/>
        </w:trPr>
        <w:tc>
          <w:tcPr>
            <w:tcW w:w="34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93">
              <w:r>
                <w:rPr>
                  <w:rFonts w:ascii="Arial" w:cs="Arial" w:eastAsia="Arial" w:hAnsi="Arial"/>
                  <w:sz w:val="18"/>
                  <w:szCs w:val="18"/>
                  <w:color w:val="0000EE"/>
                  <w:w w:val="90"/>
                </w:rPr>
                <w:t>Consolidated Statement of Stockholders’ Equity</w:t>
              </w:r>
            </w:hyperlink>
          </w:p>
        </w:tc>
        <w:tc>
          <w:tcPr>
            <w:tcW w:w="1440" w:type="dxa"/>
            <w:vAlign w:val="bottom"/>
            <w:gridSpan w:val="3"/>
          </w:tcPr>
          <w:p>
            <w:pPr>
              <w:spacing w:after="0"/>
              <w:rPr>
                <w:sz w:val="24"/>
                <w:szCs w:val="24"/>
                <w:color w:val="auto"/>
              </w:rPr>
            </w:pP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315"/>
        </w:trPr>
        <w:tc>
          <w:tcPr>
            <w:tcW w:w="28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95">
              <w:r>
                <w:rPr>
                  <w:rFonts w:ascii="Arial" w:cs="Arial" w:eastAsia="Arial" w:hAnsi="Arial"/>
                  <w:sz w:val="18"/>
                  <w:szCs w:val="18"/>
                  <w:color w:val="0000EE"/>
                  <w:w w:val="88"/>
                </w:rPr>
                <w:t>Consolidated Statements of Cash Flows</w:t>
              </w:r>
            </w:hyperlink>
          </w:p>
        </w:tc>
        <w:tc>
          <w:tcPr>
            <w:tcW w:w="2040" w:type="dxa"/>
            <w:vAlign w:val="bottom"/>
            <w:gridSpan w:val="5"/>
          </w:tcPr>
          <w:p>
            <w:pPr>
              <w:spacing w:after="0"/>
              <w:rPr>
                <w:sz w:val="24"/>
                <w:szCs w:val="24"/>
                <w:color w:val="auto"/>
              </w:rPr>
            </w:pP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315"/>
        </w:trPr>
        <w:tc>
          <w:tcPr>
            <w:tcW w:w="4900" w:type="dxa"/>
            <w:vAlign w:val="bottom"/>
            <w:gridSpan w:val="8"/>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Notes to Consolidated Financial Statements</w:t>
              </w:r>
            </w:hyperlink>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447"/>
        </w:trPr>
        <w:tc>
          <w:tcPr>
            <w:tcW w:w="20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960" w:type="dxa"/>
            <w:vAlign w:val="bottom"/>
          </w:tcPr>
          <w:p>
            <w:pPr>
              <w:jc w:val="right"/>
              <w:ind w:right="4971"/>
              <w:spacing w:after="0"/>
              <w:rPr>
                <w:sz w:val="20"/>
                <w:szCs w:val="20"/>
                <w:color w:val="auto"/>
              </w:rPr>
            </w:pPr>
            <w:r>
              <w:rPr>
                <w:rFonts w:ascii="Arial" w:cs="Arial" w:eastAsia="Arial" w:hAnsi="Arial"/>
                <w:sz w:val="18"/>
                <w:szCs w:val="18"/>
                <w:color w:val="auto"/>
              </w:rPr>
              <w:t>86</w:t>
            </w:r>
          </w:p>
        </w:tc>
        <w:tc>
          <w:tcPr>
            <w:tcW w:w="560" w:type="dxa"/>
            <w:vAlign w:val="bottom"/>
          </w:tcPr>
          <w:p>
            <w:pPr>
              <w:spacing w:after="0"/>
              <w:rPr>
                <w:sz w:val="24"/>
                <w:szCs w:val="24"/>
                <w:color w:val="auto"/>
              </w:rPr>
            </w:pPr>
          </w:p>
        </w:tc>
      </w:tr>
      <w:tr>
        <w:trPr>
          <w:trHeight w:val="115"/>
        </w:trPr>
        <w:tc>
          <w:tcPr>
            <w:tcW w:w="20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9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7231380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Eldorado Resorts, Inc.</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Opinion on the Financial Statements</w:t>
      </w:r>
    </w:p>
    <w:p>
      <w:pPr>
        <w:spacing w:after="0" w:line="132" w:lineRule="exact"/>
        <w:rPr>
          <w:sz w:val="20"/>
          <w:szCs w:val="20"/>
          <w:color w:val="auto"/>
        </w:rPr>
      </w:pPr>
    </w:p>
    <w:p>
      <w:pPr>
        <w:spacing w:after="0" w:line="252" w:lineRule="auto"/>
        <w:rPr>
          <w:sz w:val="20"/>
          <w:szCs w:val="20"/>
          <w:color w:val="auto"/>
        </w:rPr>
      </w:pPr>
      <w:r>
        <w:rPr>
          <w:rFonts w:ascii="Arial" w:cs="Arial" w:eastAsia="Arial" w:hAnsi="Arial"/>
          <w:sz w:val="18"/>
          <w:szCs w:val="18"/>
          <w:color w:val="333333"/>
        </w:rPr>
        <w:t>We have audited the accompanying consolidated balance sheets of Eldorado Resorts, Inc. (the Company) as of December 31, 2019 and 2018, the related consolidated statements of income, comprehensive income, stockholders’ equity and cash flows for each of the three years in the period ended December 31, 2019, and the related notes and the financial statement schedule listed in the Index at Item 15 (a)(ii)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221"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color w:val="333333"/>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27, 2020 expressed an unqualified opinion thereon.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Adoption of ASU No. 2016-02</w:t>
      </w:r>
    </w:p>
    <w:p>
      <w:pPr>
        <w:spacing w:after="0" w:line="132" w:lineRule="exact"/>
        <w:rPr>
          <w:sz w:val="20"/>
          <w:szCs w:val="20"/>
          <w:color w:val="auto"/>
        </w:rPr>
      </w:pPr>
    </w:p>
    <w:p>
      <w:pPr>
        <w:ind w:right="100"/>
        <w:spacing w:after="0" w:line="301" w:lineRule="auto"/>
        <w:rPr>
          <w:sz w:val="20"/>
          <w:szCs w:val="20"/>
          <w:color w:val="auto"/>
        </w:rPr>
      </w:pPr>
      <w:r>
        <w:rPr>
          <w:rFonts w:ascii="Arial" w:cs="Arial" w:eastAsia="Arial" w:hAnsi="Arial"/>
          <w:sz w:val="17"/>
          <w:szCs w:val="17"/>
          <w:color w:val="333333"/>
        </w:rPr>
        <w:t>As discussed in Note 2 to the consolidated financial statements, the Company changed its method of accounting for the recognition and measurement of leases in the year ended December 31, 2019, due to the adoption of ASU No. 2016-02, ASC 842 Leases and related amendments.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132"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7">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333333"/>
        </w:rPr>
        <w:t>Critical Audit Matter</w:t>
      </w:r>
    </w:p>
    <w:p>
      <w:pPr>
        <w:spacing w:after="0" w:line="13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333333"/>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333333"/>
        </w:rPr>
        <w:t xml:space="preserve">Description of the Matter </w:t>
      </w:r>
      <w:r>
        <w:rPr>
          <w:rFonts w:ascii="Arial" w:cs="Arial" w:eastAsia="Arial" w:hAnsi="Arial"/>
          <w:sz w:val="18"/>
          <w:szCs w:val="18"/>
          <w:b w:val="1"/>
          <w:bCs w:val="1"/>
          <w:i w:val="1"/>
          <w:iCs w:val="1"/>
          <w:color w:val="333333"/>
        </w:rPr>
        <w:t>Valuation of Goodwill and Other Indefinite Lived intangibles</w:t>
      </w:r>
    </w:p>
    <w:p>
      <w:pPr>
        <w:spacing w:after="0" w:line="221" w:lineRule="exact"/>
        <w:rPr>
          <w:sz w:val="20"/>
          <w:szCs w:val="20"/>
          <w:color w:val="auto"/>
        </w:rPr>
      </w:pPr>
    </w:p>
    <w:p>
      <w:pPr>
        <w:ind w:left="1860"/>
        <w:spacing w:after="0" w:line="287" w:lineRule="auto"/>
        <w:rPr>
          <w:sz w:val="20"/>
          <w:szCs w:val="20"/>
          <w:color w:val="auto"/>
        </w:rPr>
      </w:pPr>
      <w:r>
        <w:rPr>
          <w:rFonts w:ascii="Arial" w:cs="Arial" w:eastAsia="Arial" w:hAnsi="Arial"/>
          <w:sz w:val="16"/>
          <w:szCs w:val="16"/>
          <w:color w:val="333333"/>
        </w:rPr>
        <w:t>At December 31, 2019, the Company’s goodwill and intangible assets were $910 million and $1.1 billion, respectively. The Company assigns goodwill at the acquisition date to either a new reporting unit or to an existing reporting unit. As discussed in Note 2 to the consolidated financial statements, goodwill and indefinite-lived intangible assets are reviewed for impairment at least annually and on an interim basis when indicators are present. The test can be qualitative in nature through consideration of economic factors at the macro and micro level or can be quantitative through a calculated analysis if determined by management to have significant judgement or sensitivity for which a qualitative analysis is not sufficient. Management did not identify any impairment indicators during the year and therefore performed an annual analysis as required. A quantitative test was not deemed necessary based on the qualitative analysis performed for all reporting units and indefinite-lived intangible assets.</w:t>
      </w:r>
    </w:p>
    <w:p>
      <w:pPr>
        <w:spacing w:after="0" w:line="167" w:lineRule="exact"/>
        <w:rPr>
          <w:sz w:val="20"/>
          <w:szCs w:val="20"/>
          <w:color w:val="auto"/>
        </w:rPr>
      </w:pPr>
    </w:p>
    <w:p>
      <w:pPr>
        <w:ind w:left="1860" w:right="140"/>
        <w:spacing w:after="0" w:line="255" w:lineRule="auto"/>
        <w:rPr>
          <w:sz w:val="20"/>
          <w:szCs w:val="20"/>
          <w:color w:val="auto"/>
        </w:rPr>
      </w:pPr>
      <w:r>
        <w:rPr>
          <w:rFonts w:ascii="Arial" w:cs="Arial" w:eastAsia="Arial" w:hAnsi="Arial"/>
          <w:sz w:val="18"/>
          <w:szCs w:val="18"/>
          <w:color w:val="333333"/>
        </w:rPr>
        <w:t>Auditing the Company’s analysis for impairment of goodwill and indefinite-lived intangible assets is especially challenging because the analysis involves the assessment of qualitative factors including current market trends in casino revenues and the Company’s relative market share, and measures of financial performance, primarily Earnings Before Interest Taxes Depreciation and Amortization (“EBITDA”) by reporting unit.</w:t>
      </w:r>
    </w:p>
    <w:p>
      <w:pPr>
        <w:spacing w:after="0" w:line="191"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i w:val="1"/>
          <w:iCs w:val="1"/>
          <w:color w:val="333333"/>
        </w:rPr>
        <w:t>How We Addressed the</w:t>
      </w:r>
      <w:r>
        <w:rPr>
          <w:sz w:val="20"/>
          <w:szCs w:val="20"/>
          <w:color w:val="auto"/>
        </w:rPr>
        <w:tab/>
      </w:r>
      <w:r>
        <w:rPr>
          <w:rFonts w:ascii="Arial" w:cs="Arial" w:eastAsia="Arial" w:hAnsi="Arial"/>
          <w:sz w:val="16"/>
          <w:szCs w:val="16"/>
          <w:color w:val="333333"/>
        </w:rPr>
        <w:t>We obtained an understanding, evaluated the design and tested the operating effectiveness of controls over the Company’s goodwill</w:t>
      </w:r>
    </w:p>
    <w:p>
      <w:pPr>
        <w:spacing w:after="0" w:line="20" w:lineRule="exact"/>
        <w:rPr>
          <w:sz w:val="20"/>
          <w:szCs w:val="20"/>
          <w:color w:val="auto"/>
        </w:rPr>
      </w:pPr>
    </w:p>
    <w:p>
      <w:pPr>
        <w:ind w:left="1860" w:right="360" w:hanging="1846"/>
        <w:spacing w:after="0" w:line="256" w:lineRule="auto"/>
        <w:tabs>
          <w:tab w:leader="none" w:pos="1840" w:val="left"/>
        </w:tabs>
        <w:rPr>
          <w:sz w:val="20"/>
          <w:szCs w:val="20"/>
          <w:color w:val="auto"/>
        </w:rPr>
      </w:pPr>
      <w:r>
        <w:rPr>
          <w:rFonts w:ascii="Arial" w:cs="Arial" w:eastAsia="Arial" w:hAnsi="Arial"/>
          <w:sz w:val="18"/>
          <w:szCs w:val="18"/>
          <w:i w:val="1"/>
          <w:iCs w:val="1"/>
          <w:color w:val="333333"/>
        </w:rPr>
        <w:t>Matter in Our Audit</w:t>
      </w:r>
      <w:r>
        <w:rPr>
          <w:sz w:val="20"/>
          <w:szCs w:val="20"/>
          <w:color w:val="auto"/>
        </w:rPr>
        <w:tab/>
      </w:r>
      <w:r>
        <w:rPr>
          <w:rFonts w:ascii="Arial" w:cs="Arial" w:eastAsia="Arial" w:hAnsi="Arial"/>
          <w:sz w:val="18"/>
          <w:szCs w:val="18"/>
          <w:color w:val="333333"/>
        </w:rPr>
        <w:t>and indefinite-lived intangible assets impairment review process, including controls over management’s review of the qualitative factors described above, and the completeness and accuracy of the data used in the analysis.</w:t>
      </w:r>
    </w:p>
    <w:p>
      <w:pPr>
        <w:spacing w:after="0" w:line="188" w:lineRule="exact"/>
        <w:rPr>
          <w:sz w:val="20"/>
          <w:szCs w:val="20"/>
          <w:color w:val="auto"/>
        </w:rPr>
      </w:pPr>
    </w:p>
    <w:p>
      <w:pPr>
        <w:ind w:left="1860" w:right="20"/>
        <w:spacing w:after="0" w:line="269" w:lineRule="auto"/>
        <w:rPr>
          <w:sz w:val="20"/>
          <w:szCs w:val="20"/>
          <w:color w:val="auto"/>
        </w:rPr>
      </w:pPr>
      <w:r>
        <w:rPr>
          <w:rFonts w:ascii="Arial" w:cs="Arial" w:eastAsia="Arial" w:hAnsi="Arial"/>
          <w:sz w:val="17"/>
          <w:szCs w:val="17"/>
          <w:color w:val="333333"/>
        </w:rPr>
        <w:t>To test the impairment analysis of the Company’s reporting units and indefinite-lived intangible assets, we performed audit procedures that included, among others, assessing the methodology and factors considered within the analysis and testing the qualitative factors discussed above and the underlying data used by the Company in its analysis. We compared the qualitative factors used by management to current industry and economic trends, historical Company results, changes to the Company’s business model, customer base or product mix and other relevant factors including contrary evidence. We assessed the historical accuracy of management’s estimates and evaluated management’s sensitivity analyses of the subjective assumptions to evaluate the changes in the analysis that would result from changes in these assumptions.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8">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0"/>
        </w:trPr>
        <w:tc>
          <w:tcPr>
            <w:tcW w:w="8100" w:type="dxa"/>
            <w:vAlign w:val="bottom"/>
            <w:tcBorders>
              <w:bottom w:val="single" w:sz="8" w:color="CFF0FC"/>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8100" w:type="dxa"/>
            <w:vAlign w:val="bottom"/>
            <w:shd w:val="clear" w:color="auto" w:fill="CFF0FC"/>
          </w:tcPr>
          <w:p>
            <w:pPr>
              <w:ind w:left="37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206,317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230,752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00" w:type="dxa"/>
            <w:vAlign w:val="bottom"/>
          </w:tcPr>
          <w:p>
            <w:pPr>
              <w:ind w:left="260"/>
              <w:spacing w:after="0"/>
              <w:rPr>
                <w:sz w:val="20"/>
                <w:szCs w:val="20"/>
                <w:color w:val="auto"/>
              </w:rPr>
            </w:pPr>
            <w:r>
              <w:rPr>
                <w:rFonts w:ascii="Arial" w:cs="Arial" w:eastAsia="Arial" w:hAnsi="Arial"/>
                <w:sz w:val="18"/>
                <w:szCs w:val="18"/>
                <w:color w:val="auto"/>
              </w:rPr>
              <w:t>Restricted cash and investments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34,634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0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53,899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60,169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from affiliates</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0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18,379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receivable</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0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30,966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Assets held for sale</w:t>
            </w:r>
          </w:p>
        </w:tc>
        <w:tc>
          <w:tcPr>
            <w:tcW w:w="3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253,135</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155,771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1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604,643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573,196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and advances to unconsolidated affiliates</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135,828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2,614,524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2,882,606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Gaming licenses and other intangibles, net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1,111,398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1,362,006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0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909,717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1,008,316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188,219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 net</w:t>
            </w: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76,224</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83,446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1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5,640,553</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5,911,462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vMerge w:val="restart"/>
          </w:tcPr>
          <w:p>
            <w:pPr>
              <w:ind w:left="212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0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246,175</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61,951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00" w:type="dxa"/>
            <w:vAlign w:val="bottom"/>
          </w:tcPr>
          <w:p>
            <w:pPr>
              <w:ind w:left="260"/>
              <w:spacing w:after="0"/>
              <w:rPr>
                <w:sz w:val="20"/>
                <w:szCs w:val="20"/>
                <w:color w:val="auto"/>
              </w:rPr>
            </w:pPr>
            <w:r>
              <w:rPr>
                <w:rFonts w:ascii="Arial" w:cs="Arial" w:eastAsia="Arial" w:hAnsi="Arial"/>
                <w:sz w:val="18"/>
                <w:szCs w:val="18"/>
                <w:color w:val="auto"/>
              </w:rPr>
              <w:t>Accrued property, gaming and other taxes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43,050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51,931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payroll and related</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62,337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00" w:type="dxa"/>
            <w:vAlign w:val="bottom"/>
          </w:tcPr>
          <w:p>
            <w:pPr>
              <w:ind w:left="260"/>
              <w:spacing w:after="0"/>
              <w:rPr>
                <w:sz w:val="20"/>
                <w:szCs w:val="20"/>
                <w:color w:val="auto"/>
              </w:rPr>
            </w:pPr>
            <w:r>
              <w:rPr>
                <w:rFonts w:ascii="Arial" w:cs="Arial" w:eastAsia="Arial" w:hAnsi="Arial"/>
                <w:sz w:val="18"/>
                <w:szCs w:val="18"/>
                <w:color w:val="auto"/>
              </w:rPr>
              <w:t>Accrued interest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36,480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42,780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00" w:type="dxa"/>
            <w:vAlign w:val="bottom"/>
          </w:tcPr>
          <w:p>
            <w:pPr>
              <w:ind w:left="260"/>
              <w:spacing w:after="0"/>
              <w:rPr>
                <w:sz w:val="20"/>
                <w:szCs w:val="20"/>
                <w:color w:val="auto"/>
              </w:rPr>
            </w:pPr>
            <w:r>
              <w:rPr>
                <w:rFonts w:ascii="Arial" w:cs="Arial" w:eastAsia="Arial" w:hAnsi="Arial"/>
                <w:sz w:val="18"/>
                <w:szCs w:val="18"/>
                <w:color w:val="auto"/>
              </w:rPr>
              <w:t>Short-term lease obligation</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19,991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8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other liabilities</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157,079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Liabilities related to assets held for sale</w:t>
            </w: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37,485</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688,446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402,177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00" w:type="dxa"/>
            <w:vAlign w:val="bottom"/>
          </w:tcPr>
          <w:p>
            <w:pPr>
              <w:spacing w:after="0"/>
              <w:rPr>
                <w:sz w:val="20"/>
                <w:szCs w:val="20"/>
                <w:color w:val="auto"/>
              </w:rPr>
            </w:pPr>
            <w:r>
              <w:rPr>
                <w:rFonts w:ascii="Arial" w:cs="Arial" w:eastAsia="Arial" w:hAnsi="Arial"/>
                <w:sz w:val="18"/>
                <w:szCs w:val="18"/>
                <w:color w:val="auto"/>
              </w:rPr>
              <w:t>Long-term financing obligation to GLPI</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970,519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959,835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Long-term debt, less current portion</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2,324,541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3,261,273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197,266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Long-term lease obligation</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176,932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165,592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4,523,296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4,882,309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00" w:type="dxa"/>
            <w:vAlign w:val="bottom"/>
          </w:tcPr>
          <w:p>
            <w:pPr>
              <w:spacing w:after="0"/>
              <w:rPr>
                <w:sz w:val="20"/>
                <w:szCs w:val="20"/>
                <w:color w:val="auto"/>
              </w:rPr>
            </w:pPr>
            <w:r>
              <w:rPr>
                <w:rFonts w:ascii="Arial" w:cs="Arial" w:eastAsia="Arial" w:hAnsi="Arial"/>
                <w:sz w:val="18"/>
                <w:szCs w:val="18"/>
                <w:color w:val="auto"/>
              </w:rPr>
              <w:t>Commitments and contingencies (Note 18)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260"/>
              <w:spacing w:after="0"/>
              <w:rPr>
                <w:sz w:val="20"/>
                <w:szCs w:val="20"/>
                <w:color w:val="auto"/>
              </w:rPr>
            </w:pPr>
            <w:r>
              <w:rPr>
                <w:rFonts w:ascii="Arial" w:cs="Arial" w:eastAsia="Arial" w:hAnsi="Arial"/>
                <w:sz w:val="18"/>
                <w:szCs w:val="18"/>
                <w:color w:val="auto"/>
                <w:w w:val="91"/>
              </w:rPr>
              <w:t>Common stock, 200,000,000 shares authorized, 77,569,117 and 77,215,066 issued and outstanding, net of</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100" w:type="dxa"/>
            <w:vAlign w:val="bottom"/>
          </w:tcPr>
          <w:p>
            <w:pPr>
              <w:ind w:left="260"/>
              <w:spacing w:after="0"/>
              <w:rPr>
                <w:sz w:val="20"/>
                <w:szCs w:val="20"/>
                <w:color w:val="auto"/>
              </w:rPr>
            </w:pPr>
            <w:r>
              <w:rPr>
                <w:rFonts w:ascii="Arial" w:cs="Arial" w:eastAsia="Arial" w:hAnsi="Arial"/>
                <w:sz w:val="18"/>
                <w:szCs w:val="18"/>
                <w:color w:val="auto"/>
                <w:w w:val="97"/>
              </w:rPr>
              <w:t>treasury shares, par value $0.00001 as of December 31, 2019 and December 31, 2018, respectively</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Paid-in capital</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759,547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748,076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0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366,463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 at cost, 223,823 shares held at December 31, 2019 and 2018</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(9,131)</w:t>
            </w:r>
          </w:p>
        </w:tc>
        <w:tc>
          <w:tcPr>
            <w:tcW w:w="0" w:type="dxa"/>
            <w:vAlign w:val="bottom"/>
          </w:tcPr>
          <w:p>
            <w:pPr>
              <w:spacing w:after="0"/>
              <w:rPr>
                <w:sz w:val="1"/>
                <w:szCs w:val="1"/>
                <w:color w:val="auto"/>
              </w:rPr>
            </w:pPr>
          </w:p>
        </w:tc>
      </w:tr>
      <w:tr>
        <w:trPr>
          <w:trHeight w:val="227"/>
        </w:trPr>
        <w:tc>
          <w:tcPr>
            <w:tcW w:w="8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3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1,117,257</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1,029,153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10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5,640,553</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5,911,462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9">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6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1"/>
              <w:spacing w:after="0" w:line="154"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1"/>
              <w:spacing w:after="0" w:line="154"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1"/>
              <w:spacing w:after="0" w:line="154"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60" w:type="dxa"/>
            <w:vAlign w:val="bottom"/>
          </w:tcPr>
          <w:p>
            <w:pPr>
              <w:ind w:left="260"/>
              <w:spacing w:after="0"/>
              <w:rPr>
                <w:sz w:val="20"/>
                <w:szCs w:val="20"/>
                <w:color w:val="auto"/>
              </w:rPr>
            </w:pPr>
            <w:r>
              <w:rPr>
                <w:rFonts w:ascii="Arial" w:cs="Arial" w:eastAsia="Arial" w:hAnsi="Arial"/>
                <w:sz w:val="18"/>
                <w:szCs w:val="18"/>
                <w:color w:val="auto"/>
              </w:rPr>
              <w:t>Casino and pari-mutuel commissions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1,808,186</w:t>
            </w:r>
          </w:p>
        </w:tc>
        <w:tc>
          <w:tcPr>
            <w:tcW w:w="120" w:type="dxa"/>
            <w:vAlign w:val="bottom"/>
          </w:tcPr>
          <w:p>
            <w:pPr>
              <w:spacing w:after="0"/>
              <w:rPr>
                <w:sz w:val="19"/>
                <w:szCs w:val="19"/>
                <w:color w:val="auto"/>
              </w:rPr>
            </w:pPr>
          </w:p>
        </w:tc>
        <w:tc>
          <w:tcPr>
            <w:tcW w:w="4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1,553,378</w:t>
            </w:r>
          </w:p>
        </w:tc>
        <w:tc>
          <w:tcPr>
            <w:tcW w:w="24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1,099,027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Food and beverage</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301,417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247,339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60" w:type="dxa"/>
            <w:vAlign w:val="bottom"/>
          </w:tcPr>
          <w:p>
            <w:pPr>
              <w:ind w:left="260"/>
              <w:spacing w:after="0"/>
              <w:rPr>
                <w:sz w:val="20"/>
                <w:szCs w:val="20"/>
                <w:color w:val="auto"/>
              </w:rPr>
            </w:pPr>
            <w:r>
              <w:rPr>
                <w:rFonts w:ascii="Arial" w:cs="Arial" w:eastAsia="Arial" w:hAnsi="Arial"/>
                <w:sz w:val="18"/>
                <w:szCs w:val="18"/>
                <w:color w:val="auto"/>
              </w:rPr>
              <w:t>Hotel</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299,908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183,804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118,738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71,486</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6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2,528,249</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2,056,007</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1,480,798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60" w:type="dxa"/>
            <w:vAlign w:val="bottom"/>
          </w:tcPr>
          <w:p>
            <w:pPr>
              <w:ind w:left="260"/>
              <w:spacing w:after="0"/>
              <w:rPr>
                <w:sz w:val="20"/>
                <w:szCs w:val="20"/>
                <w:color w:val="auto"/>
              </w:rPr>
            </w:pPr>
            <w:r>
              <w:rPr>
                <w:rFonts w:ascii="Arial" w:cs="Arial" w:eastAsia="Arial" w:hAnsi="Arial"/>
                <w:sz w:val="18"/>
                <w:szCs w:val="18"/>
                <w:color w:val="auto"/>
              </w:rPr>
              <w:t>Casino and pari-mutuel commissions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802,327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749,289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561,089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Food and beverage</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238,661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202,618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60" w:type="dxa"/>
            <w:vAlign w:val="bottom"/>
          </w:tcPr>
          <w:p>
            <w:pPr>
              <w:ind w:left="260"/>
              <w:spacing w:after="0"/>
              <w:rPr>
                <w:sz w:val="20"/>
                <w:szCs w:val="20"/>
                <w:color w:val="auto"/>
              </w:rPr>
            </w:pPr>
            <w:r>
              <w:rPr>
                <w:rFonts w:ascii="Arial" w:cs="Arial" w:eastAsia="Arial" w:hAnsi="Arial"/>
                <w:sz w:val="18"/>
                <w:szCs w:val="18"/>
                <w:color w:val="auto"/>
              </w:rPr>
              <w:t>Hotel</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99,223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65,009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50,575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45,938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38,676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60" w:type="dxa"/>
            <w:vAlign w:val="bottom"/>
          </w:tcPr>
          <w:p>
            <w:pPr>
              <w:ind w:left="260"/>
              <w:spacing w:after="0"/>
              <w:rPr>
                <w:sz w:val="20"/>
                <w:szCs w:val="20"/>
                <w:color w:val="auto"/>
              </w:rPr>
            </w:pPr>
            <w:r>
              <w:rPr>
                <w:rFonts w:ascii="Arial" w:cs="Arial" w:eastAsia="Arial" w:hAnsi="Arial"/>
                <w:sz w:val="18"/>
                <w:szCs w:val="18"/>
                <w:color w:val="auto"/>
              </w:rPr>
              <w:t>Marketing and promotions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129,373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106,161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83,174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476,751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349,598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6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65,996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46,632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charges</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221,525</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157,429</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105,891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2,080,752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1,729,014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1,312,525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60" w:type="dxa"/>
            <w:vAlign w:val="bottom"/>
          </w:tcPr>
          <w:p>
            <w:pPr>
              <w:spacing w:after="0"/>
              <w:rPr>
                <w:sz w:val="20"/>
                <w:szCs w:val="20"/>
                <w:color w:val="auto"/>
              </w:rPr>
            </w:pPr>
            <w:r>
              <w:rPr>
                <w:rFonts w:ascii="Arial" w:cs="Arial" w:eastAsia="Arial" w:hAnsi="Arial"/>
                <w:sz w:val="18"/>
                <w:szCs w:val="18"/>
                <w:color w:val="auto"/>
              </w:rPr>
              <w:t>Gain (loss) on sale of businesses and disposal of property and equipment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49,575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(835)</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8"/>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terminated sales</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60" w:type="dxa"/>
            <w:vAlign w:val="bottom"/>
          </w:tcPr>
          <w:p>
            <w:pPr>
              <w:spacing w:after="0"/>
              <w:rPr>
                <w:sz w:val="20"/>
                <w:szCs w:val="20"/>
                <w:color w:val="auto"/>
              </w:rPr>
            </w:pPr>
            <w:r>
              <w:rPr>
                <w:rFonts w:ascii="Arial" w:cs="Arial" w:eastAsia="Arial" w:hAnsi="Arial"/>
                <w:sz w:val="18"/>
                <w:szCs w:val="18"/>
                <w:color w:val="auto"/>
              </w:rPr>
              <w:t>Transaction expenses</w:t>
            </w:r>
          </w:p>
        </w:tc>
        <w:tc>
          <w:tcPr>
            <w:tcW w:w="3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(84,658)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(20,842)</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(92,777)</w:t>
            </w:r>
          </w:p>
        </w:tc>
        <w:tc>
          <w:tcPr>
            <w:tcW w:w="0" w:type="dxa"/>
            <w:vAlign w:val="bottom"/>
          </w:tcPr>
          <w:p>
            <w:pPr>
              <w:spacing w:after="0"/>
              <w:rPr>
                <w:sz w:val="1"/>
                <w:szCs w:val="1"/>
                <w:color w:val="auto"/>
              </w:rPr>
            </w:pPr>
          </w:p>
        </w:tc>
      </w:tr>
      <w:tr>
        <w:trPr>
          <w:trHeight w:val="228"/>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Loss from unconsolidated affiliates</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(2,441)</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(213)</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1"/>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409,973</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310,103</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6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(286,248)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(171,732)</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(99,769)</w:t>
            </w:r>
          </w:p>
        </w:tc>
        <w:tc>
          <w:tcPr>
            <w:tcW w:w="0" w:type="dxa"/>
            <w:vAlign w:val="bottom"/>
          </w:tcPr>
          <w:p>
            <w:pPr>
              <w:spacing w:after="0"/>
              <w:rPr>
                <w:sz w:val="1"/>
                <w:szCs w:val="1"/>
                <w:color w:val="auto"/>
              </w:rPr>
            </w:pPr>
          </w:p>
        </w:tc>
      </w:tr>
      <w:tr>
        <w:trPr>
          <w:trHeight w:val="228"/>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early retirement of debt, net</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(7,512)</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(162)</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(38,430)</w:t>
            </w:r>
          </w:p>
        </w:tc>
        <w:tc>
          <w:tcPr>
            <w:tcW w:w="0" w:type="dxa"/>
            <w:vAlign w:val="bottom"/>
          </w:tcPr>
          <w:p>
            <w:pPr>
              <w:spacing w:after="0"/>
              <w:rPr>
                <w:sz w:val="1"/>
                <w:szCs w:val="1"/>
                <w:color w:val="auto"/>
              </w:rPr>
            </w:pPr>
          </w:p>
        </w:tc>
      </w:tr>
      <w:tr>
        <w:trPr>
          <w:trHeight w:val="227"/>
        </w:trPr>
        <w:tc>
          <w:tcPr>
            <w:tcW w:w="6660" w:type="dxa"/>
            <w:vAlign w:val="bottom"/>
          </w:tcPr>
          <w:p>
            <w:pPr>
              <w:ind w:left="260"/>
              <w:spacing w:after="0"/>
              <w:rPr>
                <w:sz w:val="20"/>
                <w:szCs w:val="20"/>
                <w:color w:val="auto"/>
              </w:rPr>
            </w:pPr>
            <w:r>
              <w:rPr>
                <w:rFonts w:ascii="Arial" w:cs="Arial" w:eastAsia="Arial" w:hAnsi="Arial"/>
                <w:sz w:val="18"/>
                <w:szCs w:val="18"/>
                <w:color w:val="auto"/>
              </w:rPr>
              <w:t>Unrealized gain (loss) on restricted investment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(2,587)</w:t>
            </w:r>
          </w:p>
        </w:tc>
        <w:tc>
          <w:tcPr>
            <w:tcW w:w="3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66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(284,995)</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(174,481)</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(138,199)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60" w:type="dxa"/>
            <w:vAlign w:val="bottom"/>
          </w:tcPr>
          <w:p>
            <w:pPr>
              <w:spacing w:after="0"/>
              <w:rPr>
                <w:sz w:val="20"/>
                <w:szCs w:val="20"/>
                <w:color w:val="auto"/>
              </w:rPr>
            </w:pPr>
            <w:r>
              <w:rPr>
                <w:rFonts w:ascii="Arial" w:cs="Arial" w:eastAsia="Arial" w:hAnsi="Arial"/>
                <w:sz w:val="18"/>
                <w:szCs w:val="18"/>
                <w:color w:val="auto"/>
              </w:rPr>
              <w:t>Net income (loss) before income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124,978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135,622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(43,389)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(43,977)</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(40,387)</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81,001</w:t>
            </w: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95,235</w:t>
            </w:r>
          </w:p>
        </w:tc>
        <w:tc>
          <w:tcPr>
            <w:tcW w:w="24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73,380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 of common stock:</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666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4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23"/>
                <w:szCs w:val="23"/>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666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Weighted average basic shares outstanding</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660" w:type="dxa"/>
            <w:vAlign w:val="bottom"/>
            <w:tcBorders>
              <w:bottom w:val="single" w:sz="8" w:color="CFF0FC"/>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77,677,265</w:t>
            </w:r>
          </w:p>
        </w:tc>
        <w:tc>
          <w:tcPr>
            <w:tcW w:w="1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77,458,902</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67,133,531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diluted shares outstanding</w:t>
            </w: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78,593,819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78,282,101</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68,102,814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10">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9"/>
              </w:rPr>
              <w:t>Year Ended December 31,</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4"/>
        </w:trPr>
        <w:tc>
          <w:tcPr>
            <w:tcW w:w="576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4"/>
              <w:spacing w:after="0" w:line="154"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4"/>
              <w:spacing w:after="0" w:line="154"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1"/>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7"/>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81,001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95,235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73,380</w:t>
            </w:r>
          </w:p>
        </w:tc>
        <w:tc>
          <w:tcPr>
            <w:tcW w:w="120" w:type="dxa"/>
            <w:vAlign w:val="bottom"/>
            <w:shd w:val="clear" w:color="auto" w:fill="CFF0FC"/>
          </w:tcPr>
          <w:p>
            <w:pPr>
              <w:spacing w:after="0"/>
              <w:rPr>
                <w:sz w:val="19"/>
                <w:szCs w:val="19"/>
                <w:color w:val="auto"/>
              </w:rPr>
            </w:pPr>
          </w:p>
        </w:tc>
      </w:tr>
      <w:tr>
        <w:trPr>
          <w:trHeight w:val="227"/>
        </w:trPr>
        <w:tc>
          <w:tcPr>
            <w:tcW w:w="57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3"/>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Defined benefit pension plan—amortization of net income (loss),</w:t>
            </w:r>
          </w:p>
        </w:tc>
        <w:tc>
          <w:tcPr>
            <w:tcW w:w="8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8"/>
        </w:trPr>
        <w:tc>
          <w:tcPr>
            <w:tcW w:w="5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of tax of $116, $(1) and $36, respectively</w:t>
            </w:r>
          </w:p>
        </w:tc>
        <w:tc>
          <w:tcPr>
            <w:tcW w:w="8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FF0FC"/>
          </w:tcPr>
          <w:p>
            <w:pPr>
              <w:spacing w:after="0"/>
              <w:rPr>
                <w:sz w:val="19"/>
                <w:szCs w:val="19"/>
                <w:color w:val="auto"/>
              </w:rPr>
            </w:pPr>
          </w:p>
        </w:tc>
      </w:tr>
      <w:tr>
        <w:trPr>
          <w:trHeight w:val="221"/>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(loss)</w:t>
            </w:r>
          </w:p>
        </w:tc>
        <w:tc>
          <w:tcPr>
            <w:tcW w:w="84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FF0FC"/>
            </w:tcBorders>
          </w:tcPr>
          <w:p>
            <w:pPr>
              <w:spacing w:after="0"/>
              <w:rPr>
                <w:sz w:val="19"/>
                <w:szCs w:val="19"/>
                <w:color w:val="auto"/>
              </w:rPr>
            </w:pPr>
          </w:p>
        </w:tc>
      </w:tr>
      <w:tr>
        <w:trPr>
          <w:trHeight w:val="221"/>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net of tax</w:t>
            </w:r>
          </w:p>
        </w:tc>
        <w:tc>
          <w:tcPr>
            <w:tcW w:w="8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7"/>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81,377</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95,157</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73,447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11">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97"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134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b w:val="1"/>
                <w:bCs w:val="1"/>
                <w:color w:val="auto"/>
                <w:w w:val="93"/>
              </w:rPr>
              <w:t>Common Stock</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14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3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Paid-in</w:t>
            </w:r>
          </w:p>
        </w:tc>
        <w:tc>
          <w:tcPr>
            <w:tcW w:w="20" w:type="dxa"/>
            <w:vAlign w:val="bottom"/>
          </w:tcPr>
          <w:p>
            <w:pPr>
              <w:spacing w:after="0"/>
              <w:rPr>
                <w:sz w:val="12"/>
                <w:szCs w:val="12"/>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40" w:type="dxa"/>
            <w:vAlign w:val="bottom"/>
          </w:tcPr>
          <w:p>
            <w:pPr>
              <w:spacing w:after="0"/>
              <w:rPr>
                <w:sz w:val="12"/>
                <w:szCs w:val="12"/>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100" w:type="dxa"/>
            <w:vAlign w:val="bottom"/>
            <w:gridSpan w:val="4"/>
          </w:tcPr>
          <w:p>
            <w:pPr>
              <w:ind w:left="40"/>
              <w:spacing w:after="0" w:line="147" w:lineRule="exact"/>
              <w:rPr>
                <w:sz w:val="20"/>
                <w:szCs w:val="20"/>
                <w:color w:val="auto"/>
              </w:rPr>
            </w:pPr>
            <w:r>
              <w:rPr>
                <w:rFonts w:ascii="Arial" w:cs="Arial" w:eastAsia="Arial" w:hAnsi="Arial"/>
                <w:sz w:val="14"/>
                <w:szCs w:val="14"/>
                <w:b w:val="1"/>
                <w:bCs w:val="1"/>
                <w:color w:val="auto"/>
                <w:w w:val="98"/>
              </w:rPr>
              <w:t>Comprehensive</w:t>
            </w:r>
          </w:p>
        </w:tc>
        <w:tc>
          <w:tcPr>
            <w:tcW w:w="60" w:type="dxa"/>
            <w:vAlign w:val="bottom"/>
          </w:tcPr>
          <w:p>
            <w:pPr>
              <w:spacing w:after="0"/>
              <w:rPr>
                <w:sz w:val="12"/>
                <w:szCs w:val="12"/>
                <w:color w:val="auto"/>
              </w:rPr>
            </w:pPr>
          </w:p>
        </w:tc>
        <w:tc>
          <w:tcPr>
            <w:tcW w:w="60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4"/>
              </w:rPr>
              <w:t>Shares</w:t>
            </w:r>
          </w:p>
        </w:tc>
        <w:tc>
          <w:tcPr>
            <w:tcW w:w="120" w:type="dxa"/>
            <w:vAlign w:val="bottom"/>
          </w:tcPr>
          <w:p>
            <w:pPr>
              <w:spacing w:after="0"/>
              <w:rPr>
                <w:sz w:val="12"/>
                <w:szCs w:val="12"/>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w w:val="93"/>
              </w:rPr>
              <w:t>Balance, December</w:t>
            </w: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340" w:type="dxa"/>
            <w:vAlign w:val="bottom"/>
            <w:shd w:val="clear" w:color="auto" w:fill="CFF0FC"/>
          </w:tcPr>
          <w:p>
            <w:pPr>
              <w:spacing w:after="0"/>
              <w:rPr>
                <w:sz w:val="20"/>
                <w:szCs w:val="20"/>
                <w:color w:val="auto"/>
              </w:rPr>
            </w:pPr>
            <w:r>
              <w:rPr>
                <w:rFonts w:ascii="Arial" w:cs="Arial" w:eastAsia="Arial" w:hAnsi="Arial"/>
                <w:sz w:val="16"/>
                <w:szCs w:val="16"/>
                <w:color w:val="auto"/>
              </w:rPr>
              <w:t>31, 2016</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47,105,744</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173,879</w:t>
            </w:r>
          </w:p>
        </w:tc>
        <w:tc>
          <w:tcPr>
            <w:tcW w:w="10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122,078</w:t>
            </w:r>
          </w:p>
        </w:tc>
        <w:tc>
          <w:tcPr>
            <w:tcW w:w="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295,969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340" w:type="dxa"/>
            <w:vAlign w:val="bottom"/>
          </w:tcPr>
          <w:p>
            <w:pPr>
              <w:ind w:left="240"/>
              <w:spacing w:after="0"/>
              <w:rPr>
                <w:sz w:val="20"/>
                <w:szCs w:val="20"/>
                <w:color w:val="auto"/>
              </w:rPr>
            </w:pPr>
            <w:r>
              <w:rPr>
                <w:rFonts w:ascii="Arial" w:cs="Arial" w:eastAsia="Arial" w:hAnsi="Arial"/>
                <w:sz w:val="16"/>
                <w:szCs w:val="16"/>
                <w:color w:val="auto"/>
              </w:rPr>
              <w:t>Isle common</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tcPr>
          <w:p>
            <w:pPr>
              <w:ind w:left="240"/>
              <w:spacing w:after="0"/>
              <w:rPr>
                <w:sz w:val="20"/>
                <w:szCs w:val="20"/>
                <w:color w:val="auto"/>
              </w:rPr>
            </w:pPr>
            <w:r>
              <w:rPr>
                <w:rFonts w:ascii="Arial" w:cs="Arial" w:eastAsia="Arial" w:hAnsi="Arial"/>
                <w:sz w:val="16"/>
                <w:szCs w:val="16"/>
                <w:color w:val="auto"/>
              </w:rPr>
              <w:t>stock</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tcPr>
          <w:p>
            <w:pPr>
              <w:ind w:left="240"/>
              <w:spacing w:after="0"/>
              <w:rPr>
                <w:sz w:val="20"/>
                <w:szCs w:val="20"/>
                <w:color w:val="auto"/>
              </w:rPr>
            </w:pPr>
            <w:r>
              <w:rPr>
                <w:rFonts w:ascii="Arial" w:cs="Arial" w:eastAsia="Arial" w:hAnsi="Arial"/>
                <w:sz w:val="16"/>
                <w:szCs w:val="16"/>
                <w:color w:val="auto"/>
              </w:rPr>
              <w:t>exchanged at</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340" w:type="dxa"/>
            <w:vAlign w:val="bottom"/>
          </w:tcPr>
          <w:p>
            <w:pPr>
              <w:ind w:left="240"/>
              <w:spacing w:after="0"/>
              <w:rPr>
                <w:sz w:val="20"/>
                <w:szCs w:val="20"/>
                <w:color w:val="auto"/>
              </w:rPr>
            </w:pPr>
            <w:r>
              <w:rPr>
                <w:rFonts w:ascii="Arial" w:cs="Arial" w:eastAsia="Arial" w:hAnsi="Arial"/>
                <w:sz w:val="16"/>
                <w:szCs w:val="16"/>
                <w:color w:val="auto"/>
              </w:rPr>
              <w:t>merger</w:t>
            </w:r>
          </w:p>
        </w:tc>
        <w:tc>
          <w:tcPr>
            <w:tcW w:w="800" w:type="dxa"/>
            <w:vAlign w:val="bottom"/>
          </w:tcPr>
          <w:p>
            <w:pPr>
              <w:jc w:val="right"/>
              <w:spacing w:after="0"/>
              <w:rPr>
                <w:sz w:val="20"/>
                <w:szCs w:val="20"/>
                <w:color w:val="auto"/>
              </w:rPr>
            </w:pPr>
            <w:r>
              <w:rPr>
                <w:rFonts w:ascii="Arial" w:cs="Arial" w:eastAsia="Arial" w:hAnsi="Arial"/>
                <w:sz w:val="16"/>
                <w:szCs w:val="16"/>
                <w:color w:val="auto"/>
                <w:w w:val="94"/>
              </w:rPr>
              <w:t>28,468,182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574,811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574,811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Issuance of</w:t>
            </w: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restricted stock</w:t>
            </w: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units</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1,070,552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6,322</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40" w:type="dxa"/>
            <w:vAlign w:val="bottom"/>
          </w:tcPr>
          <w:p>
            <w:pPr>
              <w:ind w:left="240"/>
              <w:spacing w:after="0"/>
              <w:rPr>
                <w:sz w:val="20"/>
                <w:szCs w:val="20"/>
                <w:color w:val="auto"/>
              </w:rPr>
            </w:pPr>
            <w:r>
              <w:rPr>
                <w:rFonts w:ascii="Arial" w:cs="Arial" w:eastAsia="Arial" w:hAnsi="Arial"/>
                <w:sz w:val="16"/>
                <w:szCs w:val="16"/>
                <w:color w:val="auto"/>
              </w:rPr>
              <w:t>Other</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(487)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17"/>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Net income</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73,380</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73,380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340" w:type="dxa"/>
            <w:vAlign w:val="bottom"/>
          </w:tcPr>
          <w:p>
            <w:pPr>
              <w:ind w:left="240"/>
              <w:spacing w:after="0"/>
              <w:rPr>
                <w:sz w:val="20"/>
                <w:szCs w:val="20"/>
                <w:color w:val="auto"/>
              </w:rPr>
            </w:pPr>
            <w:r>
              <w:rPr>
                <w:rFonts w:ascii="Arial" w:cs="Arial" w:eastAsia="Arial" w:hAnsi="Arial"/>
                <w:sz w:val="16"/>
                <w:szCs w:val="16"/>
                <w:color w:val="auto"/>
              </w:rPr>
              <w:t>Other</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tcPr>
          <w:p>
            <w:pPr>
              <w:ind w:left="240"/>
              <w:spacing w:after="0"/>
              <w:rPr>
                <w:sz w:val="20"/>
                <w:szCs w:val="20"/>
                <w:color w:val="auto"/>
              </w:rPr>
            </w:pPr>
            <w:r>
              <w:rPr>
                <w:rFonts w:ascii="Arial" w:cs="Arial" w:eastAsia="Arial" w:hAnsi="Arial"/>
                <w:sz w:val="16"/>
                <w:szCs w:val="16"/>
                <w:color w:val="auto"/>
                <w:w w:val="99"/>
              </w:rPr>
              <w:t>comprehensive</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340" w:type="dxa"/>
            <w:vAlign w:val="bottom"/>
          </w:tcPr>
          <w:p>
            <w:pPr>
              <w:ind w:left="240"/>
              <w:spacing w:after="0"/>
              <w:rPr>
                <w:sz w:val="20"/>
                <w:szCs w:val="20"/>
                <w:color w:val="auto"/>
              </w:rPr>
            </w:pPr>
            <w:r>
              <w:rPr>
                <w:rFonts w:ascii="Arial" w:cs="Arial" w:eastAsia="Arial" w:hAnsi="Arial"/>
                <w:sz w:val="16"/>
                <w:szCs w:val="16"/>
                <w:color w:val="auto"/>
              </w:rPr>
              <w:t>income</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Exercise of</w:t>
            </w: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stock options</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1,185,745</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2,900</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340" w:type="dxa"/>
            <w:vAlign w:val="bottom"/>
          </w:tcPr>
          <w:p>
            <w:pPr>
              <w:ind w:left="240"/>
              <w:spacing w:after="0"/>
              <w:rPr>
                <w:sz w:val="20"/>
                <w:szCs w:val="20"/>
                <w:color w:val="auto"/>
              </w:rPr>
            </w:pPr>
            <w:r>
              <w:rPr>
                <w:rFonts w:ascii="Arial" w:cs="Arial" w:eastAsia="Arial" w:hAnsi="Arial"/>
                <w:sz w:val="16"/>
                <w:szCs w:val="16"/>
                <w:color w:val="auto"/>
              </w:rPr>
              <w:t>Shares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tcPr>
          <w:p>
            <w:pPr>
              <w:ind w:left="240"/>
              <w:spacing w:after="0"/>
              <w:rPr>
                <w:sz w:val="20"/>
                <w:szCs w:val="20"/>
                <w:color w:val="auto"/>
              </w:rPr>
            </w:pPr>
            <w:r>
              <w:rPr>
                <w:rFonts w:ascii="Arial" w:cs="Arial" w:eastAsia="Arial" w:hAnsi="Arial"/>
                <w:sz w:val="16"/>
                <w:szCs w:val="16"/>
                <w:color w:val="auto"/>
              </w:rPr>
              <w:t>withheld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tcPr>
          <w:p>
            <w:pPr>
              <w:ind w:left="240"/>
              <w:spacing w:after="0"/>
              <w:rPr>
                <w:sz w:val="20"/>
                <w:szCs w:val="20"/>
                <w:color w:val="auto"/>
              </w:rPr>
            </w:pPr>
            <w:r>
              <w:rPr>
                <w:rFonts w:ascii="Arial" w:cs="Arial" w:eastAsia="Arial" w:hAnsi="Arial"/>
                <w:sz w:val="16"/>
                <w:szCs w:val="16"/>
                <w:color w:val="auto"/>
              </w:rPr>
              <w:t>related to net</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tcPr>
          <w:p>
            <w:pPr>
              <w:ind w:left="240"/>
              <w:spacing w:after="0"/>
              <w:rPr>
                <w:sz w:val="20"/>
                <w:szCs w:val="20"/>
                <w:color w:val="auto"/>
              </w:rPr>
            </w:pPr>
            <w:r>
              <w:rPr>
                <w:rFonts w:ascii="Arial" w:cs="Arial" w:eastAsia="Arial" w:hAnsi="Arial"/>
                <w:sz w:val="16"/>
                <w:szCs w:val="16"/>
                <w:color w:val="auto"/>
              </w:rPr>
              <w:t>share</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tcPr>
          <w:p>
            <w:pPr>
              <w:ind w:left="240"/>
              <w:spacing w:after="0"/>
              <w:rPr>
                <w:sz w:val="20"/>
                <w:szCs w:val="20"/>
                <w:color w:val="auto"/>
              </w:rPr>
            </w:pPr>
            <w:r>
              <w:rPr>
                <w:rFonts w:ascii="Arial" w:cs="Arial" w:eastAsia="Arial" w:hAnsi="Arial"/>
                <w:sz w:val="16"/>
                <w:szCs w:val="16"/>
                <w:color w:val="auto"/>
              </w:rPr>
              <w:t>settlement of</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340" w:type="dxa"/>
            <w:vAlign w:val="bottom"/>
          </w:tcPr>
          <w:p>
            <w:pPr>
              <w:ind w:left="240"/>
              <w:spacing w:after="0"/>
              <w:rPr>
                <w:sz w:val="20"/>
                <w:szCs w:val="20"/>
                <w:color w:val="auto"/>
              </w:rPr>
            </w:pPr>
            <w:r>
              <w:rPr>
                <w:rFonts w:ascii="Arial" w:cs="Arial" w:eastAsia="Arial" w:hAnsi="Arial"/>
                <w:sz w:val="16"/>
                <w:szCs w:val="16"/>
                <w:color w:val="auto"/>
              </w:rPr>
              <w:t>stock awards</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(1,004,257)</w:t>
            </w:r>
          </w:p>
        </w:tc>
        <w:tc>
          <w:tcPr>
            <w:tcW w:w="3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(11,365)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(11,365)</w:t>
            </w:r>
          </w:p>
        </w:tc>
        <w:tc>
          <w:tcPr>
            <w:tcW w:w="0" w:type="dxa"/>
            <w:vAlign w:val="bottom"/>
          </w:tcPr>
          <w:p>
            <w:pPr>
              <w:spacing w:after="0"/>
              <w:rPr>
                <w:sz w:val="1"/>
                <w:szCs w:val="1"/>
                <w:color w:val="auto"/>
              </w:rPr>
            </w:pPr>
          </w:p>
        </w:tc>
      </w:tr>
      <w:tr>
        <w:trPr>
          <w:trHeight w:val="200"/>
        </w:trPr>
        <w:tc>
          <w:tcPr>
            <w:tcW w:w="1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w w:val="93"/>
              </w:rPr>
              <w:t>Balance, December</w:t>
            </w: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340" w:type="dxa"/>
            <w:vAlign w:val="bottom"/>
            <w:shd w:val="clear" w:color="auto" w:fill="CFF0FC"/>
          </w:tcPr>
          <w:p>
            <w:pPr>
              <w:spacing w:after="0"/>
              <w:rPr>
                <w:sz w:val="20"/>
                <w:szCs w:val="20"/>
                <w:color w:val="auto"/>
              </w:rPr>
            </w:pPr>
            <w:r>
              <w:rPr>
                <w:rFonts w:ascii="Arial" w:cs="Arial" w:eastAsia="Arial" w:hAnsi="Arial"/>
                <w:sz w:val="16"/>
                <w:szCs w:val="16"/>
                <w:color w:val="auto"/>
              </w:rPr>
              <w:t>31, 2017</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76,825,966</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746,547</w:t>
            </w:r>
          </w:p>
        </w:tc>
        <w:tc>
          <w:tcPr>
            <w:tcW w:w="10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194,971</w:t>
            </w:r>
          </w:p>
        </w:tc>
        <w:tc>
          <w:tcPr>
            <w:tcW w:w="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941,597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340" w:type="dxa"/>
            <w:vAlign w:val="bottom"/>
          </w:tcPr>
          <w:p>
            <w:pPr>
              <w:ind w:left="240"/>
              <w:spacing w:after="0"/>
              <w:rPr>
                <w:sz w:val="20"/>
                <w:szCs w:val="20"/>
                <w:color w:val="auto"/>
              </w:rPr>
            </w:pPr>
            <w:r>
              <w:rPr>
                <w:rFonts w:ascii="Arial" w:cs="Arial" w:eastAsia="Arial" w:hAnsi="Arial"/>
                <w:sz w:val="16"/>
                <w:szCs w:val="16"/>
                <w:color w:val="auto"/>
              </w:rPr>
              <w:t>Issuance of</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tcPr>
          <w:p>
            <w:pPr>
              <w:ind w:left="240"/>
              <w:spacing w:after="0"/>
              <w:rPr>
                <w:sz w:val="20"/>
                <w:szCs w:val="20"/>
                <w:color w:val="auto"/>
              </w:rPr>
            </w:pPr>
            <w:r>
              <w:rPr>
                <w:rFonts w:ascii="Arial" w:cs="Arial" w:eastAsia="Arial" w:hAnsi="Arial"/>
                <w:sz w:val="16"/>
                <w:szCs w:val="16"/>
                <w:color w:val="auto"/>
              </w:rPr>
              <w:t>restricted stock</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340" w:type="dxa"/>
            <w:vAlign w:val="bottom"/>
          </w:tcPr>
          <w:p>
            <w:pPr>
              <w:ind w:left="240"/>
              <w:spacing w:after="0"/>
              <w:rPr>
                <w:sz w:val="20"/>
                <w:szCs w:val="20"/>
                <w:color w:val="auto"/>
              </w:rPr>
            </w:pPr>
            <w:r>
              <w:rPr>
                <w:rFonts w:ascii="Arial" w:cs="Arial" w:eastAsia="Arial" w:hAnsi="Arial"/>
                <w:sz w:val="16"/>
                <w:szCs w:val="16"/>
                <w:color w:val="auto"/>
              </w:rPr>
              <w:t>units</w:t>
            </w:r>
          </w:p>
        </w:tc>
        <w:tc>
          <w:tcPr>
            <w:tcW w:w="800" w:type="dxa"/>
            <w:vAlign w:val="bottom"/>
          </w:tcPr>
          <w:p>
            <w:pPr>
              <w:jc w:val="right"/>
              <w:spacing w:after="0"/>
              <w:rPr>
                <w:sz w:val="20"/>
                <w:szCs w:val="20"/>
                <w:color w:val="auto"/>
              </w:rPr>
            </w:pPr>
            <w:r>
              <w:rPr>
                <w:rFonts w:ascii="Arial" w:cs="Arial" w:eastAsia="Arial" w:hAnsi="Arial"/>
                <w:sz w:val="16"/>
                <w:szCs w:val="16"/>
                <w:color w:val="auto"/>
              </w:rPr>
              <w:t>848,737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13,083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13,084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Purchase of</w:t>
            </w: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7"/>
              </w:rPr>
              <w:t>treasury shares</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223,823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(9,131)</w:t>
            </w:r>
          </w:p>
        </w:tc>
        <w:tc>
          <w:tcPr>
            <w:tcW w:w="1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(9,131)</w:t>
            </w:r>
          </w:p>
        </w:tc>
        <w:tc>
          <w:tcPr>
            <w:tcW w:w="0" w:type="dxa"/>
            <w:vAlign w:val="bottom"/>
          </w:tcPr>
          <w:p>
            <w:pPr>
              <w:spacing w:after="0"/>
              <w:rPr>
                <w:sz w:val="1"/>
                <w:szCs w:val="1"/>
                <w:color w:val="auto"/>
              </w:rPr>
            </w:pPr>
          </w:p>
        </w:tc>
      </w:tr>
      <w:tr>
        <w:trPr>
          <w:trHeight w:val="211"/>
        </w:trPr>
        <w:tc>
          <w:tcPr>
            <w:tcW w:w="134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95,235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95,235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w:t>
            </w: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9"/>
              </w:rPr>
              <w:t>comprehensive</w:t>
            </w: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loss</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(78)</w:t>
            </w: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4"/>
        </w:trPr>
        <w:tc>
          <w:tcPr>
            <w:tcW w:w="1340" w:type="dxa"/>
            <w:vAlign w:val="bottom"/>
          </w:tcPr>
          <w:p>
            <w:pPr>
              <w:ind w:left="240"/>
              <w:spacing w:after="0"/>
              <w:rPr>
                <w:sz w:val="20"/>
                <w:szCs w:val="20"/>
                <w:color w:val="auto"/>
              </w:rPr>
            </w:pPr>
            <w:r>
              <w:rPr>
                <w:rFonts w:ascii="Arial" w:cs="Arial" w:eastAsia="Arial" w:hAnsi="Arial"/>
                <w:sz w:val="16"/>
                <w:szCs w:val="16"/>
                <w:color w:val="auto"/>
              </w:rPr>
              <w:t>Exercise of</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340" w:type="dxa"/>
            <w:vAlign w:val="bottom"/>
          </w:tcPr>
          <w:p>
            <w:pPr>
              <w:ind w:left="240"/>
              <w:spacing w:after="0"/>
              <w:rPr>
                <w:sz w:val="20"/>
                <w:szCs w:val="20"/>
                <w:color w:val="auto"/>
              </w:rPr>
            </w:pPr>
            <w:r>
              <w:rPr>
                <w:rFonts w:ascii="Arial" w:cs="Arial" w:eastAsia="Arial" w:hAnsi="Arial"/>
                <w:sz w:val="16"/>
                <w:szCs w:val="16"/>
                <w:color w:val="auto"/>
              </w:rPr>
              <w:t>stock options</w:t>
            </w:r>
          </w:p>
        </w:tc>
        <w:tc>
          <w:tcPr>
            <w:tcW w:w="800" w:type="dxa"/>
            <w:vAlign w:val="bottom"/>
          </w:tcPr>
          <w:p>
            <w:pPr>
              <w:jc w:val="right"/>
              <w:spacing w:after="0"/>
              <w:rPr>
                <w:sz w:val="20"/>
                <w:szCs w:val="20"/>
                <w:color w:val="auto"/>
              </w:rPr>
            </w:pPr>
            <w:r>
              <w:rPr>
                <w:rFonts w:ascii="Arial" w:cs="Arial" w:eastAsia="Arial" w:hAnsi="Arial"/>
                <w:sz w:val="16"/>
                <w:szCs w:val="16"/>
                <w:color w:val="auto"/>
              </w:rPr>
              <w:t>67,336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Shares</w:t>
            </w: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withheld</w:t>
            </w: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related to net</w:t>
            </w: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share</w:t>
            </w: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settlement of</w:t>
            </w: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stock awards</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(303,150)</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(11,708)</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(11,708)</w:t>
            </w:r>
          </w:p>
        </w:tc>
        <w:tc>
          <w:tcPr>
            <w:tcW w:w="0" w:type="dxa"/>
            <w:vAlign w:val="bottom"/>
          </w:tcPr>
          <w:p>
            <w:pPr>
              <w:spacing w:after="0"/>
              <w:rPr>
                <w:sz w:val="1"/>
                <w:szCs w:val="1"/>
                <w:color w:val="auto"/>
              </w:rPr>
            </w:pPr>
          </w:p>
        </w:tc>
      </w:tr>
      <w:tr>
        <w:trPr>
          <w:trHeight w:val="198"/>
        </w:trPr>
        <w:tc>
          <w:tcPr>
            <w:tcW w:w="1340" w:type="dxa"/>
            <w:vAlign w:val="bottom"/>
          </w:tcPr>
          <w:p>
            <w:pPr>
              <w:spacing w:after="0"/>
              <w:rPr>
                <w:sz w:val="20"/>
                <w:szCs w:val="20"/>
                <w:color w:val="auto"/>
              </w:rPr>
            </w:pPr>
            <w:r>
              <w:rPr>
                <w:rFonts w:ascii="Arial" w:cs="Arial" w:eastAsia="Arial" w:hAnsi="Arial"/>
                <w:sz w:val="16"/>
                <w:szCs w:val="16"/>
                <w:color w:val="auto"/>
                <w:w w:val="93"/>
              </w:rPr>
              <w:t>Balance, December</w:t>
            </w: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340" w:type="dxa"/>
            <w:vAlign w:val="bottom"/>
          </w:tcPr>
          <w:p>
            <w:pPr>
              <w:spacing w:after="0"/>
              <w:rPr>
                <w:sz w:val="20"/>
                <w:szCs w:val="20"/>
                <w:color w:val="auto"/>
              </w:rPr>
            </w:pPr>
            <w:r>
              <w:rPr>
                <w:rFonts w:ascii="Arial" w:cs="Arial" w:eastAsia="Arial" w:hAnsi="Arial"/>
                <w:sz w:val="16"/>
                <w:szCs w:val="16"/>
                <w:color w:val="auto"/>
              </w:rPr>
              <w:t>31, 2018</w:t>
            </w:r>
          </w:p>
        </w:tc>
        <w:tc>
          <w:tcPr>
            <w:tcW w:w="800" w:type="dxa"/>
            <w:vAlign w:val="bottom"/>
          </w:tcPr>
          <w:p>
            <w:pPr>
              <w:jc w:val="right"/>
              <w:spacing w:after="0"/>
              <w:rPr>
                <w:sz w:val="20"/>
                <w:szCs w:val="20"/>
                <w:color w:val="auto"/>
              </w:rPr>
            </w:pPr>
            <w:r>
              <w:rPr>
                <w:rFonts w:ascii="Arial" w:cs="Arial" w:eastAsia="Arial" w:hAnsi="Arial"/>
                <w:sz w:val="16"/>
                <w:szCs w:val="16"/>
                <w:color w:val="auto"/>
                <w:w w:val="94"/>
              </w:rPr>
              <w:t>77,438,889</w:t>
            </w:r>
          </w:p>
        </w:tc>
        <w:tc>
          <w:tcPr>
            <w:tcW w:w="1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748,076</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290,206</w:t>
            </w:r>
          </w:p>
        </w:tc>
        <w:tc>
          <w:tcPr>
            <w:tcW w:w="8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223,823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(9,131)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2"/>
              </w:rPr>
              <w:t>1,029,153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Cumulative</w:t>
            </w: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change in</w:t>
            </w: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accounting</w:t>
            </w: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9"/>
              </w:rPr>
              <w:t>principle, net of</w:t>
            </w: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tax</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(4,744)</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(4,744)</w:t>
            </w:r>
          </w:p>
        </w:tc>
        <w:tc>
          <w:tcPr>
            <w:tcW w:w="0" w:type="dxa"/>
            <w:vAlign w:val="bottom"/>
          </w:tcPr>
          <w:p>
            <w:pPr>
              <w:spacing w:after="0"/>
              <w:rPr>
                <w:sz w:val="1"/>
                <w:szCs w:val="1"/>
                <w:color w:val="auto"/>
              </w:rPr>
            </w:pPr>
          </w:p>
        </w:tc>
      </w:tr>
      <w:tr>
        <w:trPr>
          <w:trHeight w:val="204"/>
        </w:trPr>
        <w:tc>
          <w:tcPr>
            <w:tcW w:w="1340" w:type="dxa"/>
            <w:vAlign w:val="bottom"/>
          </w:tcPr>
          <w:p>
            <w:pPr>
              <w:ind w:left="240"/>
              <w:spacing w:after="0"/>
              <w:rPr>
                <w:sz w:val="20"/>
                <w:szCs w:val="20"/>
                <w:color w:val="auto"/>
              </w:rPr>
            </w:pPr>
            <w:r>
              <w:rPr>
                <w:rFonts w:ascii="Arial" w:cs="Arial" w:eastAsia="Arial" w:hAnsi="Arial"/>
                <w:sz w:val="16"/>
                <w:szCs w:val="16"/>
                <w:color w:val="auto"/>
              </w:rPr>
              <w:t>Issuance of</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tcPr>
          <w:p>
            <w:pPr>
              <w:ind w:left="240"/>
              <w:spacing w:after="0"/>
              <w:rPr>
                <w:sz w:val="20"/>
                <w:szCs w:val="20"/>
                <w:color w:val="auto"/>
              </w:rPr>
            </w:pPr>
            <w:r>
              <w:rPr>
                <w:rFonts w:ascii="Arial" w:cs="Arial" w:eastAsia="Arial" w:hAnsi="Arial"/>
                <w:sz w:val="16"/>
                <w:szCs w:val="16"/>
                <w:color w:val="auto"/>
              </w:rPr>
              <w:t>restricted stock</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340" w:type="dxa"/>
            <w:vAlign w:val="bottom"/>
          </w:tcPr>
          <w:p>
            <w:pPr>
              <w:ind w:left="240"/>
              <w:spacing w:after="0"/>
              <w:rPr>
                <w:sz w:val="20"/>
                <w:szCs w:val="20"/>
                <w:color w:val="auto"/>
              </w:rPr>
            </w:pPr>
            <w:r>
              <w:rPr>
                <w:rFonts w:ascii="Arial" w:cs="Arial" w:eastAsia="Arial" w:hAnsi="Arial"/>
                <w:sz w:val="16"/>
                <w:szCs w:val="16"/>
                <w:color w:val="auto"/>
              </w:rPr>
              <w:t>units</w:t>
            </w:r>
          </w:p>
        </w:tc>
        <w:tc>
          <w:tcPr>
            <w:tcW w:w="800" w:type="dxa"/>
            <w:vAlign w:val="bottom"/>
          </w:tcPr>
          <w:p>
            <w:pPr>
              <w:jc w:val="right"/>
              <w:spacing w:after="0"/>
              <w:rPr>
                <w:sz w:val="20"/>
                <w:szCs w:val="20"/>
                <w:color w:val="auto"/>
              </w:rPr>
            </w:pPr>
            <w:r>
              <w:rPr>
                <w:rFonts w:ascii="Arial" w:cs="Arial" w:eastAsia="Arial" w:hAnsi="Arial"/>
                <w:sz w:val="16"/>
                <w:szCs w:val="16"/>
                <w:color w:val="auto"/>
              </w:rPr>
              <w:t>540,753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19,719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19,719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Net income</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81,001</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81,001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340" w:type="dxa"/>
            <w:vAlign w:val="bottom"/>
          </w:tcPr>
          <w:p>
            <w:pPr>
              <w:ind w:left="240"/>
              <w:spacing w:after="0"/>
              <w:rPr>
                <w:sz w:val="20"/>
                <w:szCs w:val="20"/>
                <w:color w:val="auto"/>
              </w:rPr>
            </w:pPr>
            <w:r>
              <w:rPr>
                <w:rFonts w:ascii="Arial" w:cs="Arial" w:eastAsia="Arial" w:hAnsi="Arial"/>
                <w:sz w:val="16"/>
                <w:szCs w:val="16"/>
                <w:color w:val="auto"/>
              </w:rPr>
              <w:t>Other</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tcPr>
          <w:p>
            <w:pPr>
              <w:ind w:left="240"/>
              <w:spacing w:after="0"/>
              <w:rPr>
                <w:sz w:val="20"/>
                <w:szCs w:val="20"/>
                <w:color w:val="auto"/>
              </w:rPr>
            </w:pPr>
            <w:r>
              <w:rPr>
                <w:rFonts w:ascii="Arial" w:cs="Arial" w:eastAsia="Arial" w:hAnsi="Arial"/>
                <w:sz w:val="16"/>
                <w:szCs w:val="16"/>
                <w:color w:val="auto"/>
                <w:w w:val="99"/>
              </w:rPr>
              <w:t>comprehensive</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340" w:type="dxa"/>
            <w:vAlign w:val="bottom"/>
          </w:tcPr>
          <w:p>
            <w:pPr>
              <w:ind w:left="240"/>
              <w:spacing w:after="0"/>
              <w:rPr>
                <w:sz w:val="20"/>
                <w:szCs w:val="20"/>
                <w:color w:val="auto"/>
              </w:rPr>
            </w:pPr>
            <w:r>
              <w:rPr>
                <w:rFonts w:ascii="Arial" w:cs="Arial" w:eastAsia="Arial" w:hAnsi="Arial"/>
                <w:sz w:val="16"/>
                <w:szCs w:val="16"/>
                <w:color w:val="auto"/>
              </w:rPr>
              <w:t>income</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3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Shares</w:t>
            </w: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withheld</w:t>
            </w: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related to net</w:t>
            </w: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share</w:t>
            </w: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settlement of</w:t>
            </w: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stock awards</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(186,702)</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(8,248)</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(8,248)</w:t>
            </w:r>
          </w:p>
        </w:tc>
        <w:tc>
          <w:tcPr>
            <w:tcW w:w="0" w:type="dxa"/>
            <w:vAlign w:val="bottom"/>
          </w:tcPr>
          <w:p>
            <w:pPr>
              <w:spacing w:after="0"/>
              <w:rPr>
                <w:sz w:val="1"/>
                <w:szCs w:val="1"/>
                <w:color w:val="auto"/>
              </w:rPr>
            </w:pPr>
          </w:p>
        </w:tc>
      </w:tr>
      <w:tr>
        <w:trPr>
          <w:trHeight w:val="198"/>
        </w:trPr>
        <w:tc>
          <w:tcPr>
            <w:tcW w:w="1340" w:type="dxa"/>
            <w:vAlign w:val="bottom"/>
          </w:tcPr>
          <w:p>
            <w:pPr>
              <w:spacing w:after="0"/>
              <w:rPr>
                <w:sz w:val="20"/>
                <w:szCs w:val="20"/>
                <w:color w:val="auto"/>
              </w:rPr>
            </w:pPr>
            <w:r>
              <w:rPr>
                <w:rFonts w:ascii="Arial" w:cs="Arial" w:eastAsia="Arial" w:hAnsi="Arial"/>
                <w:sz w:val="16"/>
                <w:szCs w:val="16"/>
                <w:color w:val="auto"/>
                <w:w w:val="93"/>
              </w:rPr>
              <w:t>Balance, December</w:t>
            </w: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340" w:type="dxa"/>
            <w:vAlign w:val="bottom"/>
          </w:tcPr>
          <w:p>
            <w:pPr>
              <w:spacing w:after="0"/>
              <w:rPr>
                <w:sz w:val="20"/>
                <w:szCs w:val="20"/>
                <w:color w:val="auto"/>
              </w:rPr>
            </w:pPr>
            <w:r>
              <w:rPr>
                <w:rFonts w:ascii="Arial" w:cs="Arial" w:eastAsia="Arial" w:hAnsi="Arial"/>
                <w:sz w:val="16"/>
                <w:szCs w:val="16"/>
                <w:color w:val="auto"/>
              </w:rPr>
              <w:t>31, 2019</w:t>
            </w:r>
          </w:p>
        </w:tc>
        <w:tc>
          <w:tcPr>
            <w:tcW w:w="800" w:type="dxa"/>
            <w:vAlign w:val="bottom"/>
          </w:tcPr>
          <w:p>
            <w:pPr>
              <w:jc w:val="right"/>
              <w:spacing w:after="0"/>
              <w:rPr>
                <w:sz w:val="20"/>
                <w:szCs w:val="20"/>
                <w:color w:val="auto"/>
              </w:rPr>
            </w:pPr>
            <w:r>
              <w:rPr>
                <w:rFonts w:ascii="Arial" w:cs="Arial" w:eastAsia="Arial" w:hAnsi="Arial"/>
                <w:sz w:val="16"/>
                <w:szCs w:val="16"/>
                <w:color w:val="auto"/>
                <w:w w:val="94"/>
              </w:rPr>
              <w:t>77,792,940</w:t>
            </w:r>
          </w:p>
        </w:tc>
        <w:tc>
          <w:tcPr>
            <w:tcW w:w="1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759,547</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366,463</w:t>
            </w:r>
          </w:p>
        </w:tc>
        <w:tc>
          <w:tcPr>
            <w:tcW w:w="8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223,823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(9,131) $</w:t>
            </w:r>
          </w:p>
        </w:tc>
        <w:tc>
          <w:tcPr>
            <w:tcW w:w="700" w:type="dxa"/>
            <w:vAlign w:val="bottom"/>
          </w:tcPr>
          <w:p>
            <w:pPr>
              <w:jc w:val="right"/>
              <w:spacing w:after="0"/>
              <w:rPr>
                <w:sz w:val="20"/>
                <w:szCs w:val="20"/>
                <w:color w:val="auto"/>
              </w:rPr>
            </w:pPr>
            <w:r>
              <w:rPr>
                <w:rFonts w:ascii="Arial" w:cs="Arial" w:eastAsia="Arial" w:hAnsi="Arial"/>
                <w:sz w:val="16"/>
                <w:szCs w:val="16"/>
                <w:color w:val="auto"/>
                <w:w w:val="92"/>
              </w:rPr>
              <w:t>1,117,257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9019"/>
          </w:cols>
          <w:pgMar w:left="1440" w:top="335" w:right="1440" w:bottom="0"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732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2">
                      <a:extLst>
                        <a:ext uri="{28A0092B-C50C-407E-A947-70E740481C1C}"/>
                      </a:extLst>
                    </a:blip>
                    <a:srcRect/>
                    <a:stretch>
                      <a:fillRect/>
                    </a:stretch>
                  </pic:blipFill>
                  <pic:spPr bwMode="auto">
                    <a:xfrm>
                      <a:off x="0" y="0"/>
                      <a:ext cx="727329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2"/>
                <w:szCs w:val="12"/>
                <w:b w:val="1"/>
                <w:bCs w:val="1"/>
                <w:color w:val="auto"/>
                <w:w w:val="93"/>
              </w:rPr>
              <w:t>Year Ended December 31,</w:t>
            </w: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80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auto"/>
              </w:rPr>
              <w:t>2019</w:t>
            </w:r>
          </w:p>
        </w:tc>
        <w:tc>
          <w:tcPr>
            <w:tcW w:w="560" w:type="dxa"/>
            <w:vAlign w:val="bottom"/>
            <w:tcBorders>
              <w:bottom w:val="single" w:sz="8" w:color="auto"/>
            </w:tcBorders>
          </w:tcPr>
          <w:p>
            <w:pPr>
              <w:spacing w:after="0"/>
              <w:rPr>
                <w:sz w:val="12"/>
                <w:szCs w:val="12"/>
                <w:color w:val="auto"/>
              </w:rPr>
            </w:pPr>
          </w:p>
        </w:tc>
        <w:tc>
          <w:tcPr>
            <w:tcW w:w="4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598"/>
              <w:spacing w:after="0"/>
              <w:rPr>
                <w:sz w:val="20"/>
                <w:szCs w:val="20"/>
                <w:color w:val="auto"/>
              </w:rPr>
            </w:pPr>
            <w:r>
              <w:rPr>
                <w:rFonts w:ascii="Arial" w:cs="Arial" w:eastAsia="Arial" w:hAnsi="Arial"/>
                <w:sz w:val="12"/>
                <w:szCs w:val="12"/>
                <w:b w:val="1"/>
                <w:bCs w:val="1"/>
                <w:color w:val="auto"/>
              </w:rPr>
              <w:t>2018</w:t>
            </w:r>
          </w:p>
        </w:tc>
        <w:tc>
          <w:tcPr>
            <w:tcW w:w="4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18"/>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2"/>
                <w:szCs w:val="12"/>
                <w:color w:val="auto"/>
              </w:rPr>
              <w:t>CASH FLOWS FROM OPERATING ACTIVITIES:</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tcPr>
          <w:p>
            <w:pPr>
              <w:spacing w:after="0"/>
              <w:rPr>
                <w:sz w:val="20"/>
                <w:szCs w:val="20"/>
                <w:color w:val="auto"/>
              </w:rPr>
            </w:pPr>
            <w:r>
              <w:rPr>
                <w:rFonts w:ascii="Arial" w:cs="Arial" w:eastAsia="Arial" w:hAnsi="Arial"/>
                <w:sz w:val="12"/>
                <w:szCs w:val="12"/>
                <w:color w:val="auto"/>
              </w:rPr>
              <w:t>Net income</w:t>
            </w:r>
          </w:p>
        </w:tc>
        <w:tc>
          <w:tcPr>
            <w:tcW w:w="1000" w:type="dxa"/>
            <w:vAlign w:val="bottom"/>
          </w:tcPr>
          <w:p>
            <w:pPr>
              <w:jc w:val="right"/>
              <w:ind w:right="858"/>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81,001</w:t>
            </w:r>
          </w:p>
        </w:tc>
        <w:tc>
          <w:tcPr>
            <w:tcW w:w="4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95,235</w:t>
            </w:r>
          </w:p>
        </w:tc>
        <w:tc>
          <w:tcPr>
            <w:tcW w:w="400" w:type="dxa"/>
            <w:vAlign w:val="bottom"/>
          </w:tcPr>
          <w:p>
            <w:pPr>
              <w:spacing w:after="0"/>
              <w:rPr>
                <w:sz w:val="12"/>
                <w:szCs w:val="12"/>
                <w:color w:val="auto"/>
              </w:rPr>
            </w:pPr>
          </w:p>
        </w:tc>
        <w:tc>
          <w:tcPr>
            <w:tcW w:w="360" w:type="dxa"/>
            <w:vAlign w:val="bottom"/>
          </w:tcPr>
          <w:p>
            <w:pPr>
              <w:jc w:val="right"/>
              <w:ind w:right="218"/>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73,380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800" w:type="dxa"/>
            <w:vAlign w:val="bottom"/>
            <w:shd w:val="clear" w:color="auto" w:fill="CFF0FC"/>
          </w:tcPr>
          <w:p>
            <w:pPr>
              <w:spacing w:after="0" w:line="133" w:lineRule="exact"/>
              <w:rPr>
                <w:sz w:val="20"/>
                <w:szCs w:val="20"/>
                <w:color w:val="auto"/>
              </w:rPr>
            </w:pPr>
            <w:r>
              <w:rPr>
                <w:rFonts w:ascii="Arial" w:cs="Arial" w:eastAsia="Arial" w:hAnsi="Arial"/>
                <w:sz w:val="12"/>
                <w:szCs w:val="12"/>
                <w:color w:val="auto"/>
              </w:rPr>
              <w:t>Adjustments to reconcile net income to net cash provided by operating</w:t>
            </w:r>
          </w:p>
        </w:tc>
        <w:tc>
          <w:tcPr>
            <w:tcW w:w="10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00" w:type="dxa"/>
            <w:vAlign w:val="bottom"/>
            <w:shd w:val="clear" w:color="auto" w:fill="CFF0FC"/>
          </w:tcPr>
          <w:p>
            <w:pPr>
              <w:ind w:left="80"/>
              <w:spacing w:after="0"/>
              <w:rPr>
                <w:sz w:val="20"/>
                <w:szCs w:val="20"/>
                <w:color w:val="auto"/>
              </w:rPr>
            </w:pPr>
            <w:r>
              <w:rPr>
                <w:rFonts w:ascii="Arial" w:cs="Arial" w:eastAsia="Arial" w:hAnsi="Arial"/>
                <w:sz w:val="12"/>
                <w:szCs w:val="12"/>
                <w:color w:val="auto"/>
              </w:rPr>
              <w:t>activities:</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tcPr>
          <w:p>
            <w:pPr>
              <w:ind w:left="240"/>
              <w:spacing w:after="0"/>
              <w:rPr>
                <w:sz w:val="20"/>
                <w:szCs w:val="20"/>
                <w:color w:val="auto"/>
              </w:rPr>
            </w:pPr>
            <w:r>
              <w:rPr>
                <w:rFonts w:ascii="Arial" w:cs="Arial" w:eastAsia="Arial" w:hAnsi="Arial"/>
                <w:sz w:val="12"/>
                <w:szCs w:val="12"/>
                <w:color w:val="auto"/>
              </w:rPr>
              <w:t>Depreciation and amortization</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221,525</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157,429</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105,891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Amortization of deferred financing costs, discount and debt premium</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18,267</w:t>
            </w: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8,175</w:t>
            </w:r>
          </w:p>
        </w:tc>
        <w:tc>
          <w:tcPr>
            <w:tcW w:w="4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6,289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tcPr>
          <w:p>
            <w:pPr>
              <w:ind w:left="240"/>
              <w:spacing w:after="0"/>
              <w:rPr>
                <w:sz w:val="20"/>
                <w:szCs w:val="20"/>
                <w:color w:val="auto"/>
              </w:rPr>
            </w:pPr>
            <w:r>
              <w:rPr>
                <w:rFonts w:ascii="Arial" w:cs="Arial" w:eastAsia="Arial" w:hAnsi="Arial"/>
                <w:sz w:val="12"/>
                <w:szCs w:val="12"/>
                <w:color w:val="auto"/>
              </w:rPr>
              <w:t>Deferred revenue</w:t>
            </w:r>
          </w:p>
        </w:tc>
        <w:tc>
          <w:tcPr>
            <w:tcW w:w="1000" w:type="dxa"/>
            <w:vAlign w:val="bottom"/>
          </w:tcPr>
          <w:p>
            <w:pPr>
              <w:spacing w:after="0"/>
              <w:rPr>
                <w:sz w:val="12"/>
                <w:szCs w:val="12"/>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2"/>
                <w:szCs w:val="12"/>
                <w:color w:val="auto"/>
              </w:rPr>
              <w:t>(7,140)</w:t>
            </w:r>
          </w:p>
        </w:tc>
        <w:tc>
          <w:tcPr>
            <w:tcW w:w="80" w:type="dxa"/>
            <w:vAlign w:val="bottom"/>
          </w:tcPr>
          <w:p>
            <w:pPr>
              <w:spacing w:after="0"/>
              <w:rPr>
                <w:sz w:val="12"/>
                <w:szCs w:val="12"/>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Equity in loss of unconsolidated affiliates</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2,441</w:t>
            </w: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213</w:t>
            </w:r>
          </w:p>
        </w:tc>
        <w:tc>
          <w:tcPr>
            <w:tcW w:w="4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tcPr>
          <w:p>
            <w:pPr>
              <w:ind w:left="240"/>
              <w:spacing w:after="0"/>
              <w:rPr>
                <w:sz w:val="20"/>
                <w:szCs w:val="20"/>
                <w:color w:val="auto"/>
              </w:rPr>
            </w:pPr>
            <w:r>
              <w:rPr>
                <w:rFonts w:ascii="Arial" w:cs="Arial" w:eastAsia="Arial" w:hAnsi="Arial"/>
                <w:sz w:val="12"/>
                <w:szCs w:val="12"/>
                <w:color w:val="auto"/>
              </w:rPr>
              <w:t>Loss on early retirement of debt</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7,512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162</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38,430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Lease amortization</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3,096</w:t>
            </w: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675</w:t>
            </w:r>
          </w:p>
        </w:tc>
        <w:tc>
          <w:tcPr>
            <w:tcW w:w="4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tcPr>
          <w:p>
            <w:pPr>
              <w:ind w:left="240"/>
              <w:spacing w:after="0"/>
              <w:rPr>
                <w:sz w:val="20"/>
                <w:szCs w:val="20"/>
                <w:color w:val="auto"/>
              </w:rPr>
            </w:pPr>
            <w:r>
              <w:rPr>
                <w:rFonts w:ascii="Arial" w:cs="Arial" w:eastAsia="Arial" w:hAnsi="Arial"/>
                <w:sz w:val="12"/>
                <w:szCs w:val="12"/>
                <w:color w:val="auto"/>
              </w:rPr>
              <w:t>Unrealized (gain) loss on restricted investment</w:t>
            </w:r>
          </w:p>
        </w:tc>
        <w:tc>
          <w:tcPr>
            <w:tcW w:w="1000" w:type="dxa"/>
            <w:vAlign w:val="bottom"/>
          </w:tcPr>
          <w:p>
            <w:pPr>
              <w:spacing w:after="0"/>
              <w:rPr>
                <w:sz w:val="12"/>
                <w:szCs w:val="12"/>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2"/>
                <w:szCs w:val="12"/>
                <w:color w:val="auto"/>
              </w:rPr>
              <w:t>(8,765)</w:t>
            </w: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2,587</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Stock compensation expense</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19,719</w:t>
            </w: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13,084</w:t>
            </w:r>
          </w:p>
        </w:tc>
        <w:tc>
          <w:tcPr>
            <w:tcW w:w="4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tcPr>
          <w:p>
            <w:pPr>
              <w:ind w:left="240"/>
              <w:spacing w:after="0"/>
              <w:rPr>
                <w:sz w:val="20"/>
                <w:szCs w:val="20"/>
                <w:color w:val="auto"/>
              </w:rPr>
            </w:pPr>
            <w:r>
              <w:rPr>
                <w:rFonts w:ascii="Arial" w:cs="Arial" w:eastAsia="Arial" w:hAnsi="Arial"/>
                <w:sz w:val="12"/>
                <w:szCs w:val="12"/>
                <w:color w:val="auto"/>
              </w:rPr>
              <w:t>Loss (gain) on sale of businesses and disposal of property and equipment</w:t>
            </w:r>
          </w:p>
        </w:tc>
        <w:tc>
          <w:tcPr>
            <w:tcW w:w="1000" w:type="dxa"/>
            <w:vAlign w:val="bottom"/>
          </w:tcPr>
          <w:p>
            <w:pPr>
              <w:spacing w:after="0"/>
              <w:rPr>
                <w:sz w:val="12"/>
                <w:szCs w:val="12"/>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2"/>
                <w:szCs w:val="12"/>
                <w:color w:val="auto"/>
              </w:rPr>
              <w:t>(49,575)</w:t>
            </w: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835</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Impairment charges</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958</w:t>
            </w: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13,602</w:t>
            </w:r>
          </w:p>
        </w:tc>
        <w:tc>
          <w:tcPr>
            <w:tcW w:w="4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38,016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tcPr>
          <w:p>
            <w:pPr>
              <w:ind w:left="240"/>
              <w:spacing w:after="0"/>
              <w:rPr>
                <w:sz w:val="20"/>
                <w:szCs w:val="20"/>
                <w:color w:val="auto"/>
              </w:rPr>
            </w:pPr>
            <w:r>
              <w:rPr>
                <w:rFonts w:ascii="Arial" w:cs="Arial" w:eastAsia="Arial" w:hAnsi="Arial"/>
                <w:sz w:val="12"/>
                <w:szCs w:val="12"/>
                <w:color w:val="auto"/>
              </w:rPr>
              <w:t>(Benefit) provision for deferred income taxes</w:t>
            </w:r>
          </w:p>
        </w:tc>
        <w:tc>
          <w:tcPr>
            <w:tcW w:w="1000" w:type="dxa"/>
            <w:vAlign w:val="bottom"/>
          </w:tcPr>
          <w:p>
            <w:pPr>
              <w:spacing w:after="0"/>
              <w:rPr>
                <w:sz w:val="12"/>
                <w:szCs w:val="12"/>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2"/>
                <w:szCs w:val="12"/>
                <w:color w:val="auto"/>
              </w:rPr>
              <w:t>(1,649)</w:t>
            </w: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33,865</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(112,561)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Other</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1,962</w:t>
            </w: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1,483</w:t>
            </w:r>
          </w:p>
        </w:tc>
        <w:tc>
          <w:tcPr>
            <w:tcW w:w="4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tcPr>
          <w:p>
            <w:pPr>
              <w:spacing w:after="0"/>
              <w:rPr>
                <w:sz w:val="20"/>
                <w:szCs w:val="20"/>
                <w:color w:val="auto"/>
              </w:rPr>
            </w:pPr>
            <w:r>
              <w:rPr>
                <w:rFonts w:ascii="Arial" w:cs="Arial" w:eastAsia="Arial" w:hAnsi="Arial"/>
                <w:sz w:val="12"/>
                <w:szCs w:val="12"/>
                <w:color w:val="auto"/>
              </w:rPr>
              <w:t>Change in operating assets and liabilities:</w:t>
            </w: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Accounts receivable</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4,586</w:t>
            </w: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6,104</w:t>
            </w:r>
          </w:p>
        </w:tc>
        <w:tc>
          <w:tcPr>
            <w:tcW w:w="4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(19,110)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tcPr>
          <w:p>
            <w:pPr>
              <w:ind w:left="240"/>
              <w:spacing w:after="0"/>
              <w:rPr>
                <w:sz w:val="20"/>
                <w:szCs w:val="20"/>
                <w:color w:val="auto"/>
              </w:rPr>
            </w:pPr>
            <w:r>
              <w:rPr>
                <w:rFonts w:ascii="Arial" w:cs="Arial" w:eastAsia="Arial" w:hAnsi="Arial"/>
                <w:sz w:val="12"/>
                <w:szCs w:val="12"/>
                <w:color w:val="auto"/>
              </w:rPr>
              <w:t>Prepaid expenses and other assets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9,531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56</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(423)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Income taxes (receivable) payable</w:t>
            </w:r>
          </w:p>
        </w:tc>
        <w:tc>
          <w:tcPr>
            <w:tcW w:w="10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(21,847)</w:t>
            </w:r>
          </w:p>
        </w:tc>
        <w:tc>
          <w:tcPr>
            <w:tcW w:w="8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6,945</w:t>
            </w:r>
          </w:p>
        </w:tc>
        <w:tc>
          <w:tcPr>
            <w:tcW w:w="4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(470)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tcPr>
          <w:p>
            <w:pPr>
              <w:ind w:left="240"/>
              <w:spacing w:after="0"/>
              <w:rPr>
                <w:sz w:val="20"/>
                <w:szCs w:val="20"/>
                <w:color w:val="auto"/>
              </w:rPr>
            </w:pPr>
            <w:r>
              <w:rPr>
                <w:rFonts w:ascii="Arial" w:cs="Arial" w:eastAsia="Arial" w:hAnsi="Arial"/>
                <w:sz w:val="12"/>
                <w:szCs w:val="12"/>
                <w:color w:val="auto"/>
              </w:rPr>
              <w:t>Accounts payable and accrued other liabilities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30,904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jc w:val="right"/>
              <w:ind w:right="360"/>
              <w:spacing w:after="0"/>
              <w:rPr>
                <w:sz w:val="20"/>
                <w:szCs w:val="20"/>
                <w:color w:val="auto"/>
              </w:rPr>
            </w:pPr>
            <w:r>
              <w:rPr>
                <w:rFonts w:ascii="Arial" w:cs="Arial" w:eastAsia="Arial" w:hAnsi="Arial"/>
                <w:sz w:val="12"/>
                <w:szCs w:val="12"/>
                <w:color w:val="auto"/>
              </w:rPr>
              <w:t>(17,170)</w:t>
            </w:r>
          </w:p>
        </w:tc>
        <w:tc>
          <w:tcPr>
            <w:tcW w:w="36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(7,131)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8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2"/>
                <w:szCs w:val="12"/>
                <w:color w:val="auto"/>
              </w:rPr>
              <w:t>Net cash provided by operating activities</w:t>
            </w:r>
          </w:p>
        </w:tc>
        <w:tc>
          <w:tcPr>
            <w:tcW w:w="100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312,526</w:t>
            </w:r>
          </w:p>
        </w:tc>
        <w:tc>
          <w:tcPr>
            <w:tcW w:w="4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323,280</w:t>
            </w:r>
          </w:p>
        </w:tc>
        <w:tc>
          <w:tcPr>
            <w:tcW w:w="40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bottom w:val="single" w:sz="8" w:color="auto"/>
            </w:tcBorders>
            <w:shd w:val="clear" w:color="auto" w:fill="CFF0FC"/>
          </w:tcPr>
          <w:p>
            <w:pPr>
              <w:spacing w:after="0"/>
              <w:rPr>
                <w:sz w:val="12"/>
                <w:szCs w:val="12"/>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129,886</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820" w:type="dxa"/>
            <w:vAlign w:val="bottom"/>
            <w:gridSpan w:val="2"/>
          </w:tcPr>
          <w:p>
            <w:pPr>
              <w:spacing w:after="0"/>
              <w:rPr>
                <w:sz w:val="20"/>
                <w:szCs w:val="20"/>
                <w:color w:val="auto"/>
              </w:rPr>
            </w:pPr>
            <w:r>
              <w:rPr>
                <w:rFonts w:ascii="Arial" w:cs="Arial" w:eastAsia="Arial" w:hAnsi="Arial"/>
                <w:sz w:val="12"/>
                <w:szCs w:val="12"/>
                <w:color w:val="auto"/>
              </w:rPr>
              <w:t>CASH FLOWS FROM INVESTING ACTIVITIES:</w:t>
            </w: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Purchase of property and equipment, net</w:t>
            </w:r>
          </w:p>
        </w:tc>
        <w:tc>
          <w:tcPr>
            <w:tcW w:w="10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(170,766)</w:t>
            </w:r>
          </w:p>
        </w:tc>
        <w:tc>
          <w:tcPr>
            <w:tcW w:w="8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(147,415)</w:t>
            </w: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(83,161)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tcPr>
          <w:p>
            <w:pPr>
              <w:ind w:left="240"/>
              <w:spacing w:after="0"/>
              <w:rPr>
                <w:sz w:val="20"/>
                <w:szCs w:val="20"/>
                <w:color w:val="auto"/>
              </w:rPr>
            </w:pPr>
            <w:r>
              <w:rPr>
                <w:rFonts w:ascii="Arial" w:cs="Arial" w:eastAsia="Arial" w:hAnsi="Arial"/>
                <w:sz w:val="12"/>
                <w:szCs w:val="12"/>
                <w:color w:val="auto"/>
              </w:rPr>
              <w:t>Purchase of restricted investments</w:t>
            </w:r>
          </w:p>
        </w:tc>
        <w:tc>
          <w:tcPr>
            <w:tcW w:w="1000" w:type="dxa"/>
            <w:vAlign w:val="bottom"/>
          </w:tcPr>
          <w:p>
            <w:pPr>
              <w:spacing w:after="0"/>
              <w:rPr>
                <w:sz w:val="12"/>
                <w:szCs w:val="12"/>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880" w:type="dxa"/>
            <w:vAlign w:val="bottom"/>
            <w:gridSpan w:val="2"/>
          </w:tcPr>
          <w:p>
            <w:pPr>
              <w:jc w:val="right"/>
              <w:ind w:right="360"/>
              <w:spacing w:after="0"/>
              <w:rPr>
                <w:sz w:val="20"/>
                <w:szCs w:val="20"/>
                <w:color w:val="auto"/>
              </w:rPr>
            </w:pPr>
            <w:r>
              <w:rPr>
                <w:rFonts w:ascii="Arial" w:cs="Arial" w:eastAsia="Arial" w:hAnsi="Arial"/>
                <w:sz w:val="12"/>
                <w:szCs w:val="12"/>
                <w:color w:val="auto"/>
              </w:rPr>
              <w:t>(8,008)</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Proceeds from sale of businesses, property and equipment, net of cash sold</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536,133</w:t>
            </w: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1,002</w:t>
            </w:r>
          </w:p>
        </w:tc>
        <w:tc>
          <w:tcPr>
            <w:tcW w:w="4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tcPr>
          <w:p>
            <w:pPr>
              <w:ind w:left="240"/>
              <w:spacing w:after="0"/>
              <w:rPr>
                <w:sz w:val="20"/>
                <w:szCs w:val="20"/>
                <w:color w:val="auto"/>
              </w:rPr>
            </w:pPr>
            <w:r>
              <w:rPr>
                <w:rFonts w:ascii="Arial" w:cs="Arial" w:eastAsia="Arial" w:hAnsi="Arial"/>
                <w:sz w:val="12"/>
                <w:szCs w:val="12"/>
                <w:color w:val="auto"/>
              </w:rPr>
              <w:t>Proceeds from sale of investments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4,944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Net cash used in business combinations</w:t>
            </w:r>
          </w:p>
        </w:tc>
        <w:tc>
          <w:tcPr>
            <w:tcW w:w="10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4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(1,113,227)</w:t>
            </w: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(1,313,051)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tcPr>
          <w:p>
            <w:pPr>
              <w:ind w:left="240"/>
              <w:spacing w:after="0"/>
              <w:rPr>
                <w:sz w:val="20"/>
                <w:szCs w:val="20"/>
                <w:color w:val="auto"/>
              </w:rPr>
            </w:pPr>
            <w:r>
              <w:rPr>
                <w:rFonts w:ascii="Arial" w:cs="Arial" w:eastAsia="Arial" w:hAnsi="Arial"/>
                <w:sz w:val="12"/>
                <w:szCs w:val="12"/>
                <w:color w:val="auto"/>
              </w:rPr>
              <w:t>Investments in and loans to unconsolidated affiliates</w:t>
            </w:r>
          </w:p>
        </w:tc>
        <w:tc>
          <w:tcPr>
            <w:tcW w:w="1000" w:type="dxa"/>
            <w:vAlign w:val="bottom"/>
          </w:tcPr>
          <w:p>
            <w:pPr>
              <w:spacing w:after="0"/>
              <w:rPr>
                <w:sz w:val="12"/>
                <w:szCs w:val="12"/>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2"/>
                <w:szCs w:val="12"/>
                <w:color w:val="auto"/>
              </w:rPr>
              <w:t>(771)</w:t>
            </w:r>
          </w:p>
        </w:tc>
        <w:tc>
          <w:tcPr>
            <w:tcW w:w="80" w:type="dxa"/>
            <w:vAlign w:val="bottom"/>
          </w:tcPr>
          <w:p>
            <w:pPr>
              <w:spacing w:after="0"/>
              <w:rPr>
                <w:sz w:val="12"/>
                <w:szCs w:val="12"/>
                <w:color w:val="auto"/>
              </w:rPr>
            </w:pPr>
          </w:p>
        </w:tc>
        <w:tc>
          <w:tcPr>
            <w:tcW w:w="1880" w:type="dxa"/>
            <w:vAlign w:val="bottom"/>
            <w:gridSpan w:val="2"/>
          </w:tcPr>
          <w:p>
            <w:pPr>
              <w:jc w:val="right"/>
              <w:ind w:right="360"/>
              <w:spacing w:after="0"/>
              <w:rPr>
                <w:sz w:val="20"/>
                <w:szCs w:val="20"/>
                <w:color w:val="auto"/>
              </w:rPr>
            </w:pPr>
            <w:r>
              <w:rPr>
                <w:rFonts w:ascii="Arial" w:cs="Arial" w:eastAsia="Arial" w:hAnsi="Arial"/>
                <w:sz w:val="12"/>
                <w:szCs w:val="12"/>
                <w:color w:val="auto"/>
              </w:rPr>
              <w:t>(581)</w:t>
            </w:r>
          </w:p>
        </w:tc>
        <w:tc>
          <w:tcPr>
            <w:tcW w:w="36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(604)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8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2"/>
                <w:szCs w:val="12"/>
                <w:color w:val="auto"/>
              </w:rPr>
              <w:t>Net cash provided by (used in) investing activities</w:t>
            </w:r>
          </w:p>
        </w:tc>
        <w:tc>
          <w:tcPr>
            <w:tcW w:w="100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369,540</w:t>
            </w:r>
          </w:p>
        </w:tc>
        <w:tc>
          <w:tcPr>
            <w:tcW w:w="4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(1,268,229)</w:t>
            </w:r>
          </w:p>
        </w:tc>
        <w:tc>
          <w:tcPr>
            <w:tcW w:w="40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bottom w:val="single" w:sz="8" w:color="auto"/>
            </w:tcBorders>
            <w:shd w:val="clear" w:color="auto" w:fill="CFF0FC"/>
          </w:tcPr>
          <w:p>
            <w:pPr>
              <w:spacing w:after="0"/>
              <w:rPr>
                <w:sz w:val="12"/>
                <w:szCs w:val="12"/>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(1,396,681)</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820" w:type="dxa"/>
            <w:vAlign w:val="bottom"/>
            <w:gridSpan w:val="2"/>
          </w:tcPr>
          <w:p>
            <w:pPr>
              <w:spacing w:after="0"/>
              <w:rPr>
                <w:sz w:val="20"/>
                <w:szCs w:val="20"/>
                <w:color w:val="auto"/>
              </w:rPr>
            </w:pPr>
            <w:r>
              <w:rPr>
                <w:rFonts w:ascii="Arial" w:cs="Arial" w:eastAsia="Arial" w:hAnsi="Arial"/>
                <w:sz w:val="12"/>
                <w:szCs w:val="12"/>
                <w:color w:val="auto"/>
              </w:rPr>
              <w:t>CASH FLOWS FROM FINANCING ACTIVITIES:</w:t>
            </w: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Proceeds from issuance of long-term debt</w:t>
            </w:r>
          </w:p>
        </w:tc>
        <w:tc>
          <w:tcPr>
            <w:tcW w:w="10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4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846,000</w:t>
            </w:r>
          </w:p>
        </w:tc>
        <w:tc>
          <w:tcPr>
            <w:tcW w:w="4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2,325,000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tcPr>
          <w:p>
            <w:pPr>
              <w:ind w:left="240"/>
              <w:spacing w:after="0"/>
              <w:rPr>
                <w:sz w:val="20"/>
                <w:szCs w:val="20"/>
                <w:color w:val="auto"/>
              </w:rPr>
            </w:pPr>
            <w:r>
              <w:rPr>
                <w:rFonts w:ascii="Arial" w:cs="Arial" w:eastAsia="Arial" w:hAnsi="Arial"/>
                <w:sz w:val="12"/>
                <w:szCs w:val="12"/>
                <w:color w:val="auto"/>
              </w:rPr>
              <w:t>Borrowings under Revolving Credit Facility</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33,000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315,358</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207,953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Payments under long-term debt</w:t>
            </w:r>
          </w:p>
        </w:tc>
        <w:tc>
          <w:tcPr>
            <w:tcW w:w="10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4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jc w:val="right"/>
              <w:ind w:right="400"/>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(911,875)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tcPr>
          <w:p>
            <w:pPr>
              <w:ind w:left="240"/>
              <w:spacing w:after="0"/>
              <w:rPr>
                <w:sz w:val="20"/>
                <w:szCs w:val="20"/>
                <w:color w:val="auto"/>
              </w:rPr>
            </w:pPr>
            <w:r>
              <w:rPr>
                <w:rFonts w:ascii="Arial" w:cs="Arial" w:eastAsia="Arial" w:hAnsi="Arial"/>
                <w:sz w:val="12"/>
                <w:szCs w:val="12"/>
                <w:color w:val="auto"/>
              </w:rPr>
              <w:t>Payments under Revolving Credit Facility</w:t>
            </w:r>
          </w:p>
        </w:tc>
        <w:tc>
          <w:tcPr>
            <w:tcW w:w="1000" w:type="dxa"/>
            <w:vAlign w:val="bottom"/>
          </w:tcPr>
          <w:p>
            <w:pPr>
              <w:spacing w:after="0"/>
              <w:rPr>
                <w:sz w:val="12"/>
                <w:szCs w:val="12"/>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2"/>
                <w:szCs w:val="12"/>
                <w:color w:val="auto"/>
              </w:rPr>
              <w:t>(278,000)</w:t>
            </w:r>
          </w:p>
        </w:tc>
        <w:tc>
          <w:tcPr>
            <w:tcW w:w="80" w:type="dxa"/>
            <w:vAlign w:val="bottom"/>
          </w:tcPr>
          <w:p>
            <w:pPr>
              <w:spacing w:after="0"/>
              <w:rPr>
                <w:sz w:val="12"/>
                <w:szCs w:val="12"/>
                <w:color w:val="auto"/>
              </w:rPr>
            </w:pPr>
          </w:p>
        </w:tc>
        <w:tc>
          <w:tcPr>
            <w:tcW w:w="1880" w:type="dxa"/>
            <w:vAlign w:val="bottom"/>
            <w:gridSpan w:val="2"/>
          </w:tcPr>
          <w:p>
            <w:pPr>
              <w:jc w:val="right"/>
              <w:ind w:right="360"/>
              <w:spacing w:after="0"/>
              <w:rPr>
                <w:sz w:val="20"/>
                <w:szCs w:val="20"/>
                <w:color w:val="auto"/>
              </w:rPr>
            </w:pPr>
            <w:r>
              <w:rPr>
                <w:rFonts w:ascii="Arial" w:cs="Arial" w:eastAsia="Arial" w:hAnsi="Arial"/>
                <w:sz w:val="12"/>
                <w:szCs w:val="12"/>
                <w:color w:val="auto"/>
              </w:rPr>
              <w:t>(70,358)</w:t>
            </w:r>
          </w:p>
        </w:tc>
        <w:tc>
          <w:tcPr>
            <w:tcW w:w="36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(236,953)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Payments on Term Loan</w:t>
            </w:r>
          </w:p>
        </w:tc>
        <w:tc>
          <w:tcPr>
            <w:tcW w:w="10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(458,000)</w:t>
            </w:r>
          </w:p>
        </w:tc>
        <w:tc>
          <w:tcPr>
            <w:tcW w:w="8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jc w:val="right"/>
              <w:ind w:right="400"/>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tcPr>
          <w:p>
            <w:pPr>
              <w:ind w:left="240"/>
              <w:spacing w:after="0"/>
              <w:rPr>
                <w:sz w:val="20"/>
                <w:szCs w:val="20"/>
                <w:color w:val="auto"/>
              </w:rPr>
            </w:pPr>
            <w:r>
              <w:rPr>
                <w:rFonts w:ascii="Arial" w:cs="Arial" w:eastAsia="Arial" w:hAnsi="Arial"/>
                <w:sz w:val="12"/>
                <w:szCs w:val="12"/>
                <w:color w:val="auto"/>
              </w:rPr>
              <w:t>Debt premium proceeds</w:t>
            </w:r>
          </w:p>
        </w:tc>
        <w:tc>
          <w:tcPr>
            <w:tcW w:w="1000" w:type="dxa"/>
            <w:vAlign w:val="bottom"/>
          </w:tcPr>
          <w:p>
            <w:pPr>
              <w:spacing w:after="0"/>
              <w:rPr>
                <w:sz w:val="12"/>
                <w:szCs w:val="12"/>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27,500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Debt issuance costs</w:t>
            </w:r>
          </w:p>
        </w:tc>
        <w:tc>
          <w:tcPr>
            <w:tcW w:w="10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(456)</w:t>
            </w:r>
          </w:p>
        </w:tc>
        <w:tc>
          <w:tcPr>
            <w:tcW w:w="8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(25,758)</w:t>
            </w: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(51,526)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tcPr>
          <w:p>
            <w:pPr>
              <w:ind w:left="240"/>
              <w:spacing w:after="0"/>
              <w:rPr>
                <w:sz w:val="20"/>
                <w:szCs w:val="20"/>
                <w:color w:val="auto"/>
              </w:rPr>
            </w:pPr>
            <w:r>
              <w:rPr>
                <w:rFonts w:ascii="Arial" w:cs="Arial" w:eastAsia="Arial" w:hAnsi="Arial"/>
                <w:sz w:val="12"/>
                <w:szCs w:val="12"/>
                <w:color w:val="auto"/>
              </w:rPr>
              <w:t>Taxes paid related to net share settlement of equity awards</w:t>
            </w:r>
          </w:p>
        </w:tc>
        <w:tc>
          <w:tcPr>
            <w:tcW w:w="1000" w:type="dxa"/>
            <w:vAlign w:val="bottom"/>
          </w:tcPr>
          <w:p>
            <w:pPr>
              <w:spacing w:after="0"/>
              <w:rPr>
                <w:sz w:val="12"/>
                <w:szCs w:val="12"/>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2"/>
                <w:szCs w:val="12"/>
                <w:color w:val="auto"/>
              </w:rPr>
              <w:t>(8,247)</w:t>
            </w:r>
          </w:p>
        </w:tc>
        <w:tc>
          <w:tcPr>
            <w:tcW w:w="80" w:type="dxa"/>
            <w:vAlign w:val="bottom"/>
          </w:tcPr>
          <w:p>
            <w:pPr>
              <w:spacing w:after="0"/>
              <w:rPr>
                <w:sz w:val="12"/>
                <w:szCs w:val="12"/>
                <w:color w:val="auto"/>
              </w:rPr>
            </w:pPr>
          </w:p>
        </w:tc>
        <w:tc>
          <w:tcPr>
            <w:tcW w:w="1880" w:type="dxa"/>
            <w:vAlign w:val="bottom"/>
            <w:gridSpan w:val="2"/>
          </w:tcPr>
          <w:p>
            <w:pPr>
              <w:jc w:val="right"/>
              <w:ind w:right="360"/>
              <w:spacing w:after="0"/>
              <w:rPr>
                <w:sz w:val="20"/>
                <w:szCs w:val="20"/>
                <w:color w:val="auto"/>
              </w:rPr>
            </w:pPr>
            <w:r>
              <w:rPr>
                <w:rFonts w:ascii="Arial" w:cs="Arial" w:eastAsia="Arial" w:hAnsi="Arial"/>
                <w:sz w:val="12"/>
                <w:szCs w:val="12"/>
                <w:color w:val="auto"/>
              </w:rPr>
              <w:t>(11,708)</w:t>
            </w:r>
          </w:p>
        </w:tc>
        <w:tc>
          <w:tcPr>
            <w:tcW w:w="36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(11,365)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Proceeds from exercise of stock options</w:t>
            </w:r>
          </w:p>
        </w:tc>
        <w:tc>
          <w:tcPr>
            <w:tcW w:w="10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4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154</w:t>
            </w:r>
          </w:p>
        </w:tc>
        <w:tc>
          <w:tcPr>
            <w:tcW w:w="4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tcPr>
          <w:p>
            <w:pPr>
              <w:ind w:left="240"/>
              <w:spacing w:after="0"/>
              <w:rPr>
                <w:sz w:val="20"/>
                <w:szCs w:val="20"/>
                <w:color w:val="auto"/>
              </w:rPr>
            </w:pPr>
            <w:r>
              <w:rPr>
                <w:rFonts w:ascii="Arial" w:cs="Arial" w:eastAsia="Arial" w:hAnsi="Arial"/>
                <w:sz w:val="12"/>
                <w:szCs w:val="12"/>
                <w:color w:val="auto"/>
              </w:rPr>
              <w:t>Purchase of treasury stock</w:t>
            </w:r>
          </w:p>
        </w:tc>
        <w:tc>
          <w:tcPr>
            <w:tcW w:w="1000" w:type="dxa"/>
            <w:vAlign w:val="bottom"/>
          </w:tcPr>
          <w:p>
            <w:pPr>
              <w:spacing w:after="0"/>
              <w:rPr>
                <w:sz w:val="12"/>
                <w:szCs w:val="12"/>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880" w:type="dxa"/>
            <w:vAlign w:val="bottom"/>
            <w:gridSpan w:val="2"/>
          </w:tcPr>
          <w:p>
            <w:pPr>
              <w:jc w:val="right"/>
              <w:ind w:right="360"/>
              <w:spacing w:after="0"/>
              <w:rPr>
                <w:sz w:val="20"/>
                <w:szCs w:val="20"/>
                <w:color w:val="auto"/>
              </w:rPr>
            </w:pPr>
            <w:r>
              <w:rPr>
                <w:rFonts w:ascii="Arial" w:cs="Arial" w:eastAsia="Arial" w:hAnsi="Arial"/>
                <w:sz w:val="12"/>
                <w:szCs w:val="12"/>
                <w:color w:val="auto"/>
              </w:rPr>
              <w:t>(9,131)</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Payments on other long-term payables</w:t>
            </w:r>
          </w:p>
        </w:tc>
        <w:tc>
          <w:tcPr>
            <w:tcW w:w="10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(476)</w:t>
            </w:r>
          </w:p>
        </w:tc>
        <w:tc>
          <w:tcPr>
            <w:tcW w:w="8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(666)</w:t>
            </w: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(533)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800" w:type="dxa"/>
            <w:vAlign w:val="bottom"/>
            <w:tcBorders>
              <w:bottom w:val="single" w:sz="8" w:color="CFF0FC"/>
            </w:tcBorders>
          </w:tcPr>
          <w:p>
            <w:pPr>
              <w:ind w:left="480"/>
              <w:spacing w:after="0"/>
              <w:rPr>
                <w:sz w:val="20"/>
                <w:szCs w:val="20"/>
                <w:color w:val="auto"/>
              </w:rPr>
            </w:pPr>
            <w:r>
              <w:rPr>
                <w:rFonts w:ascii="Arial" w:cs="Arial" w:eastAsia="Arial" w:hAnsi="Arial"/>
                <w:sz w:val="12"/>
                <w:szCs w:val="12"/>
                <w:color w:val="auto"/>
              </w:rPr>
              <w:t>Net cash (used in) provided by financing activities</w:t>
            </w:r>
          </w:p>
        </w:tc>
        <w:tc>
          <w:tcPr>
            <w:tcW w:w="10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(712,179)</w:t>
            </w:r>
          </w:p>
        </w:tc>
        <w:tc>
          <w:tcPr>
            <w:tcW w:w="40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1,043,891</w:t>
            </w:r>
          </w:p>
        </w:tc>
        <w:tc>
          <w:tcPr>
            <w:tcW w:w="400" w:type="dxa"/>
            <w:vAlign w:val="bottom"/>
            <w:tcBorders>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1,351,101</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8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tcPr>
          <w:p>
            <w:pPr>
              <w:ind w:left="240"/>
              <w:spacing w:after="0"/>
              <w:rPr>
                <w:sz w:val="20"/>
                <w:szCs w:val="20"/>
                <w:color w:val="auto"/>
              </w:rPr>
            </w:pPr>
            <w:r>
              <w:rPr>
                <w:rFonts w:ascii="Arial" w:cs="Arial" w:eastAsia="Arial" w:hAnsi="Arial"/>
                <w:sz w:val="12"/>
                <w:szCs w:val="12"/>
                <w:color w:val="auto"/>
              </w:rPr>
              <w:t>(Decrease) increase in cash, cash equivalents and restricted cash</w:t>
            </w:r>
          </w:p>
        </w:tc>
        <w:tc>
          <w:tcPr>
            <w:tcW w:w="1000" w:type="dxa"/>
            <w:vAlign w:val="bottom"/>
          </w:tcPr>
          <w:p>
            <w:pPr>
              <w:spacing w:after="0"/>
              <w:rPr>
                <w:sz w:val="12"/>
                <w:szCs w:val="12"/>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2"/>
                <w:szCs w:val="12"/>
                <w:color w:val="auto"/>
              </w:rPr>
              <w:t>(30,113)</w:t>
            </w: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98,942</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84,306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Cash, cash equivalents and restricted cash, beginning of period</w:t>
            </w:r>
          </w:p>
        </w:tc>
        <w:tc>
          <w:tcPr>
            <w:tcW w:w="100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246,691</w:t>
            </w:r>
          </w:p>
        </w:tc>
        <w:tc>
          <w:tcPr>
            <w:tcW w:w="4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147,749</w:t>
            </w:r>
          </w:p>
        </w:tc>
        <w:tc>
          <w:tcPr>
            <w:tcW w:w="40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63,443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800" w:type="dxa"/>
            <w:vAlign w:val="bottom"/>
            <w:tcBorders>
              <w:bottom w:val="single" w:sz="8" w:color="CFF0FC"/>
            </w:tcBorders>
          </w:tcPr>
          <w:p>
            <w:pPr>
              <w:ind w:left="240"/>
              <w:spacing w:after="0"/>
              <w:rPr>
                <w:sz w:val="20"/>
                <w:szCs w:val="20"/>
                <w:color w:val="auto"/>
              </w:rPr>
            </w:pPr>
            <w:r>
              <w:rPr>
                <w:rFonts w:ascii="Arial" w:cs="Arial" w:eastAsia="Arial" w:hAnsi="Arial"/>
                <w:sz w:val="12"/>
                <w:szCs w:val="12"/>
                <w:color w:val="auto"/>
              </w:rPr>
              <w:t>Cash, cash equivalents and restricted cash, end of period</w:t>
            </w:r>
          </w:p>
        </w:tc>
        <w:tc>
          <w:tcPr>
            <w:tcW w:w="1000" w:type="dxa"/>
            <w:vAlign w:val="bottom"/>
            <w:tcBorders>
              <w:bottom w:val="single" w:sz="8" w:color="auto"/>
            </w:tcBorders>
          </w:tcPr>
          <w:p>
            <w:pPr>
              <w:jc w:val="right"/>
              <w:ind w:right="858"/>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216,578</w:t>
            </w:r>
          </w:p>
        </w:tc>
        <w:tc>
          <w:tcPr>
            <w:tcW w:w="4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246,691</w:t>
            </w:r>
          </w:p>
        </w:tc>
        <w:tc>
          <w:tcPr>
            <w:tcW w:w="4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147,749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58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5800" w:type="dxa"/>
            <w:vAlign w:val="bottom"/>
          </w:tcPr>
          <w:p>
            <w:pPr>
              <w:spacing w:after="0" w:line="133" w:lineRule="exact"/>
              <w:rPr>
                <w:sz w:val="20"/>
                <w:szCs w:val="20"/>
                <w:color w:val="auto"/>
              </w:rPr>
            </w:pPr>
            <w:r>
              <w:rPr>
                <w:rFonts w:ascii="Arial" w:cs="Arial" w:eastAsia="Arial" w:hAnsi="Arial"/>
                <w:sz w:val="12"/>
                <w:szCs w:val="12"/>
                <w:color w:val="auto"/>
              </w:rPr>
              <w:t>RECONCILIATION OF CASH, CASH EQUIVALENTS AND RESTRICTED CASH TO</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00" w:type="dxa"/>
            <w:vAlign w:val="bottom"/>
          </w:tcPr>
          <w:p>
            <w:pPr>
              <w:ind w:left="80"/>
              <w:spacing w:after="0"/>
              <w:rPr>
                <w:sz w:val="20"/>
                <w:szCs w:val="20"/>
                <w:color w:val="auto"/>
              </w:rPr>
            </w:pPr>
            <w:r>
              <w:rPr>
                <w:rFonts w:ascii="Arial" w:cs="Arial" w:eastAsia="Arial" w:hAnsi="Arial"/>
                <w:sz w:val="12"/>
                <w:szCs w:val="12"/>
                <w:color w:val="auto"/>
              </w:rPr>
              <w:t>AMOUNTS REPORTED WITHIN THE CONSOLIDATED BALANCE SHEETS:</w:t>
            </w: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Cash and cash equivalents</w:t>
            </w:r>
          </w:p>
        </w:tc>
        <w:tc>
          <w:tcPr>
            <w:tcW w:w="1000" w:type="dxa"/>
            <w:vAlign w:val="bottom"/>
            <w:shd w:val="clear" w:color="auto" w:fill="CFF0FC"/>
          </w:tcPr>
          <w:p>
            <w:pPr>
              <w:jc w:val="right"/>
              <w:ind w:right="858"/>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206,317</w:t>
            </w: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230,752</w:t>
            </w:r>
          </w:p>
        </w:tc>
        <w:tc>
          <w:tcPr>
            <w:tcW w:w="400" w:type="dxa"/>
            <w:vAlign w:val="bottom"/>
            <w:shd w:val="clear" w:color="auto" w:fill="CFF0FC"/>
          </w:tcPr>
          <w:p>
            <w:pPr>
              <w:spacing w:after="0"/>
              <w:rPr>
                <w:sz w:val="12"/>
                <w:szCs w:val="12"/>
                <w:color w:val="auto"/>
              </w:rPr>
            </w:pPr>
          </w:p>
        </w:tc>
        <w:tc>
          <w:tcPr>
            <w:tcW w:w="360" w:type="dxa"/>
            <w:vAlign w:val="bottom"/>
            <w:shd w:val="clear" w:color="auto" w:fill="CFF0FC"/>
          </w:tcPr>
          <w:p>
            <w:pPr>
              <w:jc w:val="right"/>
              <w:ind w:right="218"/>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134,596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tcPr>
          <w:p>
            <w:pPr>
              <w:ind w:left="240"/>
              <w:spacing w:after="0"/>
              <w:rPr>
                <w:sz w:val="20"/>
                <w:szCs w:val="20"/>
                <w:color w:val="auto"/>
              </w:rPr>
            </w:pPr>
            <w:r>
              <w:rPr>
                <w:rFonts w:ascii="Arial" w:cs="Arial" w:eastAsia="Arial" w:hAnsi="Arial"/>
                <w:sz w:val="12"/>
                <w:szCs w:val="12"/>
                <w:color w:val="auto"/>
              </w:rPr>
              <w:t>Restricted cash</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3,507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8,884</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3,267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Restricted cash included in other noncurrent assets</w:t>
            </w:r>
          </w:p>
        </w:tc>
        <w:tc>
          <w:tcPr>
            <w:tcW w:w="100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6,754</w:t>
            </w:r>
          </w:p>
        </w:tc>
        <w:tc>
          <w:tcPr>
            <w:tcW w:w="4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7,055</w:t>
            </w:r>
          </w:p>
        </w:tc>
        <w:tc>
          <w:tcPr>
            <w:tcW w:w="40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9,886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820" w:type="dxa"/>
            <w:vAlign w:val="bottom"/>
            <w:gridSpan w:val="2"/>
          </w:tcPr>
          <w:p>
            <w:pPr>
              <w:spacing w:after="0"/>
              <w:rPr>
                <w:sz w:val="20"/>
                <w:szCs w:val="20"/>
                <w:color w:val="auto"/>
              </w:rPr>
            </w:pPr>
            <w:r>
              <w:rPr>
                <w:rFonts w:ascii="Arial" w:cs="Arial" w:eastAsia="Arial" w:hAnsi="Arial"/>
                <w:sz w:val="12"/>
                <w:szCs w:val="12"/>
                <w:color w:val="auto"/>
              </w:rPr>
              <w:t>Total cash, cash equivalents and restricted cash</w:t>
            </w:r>
          </w:p>
        </w:tc>
        <w:tc>
          <w:tcPr>
            <w:tcW w:w="1000" w:type="dxa"/>
            <w:vAlign w:val="bottom"/>
            <w:tcBorders>
              <w:bottom w:val="single" w:sz="8" w:color="auto"/>
            </w:tcBorders>
          </w:tcPr>
          <w:p>
            <w:pPr>
              <w:jc w:val="right"/>
              <w:ind w:right="858"/>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216,578</w:t>
            </w:r>
          </w:p>
        </w:tc>
        <w:tc>
          <w:tcPr>
            <w:tcW w:w="4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246,691</w:t>
            </w:r>
          </w:p>
        </w:tc>
        <w:tc>
          <w:tcPr>
            <w:tcW w:w="400" w:type="dxa"/>
            <w:vAlign w:val="bottom"/>
          </w:tcPr>
          <w:p>
            <w:pPr>
              <w:spacing w:after="0"/>
              <w:rPr>
                <w:sz w:val="15"/>
                <w:szCs w:val="15"/>
                <w:color w:val="auto"/>
              </w:rPr>
            </w:pPr>
          </w:p>
        </w:tc>
        <w:tc>
          <w:tcPr>
            <w:tcW w:w="3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147,749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580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48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5800" w:type="dxa"/>
            <w:vAlign w:val="bottom"/>
          </w:tcPr>
          <w:p>
            <w:pPr>
              <w:spacing w:after="0"/>
              <w:rPr>
                <w:sz w:val="20"/>
                <w:szCs w:val="20"/>
                <w:color w:val="auto"/>
              </w:rPr>
            </w:pPr>
            <w:r>
              <w:rPr>
                <w:rFonts w:ascii="Arial" w:cs="Arial" w:eastAsia="Arial" w:hAnsi="Arial"/>
                <w:sz w:val="12"/>
                <w:szCs w:val="12"/>
                <w:color w:val="auto"/>
              </w:rPr>
              <w:t>SUPPLEMENTAL DISCLOSURE OF CASH FLOW INFORMATION:</w:t>
            </w: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Interest paid</w:t>
            </w:r>
          </w:p>
        </w:tc>
        <w:tc>
          <w:tcPr>
            <w:tcW w:w="1000" w:type="dxa"/>
            <w:vAlign w:val="bottom"/>
            <w:shd w:val="clear" w:color="auto" w:fill="CFF0FC"/>
          </w:tcPr>
          <w:p>
            <w:pPr>
              <w:jc w:val="right"/>
              <w:ind w:right="858"/>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277,250</w:t>
            </w: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166,007</w:t>
            </w:r>
          </w:p>
        </w:tc>
        <w:tc>
          <w:tcPr>
            <w:tcW w:w="400" w:type="dxa"/>
            <w:vAlign w:val="bottom"/>
            <w:shd w:val="clear" w:color="auto" w:fill="CFF0FC"/>
          </w:tcPr>
          <w:p>
            <w:pPr>
              <w:spacing w:after="0"/>
              <w:rPr>
                <w:sz w:val="12"/>
                <w:szCs w:val="12"/>
                <w:color w:val="auto"/>
              </w:rPr>
            </w:pPr>
          </w:p>
        </w:tc>
        <w:tc>
          <w:tcPr>
            <w:tcW w:w="360" w:type="dxa"/>
            <w:vAlign w:val="bottom"/>
            <w:shd w:val="clear" w:color="auto" w:fill="CFF0FC"/>
          </w:tcPr>
          <w:p>
            <w:pPr>
              <w:jc w:val="right"/>
              <w:ind w:right="218"/>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84,604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tcPr>
          <w:p>
            <w:pPr>
              <w:ind w:left="240"/>
              <w:spacing w:after="0"/>
              <w:rPr>
                <w:sz w:val="20"/>
                <w:szCs w:val="20"/>
                <w:color w:val="auto"/>
              </w:rPr>
            </w:pPr>
            <w:r>
              <w:rPr>
                <w:rFonts w:ascii="Arial" w:cs="Arial" w:eastAsia="Arial" w:hAnsi="Arial"/>
                <w:sz w:val="12"/>
                <w:szCs w:val="12"/>
                <w:color w:val="auto"/>
              </w:rPr>
              <w:t>Income taxes (refunded) paid</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51,131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jc w:val="right"/>
              <w:ind w:right="360"/>
              <w:spacing w:after="0"/>
              <w:rPr>
                <w:sz w:val="20"/>
                <w:szCs w:val="20"/>
                <w:color w:val="auto"/>
              </w:rPr>
            </w:pPr>
            <w:r>
              <w:rPr>
                <w:rFonts w:ascii="Arial" w:cs="Arial" w:eastAsia="Arial" w:hAnsi="Arial"/>
                <w:sz w:val="12"/>
                <w:szCs w:val="12"/>
                <w:color w:val="auto"/>
              </w:rPr>
              <w:t>(4,134)</w:t>
            </w: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2"/>
                <w:szCs w:val="12"/>
                <w:color w:val="auto"/>
              </w:rPr>
              <w:t>NON-CASH FINANCING ACTIVITIES:</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00" w:type="dxa"/>
            <w:vAlign w:val="bottom"/>
          </w:tcPr>
          <w:p>
            <w:pPr>
              <w:ind w:left="240"/>
              <w:spacing w:after="0"/>
              <w:rPr>
                <w:sz w:val="20"/>
                <w:szCs w:val="20"/>
                <w:color w:val="auto"/>
              </w:rPr>
            </w:pPr>
            <w:r>
              <w:rPr>
                <w:rFonts w:ascii="Arial" w:cs="Arial" w:eastAsia="Arial" w:hAnsi="Arial"/>
                <w:sz w:val="12"/>
                <w:szCs w:val="12"/>
                <w:color w:val="auto"/>
              </w:rPr>
              <w:t>Payables for capital expenditures</w:t>
            </w:r>
          </w:p>
        </w:tc>
        <w:tc>
          <w:tcPr>
            <w:tcW w:w="10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10,676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11,694</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9,079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13">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t>ELDORADO RESORTS, INC.</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18" w:lineRule="exact"/>
        <w:rPr>
          <w:sz w:val="20"/>
          <w:szCs w:val="20"/>
          <w:color w:val="auto"/>
        </w:rPr>
      </w:pPr>
    </w:p>
    <w:p>
      <w:pPr>
        <w:ind w:right="140" w:firstLine="555"/>
        <w:spacing w:after="0" w:line="271" w:lineRule="auto"/>
        <w:rPr>
          <w:sz w:val="20"/>
          <w:szCs w:val="20"/>
          <w:color w:val="auto"/>
        </w:rPr>
      </w:pPr>
      <w:r>
        <w:rPr>
          <w:rFonts w:ascii="Arial" w:cs="Arial" w:eastAsia="Arial" w:hAnsi="Arial"/>
          <w:sz w:val="18"/>
          <w:szCs w:val="18"/>
          <w:color w:val="auto"/>
        </w:rPr>
        <w:t>The accompanying consolidated financial statements include the accounts of Eldorado Resorts, Inc. (“ERI” or the “Company”), a Nevada corporation formed in September 2013, and its consolidated subsidiaries.</w:t>
      </w:r>
    </w:p>
    <w:p>
      <w:pPr>
        <w:spacing w:after="0" w:line="175"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The Company is a geographically diversified gaming and hospitality company with 23 gaming facilities in 11 states as of December 31, 2019. The Company’s properties, which are located in Ohio, Louisiana, Nevada, New Jersey, Colorado, Florida, Iowa, Mississippi, Illinois, Indiana and Missouri, feature approximately 23,900 slot machines, video lottery terminals (“VLTs”) and e-tables, approximately 660 table games and approximately 11,300 hotel rooms. The Company’s primary source of revenue is generated by gaming operations, and the Company utilizes its hotels, restaurants, bars, entertainment, racing, retail shops and other services to attract customers to its properties.</w:t>
      </w:r>
    </w:p>
    <w:p>
      <w:pPr>
        <w:spacing w:after="0" w:line="189" w:lineRule="exact"/>
        <w:rPr>
          <w:sz w:val="20"/>
          <w:szCs w:val="20"/>
          <w:color w:val="auto"/>
        </w:rPr>
      </w:pPr>
    </w:p>
    <w:p>
      <w:pPr>
        <w:ind w:right="40" w:firstLine="555"/>
        <w:spacing w:after="0" w:line="267" w:lineRule="auto"/>
        <w:rPr>
          <w:sz w:val="20"/>
          <w:szCs w:val="20"/>
          <w:color w:val="auto"/>
        </w:rPr>
      </w:pPr>
      <w:r>
        <w:rPr>
          <w:rFonts w:ascii="Arial" w:cs="Arial" w:eastAsia="Arial" w:hAnsi="Arial"/>
          <w:sz w:val="17"/>
          <w:szCs w:val="17"/>
          <w:color w:val="auto"/>
        </w:rPr>
        <w:t>The Company was founded in 1973 by the Carano family with the opening of the Eldorado Hotel Casino in Reno, Nevada. In 1993, the Company partnered with MGM Resorts International to build Silver Legacy Resort Casino, the first mega-themed resort in Reno. In 2005, the Company acquired its first property outside of Reno when it purchased a casino in Shreveport, Louisiana, now known as Eldorado Shreveport. In September 2014, the Company merged with MTR Gaming Group, Inc. and acquired its three gaming and racing facilities in Ohio, Pennsylvania and West Virginia. The following year, in November 2015, the Company acquired Circus Circus Reno (“Circus Reno”) and the 50% membership interest in the Silver Legacy that was owned by MGM Resorts International. On May 1, 2017 (the “Isle Acquisition Date”), the Company completed its acquisition of Isle of Capri Casinos, Inc. (“Isle” or “Isle of Capri”), adding 13 gaming properties to its portfolio (the “Isle Acquisition”). On August 7, 2018, the Company acquired the Elgin Riverboat Resort – Riverboat Casino d/b/a Grand Victoria Casino (“Elgin”) (“Elgin Acquisition”). On October 1, 2018, the Company completed its acquisition of Tropicana Entertainment, Inc. (“Tropicana”), adding seven properties to its portfolio (the “Tropicana Acquisition”).</w:t>
      </w:r>
    </w:p>
    <w:p>
      <w:pPr>
        <w:spacing w:after="0" w:line="184" w:lineRule="exact"/>
        <w:rPr>
          <w:sz w:val="20"/>
          <w:szCs w:val="20"/>
          <w:color w:val="auto"/>
        </w:rPr>
      </w:pPr>
    </w:p>
    <w:p>
      <w:pPr>
        <w:ind w:right="240" w:firstLine="555"/>
        <w:spacing w:after="0" w:line="255" w:lineRule="auto"/>
        <w:rPr>
          <w:sz w:val="20"/>
          <w:szCs w:val="20"/>
          <w:color w:val="auto"/>
        </w:rPr>
      </w:pPr>
      <w:r>
        <w:rPr>
          <w:rFonts w:ascii="Arial" w:cs="Arial" w:eastAsia="Arial" w:hAnsi="Arial"/>
          <w:sz w:val="18"/>
          <w:szCs w:val="18"/>
          <w:color w:val="auto"/>
        </w:rPr>
        <w:t>On January 11, 2019 and March 8, 2019, respectively, we completed our sales of Presque Isle Downs &amp; Casino (“Presque”) and Lady Luck Casino Nemacolin (“Nemacolin”), which are both located in Pennsylvania. On December 6, 2019 we completed our sales of Mountaineer Casino, Racetrack and Resort (“Mountaineer”), Isle Casino Cape Girardeau (“Cape Girardeau”) and Lady Luck Casino Caruthersville (“Caruthersville”). Mountaineer is located in West Virginia and Cape Girardeau and Caruthersville are located in Missouri.</w:t>
      </w:r>
    </w:p>
    <w:p>
      <w:pPr>
        <w:spacing w:after="0" w:line="231" w:lineRule="exact"/>
        <w:rPr>
          <w:sz w:val="20"/>
          <w:szCs w:val="20"/>
          <w:color w:val="auto"/>
        </w:rPr>
      </w:pPr>
    </w:p>
    <w:p>
      <w:pPr>
        <w:ind w:right="60" w:firstLine="555"/>
        <w:spacing w:after="0" w:line="268" w:lineRule="auto"/>
        <w:rPr>
          <w:sz w:val="20"/>
          <w:szCs w:val="20"/>
          <w:color w:val="auto"/>
        </w:rPr>
      </w:pPr>
      <w:r>
        <w:rPr>
          <w:rFonts w:ascii="Arial" w:cs="Arial" w:eastAsia="Arial" w:hAnsi="Arial"/>
          <w:sz w:val="17"/>
          <w:szCs w:val="17"/>
          <w:color w:val="auto"/>
        </w:rPr>
        <w:t>On June 24, 2019, we entered into an Agreement and Plan of Merger (as amended by Amendment No. 1 to Agreement and Plan of Merger, dated as of August 15, 2019, and as it may be further amended from time to time, the “Merger Agreement”) with Caesars Entertainment Corporation (“Caesars”) pursuant to which a wholly-owned subsidiary of the Company will merge with and into Caesars, with Caesars surviving as a wholly-owned subsidiary of the Company (“the Merger”). In connection with the execution of the Merger Agreement, the Company also entered into a Master Transaction Agreement (the “MTA”) with VICI Properties L.P., a Delaware limited partnership (“VICI”), pursuant to which, among other things, the Company has agreed to consummate one or more sale and leaseback transactions with VICI and/or its affiliates with respect to certain property described in the MTA. Consummation of the Merger is subject to the satisfaction or waiver of certain conditions, including anti-trust and regulatory approvals. The Company expects that the Merger will be consummated in the first half of 2020.</w:t>
      </w:r>
    </w:p>
    <w:p>
      <w:pPr>
        <w:spacing w:after="0" w:line="207"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On July 10, 2019, we entered into a definitive agreement to sell the equity interests of Rainbow Casino Vicksburg Partnership, L.P. and IOC-Kansas City, L.L.C., the entities that hold Lady Luck Casino Vicksburg and Isle of Capri Casino Kansas City, to Twin River Worldwide Holdings, Inc. The definitive agreement provides that the consummation of the sale is subject to satisfaction of customary conditions, including receipt of required regulatory approvals. The transaction is expected to be consummated in the first half of 2020. (See Note 6).</w:t>
      </w:r>
    </w:p>
    <w:p>
      <w:pPr>
        <w:spacing w:after="0" w:line="231"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On January 13, 2020, we entered into a definitive agreement to sell Eldorado Resort Casino Shreveport. The definitive agreement provides that the consummation of the sale is subject to receipt of required regulatory approvals, the prior or concurrent closing of the Merger and other customary conditions. The transaction is expected to be consummated in 2020. (See Note 22).</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4">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96" w:name="page97"/>
    <w:bookmarkEnd w:id="96"/>
    <w:p>
      <w:pPr>
        <w:ind w:left="560"/>
        <w:spacing w:after="0"/>
        <w:rPr>
          <w:sz w:val="20"/>
          <w:szCs w:val="20"/>
          <w:color w:val="auto"/>
        </w:rPr>
      </w:pPr>
      <w:r>
        <w:rPr>
          <w:rFonts w:ascii="Arial" w:cs="Arial" w:eastAsia="Arial" w:hAnsi="Arial"/>
          <w:sz w:val="16"/>
          <w:szCs w:val="16"/>
          <w:color w:val="auto"/>
        </w:rPr>
        <w:t>The following table sets forth certain information regarding our properties (listed by segment in which each property is reported) as of December 31,</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3"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640" w:type="dxa"/>
            <w:vAlign w:val="bottom"/>
            <w:gridSpan w:val="2"/>
          </w:tcPr>
          <w:p>
            <w:pPr>
              <w:ind w:left="400"/>
              <w:spacing w:after="0"/>
              <w:rPr>
                <w:sz w:val="20"/>
                <w:szCs w:val="20"/>
                <w:color w:val="auto"/>
              </w:rPr>
            </w:pPr>
            <w:r>
              <w:rPr>
                <w:rFonts w:ascii="Arial" w:cs="Arial" w:eastAsia="Arial" w:hAnsi="Arial"/>
                <w:sz w:val="14"/>
                <w:szCs w:val="14"/>
                <w:b w:val="1"/>
                <w:bCs w:val="1"/>
                <w:color w:val="auto"/>
              </w:rPr>
              <w:t>Segment</w:t>
            </w:r>
          </w:p>
        </w:tc>
        <w:tc>
          <w:tcPr>
            <w:tcW w:w="5380" w:type="dxa"/>
            <w:vAlign w:val="bottom"/>
            <w:gridSpan w:val="2"/>
          </w:tcPr>
          <w:p>
            <w:pPr>
              <w:ind w:left="2260"/>
              <w:spacing w:after="0"/>
              <w:rPr>
                <w:sz w:val="20"/>
                <w:szCs w:val="20"/>
                <w:color w:val="auto"/>
              </w:rPr>
            </w:pPr>
            <w:r>
              <w:rPr>
                <w:rFonts w:ascii="Arial" w:cs="Arial" w:eastAsia="Arial" w:hAnsi="Arial"/>
                <w:sz w:val="14"/>
                <w:szCs w:val="14"/>
                <w:b w:val="1"/>
                <w:bCs w:val="1"/>
                <w:color w:val="auto"/>
              </w:rPr>
              <w:t>Property</w:t>
            </w:r>
          </w:p>
        </w:tc>
        <w:tc>
          <w:tcPr>
            <w:tcW w:w="2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 Acquired</w:t>
            </w:r>
          </w:p>
        </w:tc>
        <w:tc>
          <w:tcPr>
            <w:tcW w:w="1640" w:type="dxa"/>
            <w:vAlign w:val="bottom"/>
          </w:tcPr>
          <w:p>
            <w:pPr>
              <w:ind w:left="640"/>
              <w:spacing w:after="0"/>
              <w:rPr>
                <w:sz w:val="20"/>
                <w:szCs w:val="20"/>
                <w:color w:val="auto"/>
              </w:rPr>
            </w:pPr>
            <w:r>
              <w:rPr>
                <w:rFonts w:ascii="Arial" w:cs="Arial" w:eastAsia="Arial" w:hAnsi="Arial"/>
                <w:sz w:val="14"/>
                <w:szCs w:val="14"/>
                <w:b w:val="1"/>
                <w:bCs w:val="1"/>
                <w:color w:val="auto"/>
              </w:rPr>
              <w:t>State</w:t>
            </w:r>
          </w:p>
        </w:tc>
      </w:tr>
      <w:tr>
        <w:trPr>
          <w:trHeight w:val="221"/>
        </w:trPr>
        <w:tc>
          <w:tcPr>
            <w:tcW w:w="134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300" w:type="dxa"/>
            <w:vAlign w:val="bottom"/>
            <w:tcBorders>
              <w:top w:val="single" w:sz="8" w:color="CFF0FC"/>
            </w:tcBorders>
            <w:shd w:val="clear" w:color="auto" w:fill="CFF0FC"/>
          </w:tcPr>
          <w:p>
            <w:pPr>
              <w:spacing w:after="0"/>
              <w:rPr>
                <w:sz w:val="19"/>
                <w:szCs w:val="19"/>
                <w:color w:val="auto"/>
              </w:rPr>
            </w:pPr>
          </w:p>
        </w:tc>
        <w:tc>
          <w:tcPr>
            <w:tcW w:w="50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Eldorado Resort Casino Reno ("Eldorado Reno")</w:t>
            </w:r>
          </w:p>
        </w:tc>
        <w:tc>
          <w:tcPr>
            <w:tcW w:w="320" w:type="dxa"/>
            <w:vAlign w:val="bottom"/>
            <w:tcBorders>
              <w:top w:val="single" w:sz="8" w:color="CFF0FC"/>
            </w:tcBorders>
            <w:shd w:val="clear" w:color="auto" w:fill="CFF0FC"/>
          </w:tcPr>
          <w:p>
            <w:pPr>
              <w:spacing w:after="0"/>
              <w:rPr>
                <w:sz w:val="19"/>
                <w:szCs w:val="19"/>
                <w:color w:val="auto"/>
              </w:rPr>
            </w:pPr>
          </w:p>
        </w:tc>
        <w:tc>
          <w:tcPr>
            <w:tcW w:w="1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(a)</w:t>
            </w:r>
          </w:p>
        </w:tc>
        <w:tc>
          <w:tcPr>
            <w:tcW w:w="3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Nevada</w:t>
            </w:r>
          </w:p>
        </w:tc>
      </w:tr>
      <w:tr>
        <w:trPr>
          <w:trHeight w:val="227"/>
        </w:trPr>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Silver Legacy Resort Casino ("Silver Legacy")</w:t>
            </w: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(a)</w:t>
            </w:r>
          </w:p>
        </w:tc>
        <w:tc>
          <w:tcPr>
            <w:tcW w:w="1640" w:type="dxa"/>
            <w:vAlign w:val="bottom"/>
          </w:tcPr>
          <w:p>
            <w:pPr>
              <w:ind w:left="240"/>
              <w:spacing w:after="0"/>
              <w:rPr>
                <w:sz w:val="20"/>
                <w:szCs w:val="20"/>
                <w:color w:val="auto"/>
              </w:rPr>
            </w:pPr>
            <w:r>
              <w:rPr>
                <w:rFonts w:ascii="Arial" w:cs="Arial" w:eastAsia="Arial" w:hAnsi="Arial"/>
                <w:sz w:val="18"/>
                <w:szCs w:val="18"/>
                <w:color w:val="auto"/>
              </w:rPr>
              <w:t>Nevada</w:t>
            </w:r>
          </w:p>
        </w:tc>
      </w:tr>
      <w:tr>
        <w:trPr>
          <w:trHeight w:val="228"/>
        </w:trPr>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3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Circus Reno ("Circus Reno")</w:t>
            </w:r>
          </w:p>
        </w:tc>
        <w:tc>
          <w:tcPr>
            <w:tcW w:w="2260" w:type="dxa"/>
            <w:vAlign w:val="bottom"/>
            <w:gridSpan w:val="2"/>
            <w:shd w:val="clear" w:color="auto" w:fill="CFF0FC"/>
          </w:tcPr>
          <w:p>
            <w:pPr>
              <w:jc w:val="center"/>
              <w:ind w:right="340"/>
              <w:spacing w:after="0"/>
              <w:rPr>
                <w:sz w:val="20"/>
                <w:szCs w:val="20"/>
                <w:color w:val="auto"/>
              </w:rPr>
            </w:pPr>
            <w:r>
              <w:rPr>
                <w:rFonts w:ascii="Arial" w:cs="Arial" w:eastAsia="Arial" w:hAnsi="Arial"/>
                <w:sz w:val="18"/>
                <w:szCs w:val="18"/>
                <w:color w:val="auto"/>
                <w:w w:val="90"/>
              </w:rPr>
              <w:t>(a)</w:t>
            </w:r>
          </w:p>
        </w:tc>
        <w:tc>
          <w:tcPr>
            <w:tcW w:w="1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Nevada</w:t>
            </w:r>
          </w:p>
        </w:tc>
      </w:tr>
      <w:tr>
        <w:trPr>
          <w:trHeight w:val="227"/>
        </w:trPr>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MontBleu Casino Resort &amp; Spa ("MontBleu")</w:t>
            </w: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October 1, 2018</w:t>
            </w:r>
          </w:p>
        </w:tc>
        <w:tc>
          <w:tcPr>
            <w:tcW w:w="1640" w:type="dxa"/>
            <w:vAlign w:val="bottom"/>
          </w:tcPr>
          <w:p>
            <w:pPr>
              <w:ind w:left="240"/>
              <w:spacing w:after="0"/>
              <w:rPr>
                <w:sz w:val="20"/>
                <w:szCs w:val="20"/>
                <w:color w:val="auto"/>
              </w:rPr>
            </w:pPr>
            <w:r>
              <w:rPr>
                <w:rFonts w:ascii="Arial" w:cs="Arial" w:eastAsia="Arial" w:hAnsi="Arial"/>
                <w:sz w:val="18"/>
                <w:szCs w:val="18"/>
                <w:color w:val="auto"/>
              </w:rPr>
              <w:t>Nevada</w:t>
            </w:r>
          </w:p>
        </w:tc>
      </w:tr>
      <w:tr>
        <w:trPr>
          <w:trHeight w:val="228"/>
        </w:trPr>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3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Tropicana Laughlin Hotel &amp; Casino ("Laughlin")</w:t>
            </w:r>
          </w:p>
        </w:tc>
        <w:tc>
          <w:tcPr>
            <w:tcW w:w="2260" w:type="dxa"/>
            <w:vAlign w:val="bottom"/>
            <w:gridSpan w:val="2"/>
            <w:shd w:val="clear" w:color="auto" w:fill="CFF0FC"/>
          </w:tcPr>
          <w:p>
            <w:pPr>
              <w:jc w:val="center"/>
              <w:ind w:right="340"/>
              <w:spacing w:after="0"/>
              <w:rPr>
                <w:sz w:val="20"/>
                <w:szCs w:val="20"/>
                <w:color w:val="auto"/>
              </w:rPr>
            </w:pPr>
            <w:r>
              <w:rPr>
                <w:rFonts w:ascii="Arial" w:cs="Arial" w:eastAsia="Arial" w:hAnsi="Arial"/>
                <w:sz w:val="18"/>
                <w:szCs w:val="18"/>
                <w:color w:val="auto"/>
                <w:w w:val="89"/>
              </w:rPr>
              <w:t>October 1, 2018</w:t>
            </w:r>
          </w:p>
        </w:tc>
        <w:tc>
          <w:tcPr>
            <w:tcW w:w="1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Nevada</w:t>
            </w:r>
          </w:p>
        </w:tc>
      </w:tr>
      <w:tr>
        <w:trPr>
          <w:trHeight w:val="227"/>
        </w:trPr>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Isle Casino Hotel - Blackhawk ("Isle Black Hawk")</w:t>
            </w:r>
          </w:p>
        </w:tc>
        <w:tc>
          <w:tcPr>
            <w:tcW w:w="22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May 1, 2017</w:t>
            </w:r>
          </w:p>
        </w:tc>
        <w:tc>
          <w:tcPr>
            <w:tcW w:w="1640" w:type="dxa"/>
            <w:vAlign w:val="bottom"/>
          </w:tcPr>
          <w:p>
            <w:pPr>
              <w:ind w:left="240"/>
              <w:spacing w:after="0"/>
              <w:rPr>
                <w:sz w:val="20"/>
                <w:szCs w:val="20"/>
                <w:color w:val="auto"/>
              </w:rPr>
            </w:pPr>
            <w:r>
              <w:rPr>
                <w:rFonts w:ascii="Arial" w:cs="Arial" w:eastAsia="Arial" w:hAnsi="Arial"/>
                <w:sz w:val="18"/>
                <w:szCs w:val="18"/>
                <w:color w:val="auto"/>
              </w:rPr>
              <w:t>Colorado</w:t>
            </w:r>
          </w:p>
        </w:tc>
      </w:tr>
      <w:tr>
        <w:trPr>
          <w:trHeight w:val="228"/>
        </w:trPr>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3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Lady Luck Casino - Black Hawk ("Lady Luck Black Hawk")</w:t>
            </w:r>
          </w:p>
        </w:tc>
        <w:tc>
          <w:tcPr>
            <w:tcW w:w="2260" w:type="dxa"/>
            <w:vAlign w:val="bottom"/>
            <w:gridSpan w:val="2"/>
            <w:shd w:val="clear" w:color="auto" w:fill="CFF0FC"/>
          </w:tcPr>
          <w:p>
            <w:pPr>
              <w:jc w:val="center"/>
              <w:ind w:right="360"/>
              <w:spacing w:after="0"/>
              <w:rPr>
                <w:sz w:val="20"/>
                <w:szCs w:val="20"/>
                <w:color w:val="auto"/>
              </w:rPr>
            </w:pPr>
            <w:r>
              <w:rPr>
                <w:rFonts w:ascii="Arial" w:cs="Arial" w:eastAsia="Arial" w:hAnsi="Arial"/>
                <w:sz w:val="18"/>
                <w:szCs w:val="18"/>
                <w:color w:val="auto"/>
                <w:w w:val="90"/>
              </w:rPr>
              <w:t>May 1, 2017</w:t>
            </w:r>
          </w:p>
        </w:tc>
        <w:tc>
          <w:tcPr>
            <w:tcW w:w="1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Colorado</w:t>
            </w:r>
          </w:p>
        </w:tc>
      </w:tr>
      <w:tr>
        <w:trPr>
          <w:trHeight w:val="227"/>
        </w:trPr>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7"/>
        </w:trPr>
        <w:tc>
          <w:tcPr>
            <w:tcW w:w="1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Midwest (b)</w:t>
            </w:r>
          </w:p>
        </w:tc>
        <w:tc>
          <w:tcPr>
            <w:tcW w:w="53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Isle Casino Waterloo ("Waterloo")</w:t>
            </w:r>
          </w:p>
        </w:tc>
        <w:tc>
          <w:tcPr>
            <w:tcW w:w="2260" w:type="dxa"/>
            <w:vAlign w:val="bottom"/>
            <w:gridSpan w:val="2"/>
            <w:shd w:val="clear" w:color="auto" w:fill="CFF0FC"/>
          </w:tcPr>
          <w:p>
            <w:pPr>
              <w:jc w:val="center"/>
              <w:ind w:right="360"/>
              <w:spacing w:after="0"/>
              <w:rPr>
                <w:sz w:val="20"/>
                <w:szCs w:val="20"/>
                <w:color w:val="auto"/>
              </w:rPr>
            </w:pPr>
            <w:r>
              <w:rPr>
                <w:rFonts w:ascii="Arial" w:cs="Arial" w:eastAsia="Arial" w:hAnsi="Arial"/>
                <w:sz w:val="18"/>
                <w:szCs w:val="18"/>
                <w:color w:val="auto"/>
                <w:w w:val="90"/>
              </w:rPr>
              <w:t>May 1, 2017</w:t>
            </w:r>
          </w:p>
        </w:tc>
        <w:tc>
          <w:tcPr>
            <w:tcW w:w="1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Iowa</w:t>
            </w:r>
          </w:p>
        </w:tc>
      </w:tr>
      <w:tr>
        <w:trPr>
          <w:trHeight w:val="227"/>
        </w:trPr>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Isle Casino Bettendorf ("Bettendorf")</w:t>
            </w:r>
          </w:p>
        </w:tc>
        <w:tc>
          <w:tcPr>
            <w:tcW w:w="22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May 1, 2017</w:t>
            </w:r>
          </w:p>
        </w:tc>
        <w:tc>
          <w:tcPr>
            <w:tcW w:w="1640" w:type="dxa"/>
            <w:vAlign w:val="bottom"/>
          </w:tcPr>
          <w:p>
            <w:pPr>
              <w:ind w:left="240"/>
              <w:spacing w:after="0"/>
              <w:rPr>
                <w:sz w:val="20"/>
                <w:szCs w:val="20"/>
                <w:color w:val="auto"/>
              </w:rPr>
            </w:pPr>
            <w:r>
              <w:rPr>
                <w:rFonts w:ascii="Arial" w:cs="Arial" w:eastAsia="Arial" w:hAnsi="Arial"/>
                <w:sz w:val="18"/>
                <w:szCs w:val="18"/>
                <w:color w:val="auto"/>
              </w:rPr>
              <w:t>Iowa</w:t>
            </w:r>
          </w:p>
        </w:tc>
      </w:tr>
      <w:tr>
        <w:trPr>
          <w:trHeight w:val="228"/>
        </w:trPr>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3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Isle of Capri Casino Boonville ("Boonville")</w:t>
            </w:r>
          </w:p>
        </w:tc>
        <w:tc>
          <w:tcPr>
            <w:tcW w:w="2260" w:type="dxa"/>
            <w:vAlign w:val="bottom"/>
            <w:gridSpan w:val="2"/>
            <w:shd w:val="clear" w:color="auto" w:fill="CFF0FC"/>
          </w:tcPr>
          <w:p>
            <w:pPr>
              <w:jc w:val="center"/>
              <w:ind w:right="360"/>
              <w:spacing w:after="0"/>
              <w:rPr>
                <w:sz w:val="20"/>
                <w:szCs w:val="20"/>
                <w:color w:val="auto"/>
              </w:rPr>
            </w:pPr>
            <w:r>
              <w:rPr>
                <w:rFonts w:ascii="Arial" w:cs="Arial" w:eastAsia="Arial" w:hAnsi="Arial"/>
                <w:sz w:val="18"/>
                <w:szCs w:val="18"/>
                <w:color w:val="auto"/>
                <w:w w:val="90"/>
              </w:rPr>
              <w:t>May 1, 2017</w:t>
            </w:r>
          </w:p>
        </w:tc>
        <w:tc>
          <w:tcPr>
            <w:tcW w:w="1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Missouri</w:t>
            </w:r>
          </w:p>
        </w:tc>
      </w:tr>
      <w:tr>
        <w:trPr>
          <w:trHeight w:val="227"/>
        </w:trPr>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Isle of Capri Casino Kansas City ("Kansas City")</w:t>
            </w: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May 1, 2017 (c)</w:t>
            </w:r>
          </w:p>
        </w:tc>
        <w:tc>
          <w:tcPr>
            <w:tcW w:w="1640" w:type="dxa"/>
            <w:vAlign w:val="bottom"/>
          </w:tcPr>
          <w:p>
            <w:pPr>
              <w:ind w:left="240"/>
              <w:spacing w:after="0"/>
              <w:rPr>
                <w:sz w:val="20"/>
                <w:szCs w:val="20"/>
                <w:color w:val="auto"/>
              </w:rPr>
            </w:pPr>
            <w:r>
              <w:rPr>
                <w:rFonts w:ascii="Arial" w:cs="Arial" w:eastAsia="Arial" w:hAnsi="Arial"/>
                <w:sz w:val="18"/>
                <w:szCs w:val="18"/>
                <w:color w:val="auto"/>
              </w:rPr>
              <w:t>Missouri</w:t>
            </w:r>
          </w:p>
        </w:tc>
      </w:tr>
      <w:tr>
        <w:trPr>
          <w:trHeight w:val="228"/>
        </w:trPr>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r>
      <w:tr>
        <w:trPr>
          <w:trHeight w:val="227"/>
        </w:trPr>
        <w:tc>
          <w:tcPr>
            <w:tcW w:w="1640" w:type="dxa"/>
            <w:vAlign w:val="bottom"/>
            <w:gridSpan w:val="2"/>
          </w:tcPr>
          <w:p>
            <w:pPr>
              <w:ind w:left="240"/>
              <w:spacing w:after="0"/>
              <w:rPr>
                <w:sz w:val="20"/>
                <w:szCs w:val="20"/>
                <w:color w:val="auto"/>
              </w:rPr>
            </w:pPr>
            <w:r>
              <w:rPr>
                <w:rFonts w:ascii="Arial" w:cs="Arial" w:eastAsia="Arial" w:hAnsi="Arial"/>
                <w:sz w:val="18"/>
                <w:szCs w:val="18"/>
                <w:color w:val="auto"/>
              </w:rPr>
              <w:t>South</w:t>
            </w: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Isle Casino Racing Pompano Park ("Pompano")</w:t>
            </w:r>
          </w:p>
        </w:tc>
        <w:tc>
          <w:tcPr>
            <w:tcW w:w="22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May 1, 2017</w:t>
            </w:r>
          </w:p>
        </w:tc>
        <w:tc>
          <w:tcPr>
            <w:tcW w:w="1640" w:type="dxa"/>
            <w:vAlign w:val="bottom"/>
          </w:tcPr>
          <w:p>
            <w:pPr>
              <w:ind w:left="240"/>
              <w:spacing w:after="0"/>
              <w:rPr>
                <w:sz w:val="20"/>
                <w:szCs w:val="20"/>
                <w:color w:val="auto"/>
              </w:rPr>
            </w:pPr>
            <w:r>
              <w:rPr>
                <w:rFonts w:ascii="Arial" w:cs="Arial" w:eastAsia="Arial" w:hAnsi="Arial"/>
                <w:sz w:val="18"/>
                <w:szCs w:val="18"/>
                <w:color w:val="auto"/>
              </w:rPr>
              <w:t>Florida</w:t>
            </w:r>
          </w:p>
        </w:tc>
      </w:tr>
      <w:tr>
        <w:trPr>
          <w:trHeight w:val="228"/>
        </w:trPr>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3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Eldorado Resort Casino Shreveport ("Eldorado Shreveport")</w:t>
            </w:r>
          </w:p>
        </w:tc>
        <w:tc>
          <w:tcPr>
            <w:tcW w:w="2260" w:type="dxa"/>
            <w:vAlign w:val="bottom"/>
            <w:gridSpan w:val="2"/>
            <w:shd w:val="clear" w:color="auto" w:fill="CFF0FC"/>
          </w:tcPr>
          <w:p>
            <w:pPr>
              <w:jc w:val="center"/>
              <w:ind w:right="340"/>
              <w:spacing w:after="0"/>
              <w:rPr>
                <w:sz w:val="20"/>
                <w:szCs w:val="20"/>
                <w:color w:val="auto"/>
              </w:rPr>
            </w:pPr>
            <w:r>
              <w:rPr>
                <w:rFonts w:ascii="Arial" w:cs="Arial" w:eastAsia="Arial" w:hAnsi="Arial"/>
                <w:sz w:val="18"/>
                <w:szCs w:val="18"/>
                <w:color w:val="auto"/>
                <w:w w:val="91"/>
              </w:rPr>
              <w:t>(a) (c)</w:t>
            </w:r>
          </w:p>
        </w:tc>
        <w:tc>
          <w:tcPr>
            <w:tcW w:w="1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Louisiana</w:t>
            </w:r>
          </w:p>
        </w:tc>
      </w:tr>
      <w:tr>
        <w:trPr>
          <w:trHeight w:val="227"/>
        </w:trPr>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Isle of Capri Casino Hotel Lake Charles ("Lake Charles")</w:t>
            </w:r>
          </w:p>
        </w:tc>
        <w:tc>
          <w:tcPr>
            <w:tcW w:w="22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May 1, 2017</w:t>
            </w:r>
          </w:p>
        </w:tc>
        <w:tc>
          <w:tcPr>
            <w:tcW w:w="1640" w:type="dxa"/>
            <w:vAlign w:val="bottom"/>
          </w:tcPr>
          <w:p>
            <w:pPr>
              <w:ind w:left="240"/>
              <w:spacing w:after="0"/>
              <w:rPr>
                <w:sz w:val="20"/>
                <w:szCs w:val="20"/>
                <w:color w:val="auto"/>
              </w:rPr>
            </w:pPr>
            <w:r>
              <w:rPr>
                <w:rFonts w:ascii="Arial" w:cs="Arial" w:eastAsia="Arial" w:hAnsi="Arial"/>
                <w:sz w:val="18"/>
                <w:szCs w:val="18"/>
                <w:color w:val="auto"/>
              </w:rPr>
              <w:t>Louisiana</w:t>
            </w:r>
          </w:p>
        </w:tc>
      </w:tr>
      <w:tr>
        <w:trPr>
          <w:trHeight w:val="228"/>
        </w:trPr>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3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Belle of Baton Rouge Casino &amp; Hotel ("Baton Rouge")</w:t>
            </w:r>
          </w:p>
        </w:tc>
        <w:tc>
          <w:tcPr>
            <w:tcW w:w="2260" w:type="dxa"/>
            <w:vAlign w:val="bottom"/>
            <w:gridSpan w:val="2"/>
            <w:shd w:val="clear" w:color="auto" w:fill="CFF0FC"/>
          </w:tcPr>
          <w:p>
            <w:pPr>
              <w:jc w:val="center"/>
              <w:ind w:right="340"/>
              <w:spacing w:after="0"/>
              <w:rPr>
                <w:sz w:val="20"/>
                <w:szCs w:val="20"/>
                <w:color w:val="auto"/>
              </w:rPr>
            </w:pPr>
            <w:r>
              <w:rPr>
                <w:rFonts w:ascii="Arial" w:cs="Arial" w:eastAsia="Arial" w:hAnsi="Arial"/>
                <w:sz w:val="18"/>
                <w:szCs w:val="18"/>
                <w:color w:val="auto"/>
                <w:w w:val="89"/>
              </w:rPr>
              <w:t>October 1, 2018</w:t>
            </w:r>
          </w:p>
        </w:tc>
        <w:tc>
          <w:tcPr>
            <w:tcW w:w="1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Louisiana</w:t>
            </w:r>
          </w:p>
        </w:tc>
      </w:tr>
      <w:tr>
        <w:trPr>
          <w:trHeight w:val="227"/>
        </w:trPr>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Isle of Capri Casino Lula ("Lula")</w:t>
            </w:r>
          </w:p>
        </w:tc>
        <w:tc>
          <w:tcPr>
            <w:tcW w:w="22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May 1, 2017</w:t>
            </w:r>
          </w:p>
        </w:tc>
        <w:tc>
          <w:tcPr>
            <w:tcW w:w="1640" w:type="dxa"/>
            <w:vAlign w:val="bottom"/>
          </w:tcPr>
          <w:p>
            <w:pPr>
              <w:ind w:left="240"/>
              <w:spacing w:after="0"/>
              <w:rPr>
                <w:sz w:val="20"/>
                <w:szCs w:val="20"/>
                <w:color w:val="auto"/>
              </w:rPr>
            </w:pPr>
            <w:r>
              <w:rPr>
                <w:rFonts w:ascii="Arial" w:cs="Arial" w:eastAsia="Arial" w:hAnsi="Arial"/>
                <w:sz w:val="18"/>
                <w:szCs w:val="18"/>
                <w:color w:val="auto"/>
              </w:rPr>
              <w:t>Mississippi</w:t>
            </w:r>
          </w:p>
        </w:tc>
      </w:tr>
      <w:tr>
        <w:trPr>
          <w:trHeight w:val="228"/>
        </w:trPr>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3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Lady Luck Casino Vicksburg ("Vicksburg")</w:t>
            </w:r>
          </w:p>
        </w:tc>
        <w:tc>
          <w:tcPr>
            <w:tcW w:w="2260" w:type="dxa"/>
            <w:vAlign w:val="bottom"/>
            <w:gridSpan w:val="2"/>
            <w:shd w:val="clear" w:color="auto" w:fill="CFF0FC"/>
          </w:tcPr>
          <w:p>
            <w:pPr>
              <w:jc w:val="center"/>
              <w:ind w:right="340"/>
              <w:spacing w:after="0"/>
              <w:rPr>
                <w:sz w:val="20"/>
                <w:szCs w:val="20"/>
                <w:color w:val="auto"/>
              </w:rPr>
            </w:pPr>
            <w:r>
              <w:rPr>
                <w:rFonts w:ascii="Arial" w:cs="Arial" w:eastAsia="Arial" w:hAnsi="Arial"/>
                <w:sz w:val="18"/>
                <w:szCs w:val="18"/>
                <w:color w:val="auto"/>
                <w:w w:val="92"/>
              </w:rPr>
              <w:t>May 1, 2017 (c)</w:t>
            </w:r>
          </w:p>
        </w:tc>
        <w:tc>
          <w:tcPr>
            <w:tcW w:w="1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Mississippi</w:t>
            </w:r>
          </w:p>
        </w:tc>
      </w:tr>
      <w:tr>
        <w:trPr>
          <w:trHeight w:val="227"/>
        </w:trPr>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Trop Casino Greenville ("Greenville")</w:t>
            </w: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October 1, 2018</w:t>
            </w:r>
          </w:p>
        </w:tc>
        <w:tc>
          <w:tcPr>
            <w:tcW w:w="1640" w:type="dxa"/>
            <w:vAlign w:val="bottom"/>
          </w:tcPr>
          <w:p>
            <w:pPr>
              <w:ind w:left="240"/>
              <w:spacing w:after="0"/>
              <w:rPr>
                <w:sz w:val="20"/>
                <w:szCs w:val="20"/>
                <w:color w:val="auto"/>
              </w:rPr>
            </w:pPr>
            <w:r>
              <w:rPr>
                <w:rFonts w:ascii="Arial" w:cs="Arial" w:eastAsia="Arial" w:hAnsi="Arial"/>
                <w:sz w:val="18"/>
                <w:szCs w:val="18"/>
                <w:color w:val="auto"/>
              </w:rPr>
              <w:t>Mississippi</w:t>
            </w:r>
          </w:p>
        </w:tc>
      </w:tr>
      <w:tr>
        <w:trPr>
          <w:trHeight w:val="228"/>
        </w:trPr>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r>
      <w:tr>
        <w:trPr>
          <w:trHeight w:val="227"/>
        </w:trPr>
        <w:tc>
          <w:tcPr>
            <w:tcW w:w="1640" w:type="dxa"/>
            <w:vAlign w:val="bottom"/>
            <w:gridSpan w:val="2"/>
          </w:tcPr>
          <w:p>
            <w:pPr>
              <w:ind w:left="240"/>
              <w:spacing w:after="0"/>
              <w:rPr>
                <w:sz w:val="20"/>
                <w:szCs w:val="20"/>
                <w:color w:val="auto"/>
              </w:rPr>
            </w:pPr>
            <w:r>
              <w:rPr>
                <w:rFonts w:ascii="Arial" w:cs="Arial" w:eastAsia="Arial" w:hAnsi="Arial"/>
                <w:sz w:val="18"/>
                <w:szCs w:val="18"/>
                <w:color w:val="auto"/>
              </w:rPr>
              <w:t>East (b)</w:t>
            </w: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Eldorado Gaming Scioto Downs ("Scioto Downs")</w:t>
            </w: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(a)</w:t>
            </w:r>
          </w:p>
        </w:tc>
        <w:tc>
          <w:tcPr>
            <w:tcW w:w="1640" w:type="dxa"/>
            <w:vAlign w:val="bottom"/>
          </w:tcPr>
          <w:p>
            <w:pPr>
              <w:ind w:left="240"/>
              <w:spacing w:after="0"/>
              <w:rPr>
                <w:sz w:val="20"/>
                <w:szCs w:val="20"/>
                <w:color w:val="auto"/>
              </w:rPr>
            </w:pPr>
            <w:r>
              <w:rPr>
                <w:rFonts w:ascii="Arial" w:cs="Arial" w:eastAsia="Arial" w:hAnsi="Arial"/>
                <w:sz w:val="18"/>
                <w:szCs w:val="18"/>
                <w:color w:val="auto"/>
              </w:rPr>
              <w:t>Ohio</w:t>
            </w:r>
          </w:p>
        </w:tc>
      </w:tr>
      <w:tr>
        <w:trPr>
          <w:trHeight w:val="228"/>
        </w:trPr>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3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Tropicana Casino and Resort, Atlantic City ("Trop AC")</w:t>
            </w:r>
          </w:p>
        </w:tc>
        <w:tc>
          <w:tcPr>
            <w:tcW w:w="2260" w:type="dxa"/>
            <w:vAlign w:val="bottom"/>
            <w:gridSpan w:val="2"/>
            <w:shd w:val="clear" w:color="auto" w:fill="CFF0FC"/>
          </w:tcPr>
          <w:p>
            <w:pPr>
              <w:jc w:val="center"/>
              <w:ind w:right="340"/>
              <w:spacing w:after="0"/>
              <w:rPr>
                <w:sz w:val="20"/>
                <w:szCs w:val="20"/>
                <w:color w:val="auto"/>
              </w:rPr>
            </w:pPr>
            <w:r>
              <w:rPr>
                <w:rFonts w:ascii="Arial" w:cs="Arial" w:eastAsia="Arial" w:hAnsi="Arial"/>
                <w:sz w:val="18"/>
                <w:szCs w:val="18"/>
                <w:color w:val="auto"/>
                <w:w w:val="89"/>
              </w:rPr>
              <w:t>October 1, 2018</w:t>
            </w:r>
          </w:p>
        </w:tc>
        <w:tc>
          <w:tcPr>
            <w:tcW w:w="1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New Jersey</w:t>
            </w:r>
          </w:p>
        </w:tc>
      </w:tr>
      <w:tr>
        <w:trPr>
          <w:trHeight w:val="227"/>
        </w:trPr>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7"/>
        </w:trPr>
        <w:tc>
          <w:tcPr>
            <w:tcW w:w="1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Central</w:t>
            </w:r>
          </w:p>
        </w:tc>
        <w:tc>
          <w:tcPr>
            <w:tcW w:w="53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Grand Victoria Casino ("Elgin")</w:t>
            </w:r>
          </w:p>
        </w:tc>
        <w:tc>
          <w:tcPr>
            <w:tcW w:w="2260" w:type="dxa"/>
            <w:vAlign w:val="bottom"/>
            <w:gridSpan w:val="2"/>
            <w:shd w:val="clear" w:color="auto" w:fill="CFF0FC"/>
          </w:tcPr>
          <w:p>
            <w:pPr>
              <w:jc w:val="center"/>
              <w:ind w:right="360"/>
              <w:spacing w:after="0"/>
              <w:rPr>
                <w:sz w:val="20"/>
                <w:szCs w:val="20"/>
                <w:color w:val="auto"/>
              </w:rPr>
            </w:pPr>
            <w:r>
              <w:rPr>
                <w:rFonts w:ascii="Arial" w:cs="Arial" w:eastAsia="Arial" w:hAnsi="Arial"/>
                <w:sz w:val="18"/>
                <w:szCs w:val="18"/>
                <w:color w:val="auto"/>
                <w:w w:val="90"/>
              </w:rPr>
              <w:t>August 7, 2018</w:t>
            </w:r>
          </w:p>
        </w:tc>
        <w:tc>
          <w:tcPr>
            <w:tcW w:w="1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Illinois</w:t>
            </w:r>
          </w:p>
        </w:tc>
      </w:tr>
      <w:tr>
        <w:trPr>
          <w:trHeight w:val="227"/>
        </w:trPr>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Lumière Place Casino ("Lumière")</w:t>
            </w: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October 1, 2018</w:t>
            </w:r>
          </w:p>
        </w:tc>
        <w:tc>
          <w:tcPr>
            <w:tcW w:w="1640" w:type="dxa"/>
            <w:vAlign w:val="bottom"/>
          </w:tcPr>
          <w:p>
            <w:pPr>
              <w:ind w:left="240"/>
              <w:spacing w:after="0"/>
              <w:rPr>
                <w:sz w:val="20"/>
                <w:szCs w:val="20"/>
                <w:color w:val="auto"/>
              </w:rPr>
            </w:pPr>
            <w:r>
              <w:rPr>
                <w:rFonts w:ascii="Arial" w:cs="Arial" w:eastAsia="Arial" w:hAnsi="Arial"/>
                <w:sz w:val="18"/>
                <w:szCs w:val="18"/>
                <w:color w:val="auto"/>
              </w:rPr>
              <w:t>Missouri</w:t>
            </w:r>
          </w:p>
        </w:tc>
      </w:tr>
      <w:tr>
        <w:trPr>
          <w:trHeight w:val="228"/>
        </w:trPr>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3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Tropicana Evansville ("Evansville")</w:t>
            </w:r>
          </w:p>
        </w:tc>
        <w:tc>
          <w:tcPr>
            <w:tcW w:w="2260" w:type="dxa"/>
            <w:vAlign w:val="bottom"/>
            <w:gridSpan w:val="2"/>
            <w:shd w:val="clear" w:color="auto" w:fill="CFF0FC"/>
          </w:tcPr>
          <w:p>
            <w:pPr>
              <w:jc w:val="center"/>
              <w:ind w:right="340"/>
              <w:spacing w:after="0"/>
              <w:rPr>
                <w:sz w:val="20"/>
                <w:szCs w:val="20"/>
                <w:color w:val="auto"/>
              </w:rPr>
            </w:pPr>
            <w:r>
              <w:rPr>
                <w:rFonts w:ascii="Arial" w:cs="Arial" w:eastAsia="Arial" w:hAnsi="Arial"/>
                <w:sz w:val="18"/>
                <w:szCs w:val="18"/>
                <w:color w:val="auto"/>
                <w:w w:val="89"/>
              </w:rPr>
              <w:t>October 1, 2018</w:t>
            </w:r>
          </w:p>
        </w:tc>
        <w:tc>
          <w:tcPr>
            <w:tcW w:w="1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Indiana</w:t>
            </w:r>
          </w:p>
        </w:tc>
      </w:tr>
    </w:tbl>
    <w:p>
      <w:pPr>
        <w:spacing w:after="0" w:line="227" w:lineRule="exact"/>
        <w:rPr>
          <w:sz w:val="20"/>
          <w:szCs w:val="20"/>
          <w:color w:val="auto"/>
        </w:rPr>
      </w:pPr>
    </w:p>
    <w:p>
      <w:pPr>
        <w:ind w:left="560" w:hanging="553"/>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Property was aggregated into segment prior to January 1, 2016.</w:t>
      </w:r>
    </w:p>
    <w:p>
      <w:pPr>
        <w:spacing w:after="0" w:line="20" w:lineRule="exact"/>
        <w:rPr>
          <w:rFonts w:ascii="Arial" w:cs="Arial" w:eastAsia="Arial" w:hAnsi="Arial"/>
          <w:sz w:val="18"/>
          <w:szCs w:val="18"/>
          <w:color w:val="auto"/>
        </w:rPr>
      </w:pPr>
    </w:p>
    <w:p>
      <w:pPr>
        <w:jc w:val="both"/>
        <w:ind w:left="560" w:right="300" w:hanging="553"/>
        <w:spacing w:after="0" w:line="253" w:lineRule="auto"/>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Presque was sold on January 11, 2019, Nemacolin was sold on March 8, 2019 and Mountaineer was sold on December 6, 2019. All three properties were previously reported in the East segment. Cape Girardeau and Caruthersville were sold on December 6, 2019. Both properties were previously reported in the Midwest segment.</w:t>
      </w:r>
    </w:p>
    <w:p>
      <w:pPr>
        <w:ind w:left="560" w:hanging="553"/>
        <w:spacing w:after="0" w:line="256" w:lineRule="auto"/>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entered into agreements to sell Kansas City, Vicksburg and Eldorado Shreveport. The Kansas City and Vicksburg sales are expected to close in the first half of 2020. The Eldorado Shreveport sale is expected to close in 2020.</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5">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379" w:right="2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8" w:lineRule="exact"/>
        <w:rPr>
          <w:sz w:val="20"/>
          <w:szCs w:val="20"/>
          <w:color w:val="auto"/>
        </w:rPr>
      </w:pPr>
    </w:p>
    <w:p>
      <w:pPr>
        <w:ind w:right="280" w:firstLine="555"/>
        <w:spacing w:after="0" w:line="271"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accompanying consolidated financial statements include the accounts of the Company as described in Note 1.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intercompany transactions have been eliminated in consolidation.</w:t>
      </w:r>
    </w:p>
    <w:p>
      <w:pPr>
        <w:spacing w:after="0" w:line="175" w:lineRule="exact"/>
        <w:rPr>
          <w:sz w:val="20"/>
          <w:szCs w:val="20"/>
          <w:color w:val="auto"/>
        </w:rPr>
      </w:pPr>
    </w:p>
    <w:p>
      <w:pPr>
        <w:ind w:right="60" w:firstLine="555"/>
        <w:spacing w:after="0" w:line="216" w:lineRule="exact"/>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 accepted in the United States of America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incorporated into the Company’s consolidated financial statements include useful lives for depreciable and amortizable assets, allowance for doubtful accounts receivable, cash flows in assessing goodwill and indefinite-lived intangible assets for impairment and the recoverability of long</w:t>
      </w:r>
      <w:r>
        <w:rPr>
          <w:rFonts w:ascii="MS PGothic" w:cs="MS PGothic" w:eastAsia="MS PGothic" w:hAnsi="MS PGothic"/>
          <w:sz w:val="17"/>
          <w:szCs w:val="17"/>
          <w:color w:val="auto"/>
        </w:rPr>
        <w:t>‑</w:t>
      </w:r>
      <w:r>
        <w:rPr>
          <w:rFonts w:ascii="Arial" w:cs="Arial" w:eastAsia="Arial" w:hAnsi="Arial"/>
          <w:sz w:val="17"/>
          <w:szCs w:val="17"/>
          <w:color w:val="auto"/>
        </w:rPr>
        <w:t>lived assets, self</w:t>
      </w:r>
      <w:r>
        <w:rPr>
          <w:rFonts w:ascii="MS PGothic" w:cs="MS PGothic" w:eastAsia="MS PGothic" w:hAnsi="MS PGothic"/>
          <w:sz w:val="17"/>
          <w:szCs w:val="17"/>
          <w:color w:val="auto"/>
        </w:rPr>
        <w:t>‑</w:t>
      </w:r>
      <w:r>
        <w:rPr>
          <w:rFonts w:ascii="Arial" w:cs="Arial" w:eastAsia="Arial" w:hAnsi="Arial"/>
          <w:sz w:val="17"/>
          <w:szCs w:val="17"/>
          <w:color w:val="auto"/>
        </w:rPr>
        <w:t>insurance reserves, players’ loyalty program liabilities, contingencies and litigation, claims and assessments, and fair value measurements related to the Company’s long</w:t>
      </w:r>
      <w:r>
        <w:rPr>
          <w:rFonts w:ascii="MS PGothic" w:cs="MS PGothic" w:eastAsia="MS PGothic" w:hAnsi="MS PGothic"/>
          <w:sz w:val="17"/>
          <w:szCs w:val="17"/>
          <w:color w:val="auto"/>
        </w:rPr>
        <w:t>‑</w:t>
      </w:r>
      <w:r>
        <w:rPr>
          <w:rFonts w:ascii="Arial" w:cs="Arial" w:eastAsia="Arial" w:hAnsi="Arial"/>
          <w:sz w:val="17"/>
          <w:szCs w:val="17"/>
          <w:color w:val="auto"/>
        </w:rPr>
        <w:t>term debt. Actual results could differ from these estimates.</w:t>
      </w:r>
    </w:p>
    <w:p>
      <w:pPr>
        <w:spacing w:after="0" w:line="202" w:lineRule="exact"/>
        <w:rPr>
          <w:sz w:val="20"/>
          <w:szCs w:val="20"/>
          <w:color w:val="auto"/>
        </w:rPr>
      </w:pPr>
    </w:p>
    <w:p>
      <w:pPr>
        <w:ind w:right="120" w:firstLine="555"/>
        <w:spacing w:after="0" w:line="217" w:lineRule="exact"/>
        <w:rPr>
          <w:sz w:val="20"/>
          <w:szCs w:val="20"/>
          <w:color w:val="auto"/>
        </w:rPr>
      </w:pPr>
      <w:r>
        <w:rPr>
          <w:rFonts w:ascii="Arial" w:cs="Arial" w:eastAsia="Arial" w:hAnsi="Arial"/>
          <w:sz w:val="16"/>
          <w:szCs w:val="16"/>
          <w:b w:val="1"/>
          <w:bCs w:val="1"/>
          <w:i w:val="1"/>
          <w:iCs w:val="1"/>
          <w:color w:val="auto"/>
        </w:rPr>
        <w:t xml:space="preserve">Cash and Cash Equivalents. </w:t>
      </w:r>
      <w:r>
        <w:rPr>
          <w:rFonts w:ascii="Arial" w:cs="Arial" w:eastAsia="Arial" w:hAnsi="Arial"/>
          <w:sz w:val="16"/>
          <w:szCs w:val="16"/>
          <w:color w:val="auto"/>
        </w:rPr>
        <w:t>Cash equivalents include investments in money market funds that can be redeemed immediately at the current net asset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per share. A money market fund is a mutual fund whose investments are primarily in short</w:t>
      </w:r>
      <w:r>
        <w:rPr>
          <w:rFonts w:ascii="MS PGothic" w:cs="MS PGothic" w:eastAsia="MS PGothic" w:hAnsi="MS PGothic"/>
          <w:sz w:val="16"/>
          <w:szCs w:val="16"/>
          <w:color w:val="auto"/>
        </w:rPr>
        <w:t>‑</w:t>
      </w:r>
      <w:r>
        <w:rPr>
          <w:rFonts w:ascii="Arial" w:cs="Arial" w:eastAsia="Arial" w:hAnsi="Arial"/>
          <w:sz w:val="16"/>
          <w:szCs w:val="16"/>
          <w:color w:val="auto"/>
        </w:rPr>
        <w:t>term debt securities designed to maximize current income with liquidity and capital preservation, usually maintaining per share net asset value at a constant amount, such as one dollar. Cash and cash equivalents also include cash maintained for gaming operations. The carrying amounts approximate the fair value because of the short maturity of those instruments (Level 1).</w:t>
      </w:r>
    </w:p>
    <w:p>
      <w:pPr>
        <w:spacing w:after="0" w:line="203"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b w:val="1"/>
          <w:bCs w:val="1"/>
          <w:i w:val="1"/>
          <w:iCs w:val="1"/>
          <w:color w:val="auto"/>
        </w:rPr>
        <w:t xml:space="preserve">Restricted Cash and Investments. </w:t>
      </w:r>
      <w:r>
        <w:rPr>
          <w:rFonts w:ascii="Arial" w:cs="Arial" w:eastAsia="Arial" w:hAnsi="Arial"/>
          <w:sz w:val="16"/>
          <w:szCs w:val="16"/>
          <w:color w:val="auto"/>
        </w:rPr>
        <w:t>Restricted cash includes cash and certificates of deposit and restricted investments consist primarily of trading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held by the Company’s captive insurance subsidiary. The trading securities are primarily debt and equity securities that are purchased with the intention to resell in the near term. The trading securities are carried at fair value with changes in fair value recognized in current period income. Additionally, balances are reserved for unredeemed winning tickets from the Company’s racing operations, funds related to horsemen’s fines and certain simulcasting funds that are restricted to payments for improving horsemen’s facilities and racing purses, cash deposits that serve as collateral for letters of credit, surety bonds and certificates of deposit that serve as collateral for certain bonding requirements, and serve as security for certain insurance coverage and land leases.</w:t>
      </w:r>
    </w:p>
    <w:p>
      <w:pPr>
        <w:spacing w:after="0" w:line="165"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The estimated fair values of our restricted cash and investments are based upon quoted prices available in active markets (Level 1), or quoted prices for similar assets in active and inactive markets (Level 2), or unobservable inputs that are not corroborated by market data (Level 3) and represent the amounts we would expect to receive if we sold our restricted cash and investments. Restricted cash and investments are reported on the face of the Consolidated Balance Sheets and in Other assets, net.</w:t>
      </w:r>
    </w:p>
    <w:p>
      <w:pPr>
        <w:spacing w:after="0" w:line="191" w:lineRule="exact"/>
        <w:rPr>
          <w:sz w:val="20"/>
          <w:szCs w:val="20"/>
          <w:color w:val="auto"/>
        </w:rPr>
      </w:pPr>
    </w:p>
    <w:p>
      <w:pPr>
        <w:ind w:right="280" w:firstLine="555"/>
        <w:spacing w:after="0" w:line="271" w:lineRule="auto"/>
        <w:rPr>
          <w:sz w:val="20"/>
          <w:szCs w:val="20"/>
          <w:color w:val="auto"/>
        </w:rPr>
      </w:pPr>
      <w:r>
        <w:rPr>
          <w:rFonts w:ascii="Arial" w:cs="Arial" w:eastAsia="Arial" w:hAnsi="Arial"/>
          <w:sz w:val="18"/>
          <w:szCs w:val="18"/>
          <w:b w:val="1"/>
          <w:bCs w:val="1"/>
          <w:i w:val="1"/>
          <w:iCs w:val="1"/>
          <w:color w:val="auto"/>
        </w:rPr>
        <w:t>Marketable Securities</w:t>
      </w:r>
      <w:r>
        <w:rPr>
          <w:rFonts w:ascii="Arial" w:cs="Arial" w:eastAsia="Arial" w:hAnsi="Arial"/>
          <w:sz w:val="18"/>
          <w:szCs w:val="18"/>
          <w:color w:val="auto"/>
        </w:rPr>
        <w:t>. Marketable securities consist of trading securities which are primarily debt and equity securities that are carried at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changes in fair value recognized in current period income.</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CRDA Investments. </w:t>
      </w:r>
      <w:r>
        <w:rPr>
          <w:rFonts w:ascii="Arial" w:cs="Arial" w:eastAsia="Arial" w:hAnsi="Arial"/>
          <w:sz w:val="16"/>
          <w:szCs w:val="16"/>
          <w:color w:val="auto"/>
        </w:rPr>
        <w:t>The New Jersey Casino Reinvestment Development Authority (“CRDA”) cash deposits made by Trop AC are carried at fair value.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CRDA bonds are classified as held-to-maturity securities and are carried at amortized cost less any adjustments for other than temporary impairments.</w:t>
      </w:r>
    </w:p>
    <w:p>
      <w:pPr>
        <w:spacing w:after="0" w:line="231" w:lineRule="exact"/>
        <w:rPr>
          <w:sz w:val="20"/>
          <w:szCs w:val="20"/>
          <w:color w:val="auto"/>
        </w:rPr>
      </w:pPr>
    </w:p>
    <w:p>
      <w:pPr>
        <w:ind w:firstLine="555"/>
        <w:spacing w:after="0" w:line="216" w:lineRule="exact"/>
        <w:rPr>
          <w:sz w:val="20"/>
          <w:szCs w:val="20"/>
          <w:color w:val="auto"/>
        </w:rPr>
      </w:pPr>
      <w:r>
        <w:rPr>
          <w:rFonts w:ascii="Arial" w:cs="Arial" w:eastAsia="Arial" w:hAnsi="Arial"/>
          <w:sz w:val="17"/>
          <w:szCs w:val="17"/>
          <w:b w:val="1"/>
          <w:bCs w:val="1"/>
          <w:i w:val="1"/>
          <w:iCs w:val="1"/>
          <w:color w:val="auto"/>
        </w:rPr>
        <w:t xml:space="preserve">Accounts Receivable and Credit Risk. </w:t>
      </w:r>
      <w:r>
        <w:rPr>
          <w:rFonts w:ascii="Arial" w:cs="Arial" w:eastAsia="Arial" w:hAnsi="Arial"/>
          <w:sz w:val="17"/>
          <w:szCs w:val="17"/>
          <w:color w:val="auto"/>
        </w:rPr>
        <w:t>Financial instruments that potentially subject the Company to concentrations of credit risk consist principally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casino accounts receivable. The Company issues credit to approved casino customers following background checks and assessments of creditworthiness. Trade receivables, including casino and hotel receivables, are typically non</w:t>
      </w:r>
      <w:r>
        <w:rPr>
          <w:rFonts w:ascii="MS PGothic" w:cs="MS PGothic" w:eastAsia="MS PGothic" w:hAnsi="MS PGothic"/>
          <w:sz w:val="17"/>
          <w:szCs w:val="17"/>
          <w:color w:val="auto"/>
        </w:rPr>
        <w:t>‑</w:t>
      </w:r>
      <w:r>
        <w:rPr>
          <w:rFonts w:ascii="Arial" w:cs="Arial" w:eastAsia="Arial" w:hAnsi="Arial"/>
          <w:sz w:val="17"/>
          <w:szCs w:val="17"/>
          <w:color w:val="auto"/>
        </w:rPr>
        <w:t>interest bearing. Accounts are written off when management deems the account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historical collection experience and current economic and business conditions. Management believes that as of December 31, 2019 and 2018, no significant concentrations of credit risk related to receivables existed.</w:t>
      </w:r>
    </w:p>
    <w:p>
      <w:pPr>
        <w:spacing w:after="0" w:line="202" w:lineRule="exact"/>
        <w:rPr>
          <w:sz w:val="20"/>
          <w:szCs w:val="20"/>
          <w:color w:val="auto"/>
        </w:rPr>
      </w:pPr>
    </w:p>
    <w:p>
      <w:pPr>
        <w:ind w:right="140" w:firstLine="555"/>
        <w:spacing w:after="0" w:line="220" w:lineRule="exact"/>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average cost, using a first</w:t>
      </w:r>
      <w:r>
        <w:rPr>
          <w:rFonts w:ascii="MS PGothic" w:cs="MS PGothic" w:eastAsia="MS PGothic" w:hAnsi="MS PGothic"/>
          <w:sz w:val="18"/>
          <w:szCs w:val="18"/>
          <w:color w:val="auto"/>
        </w:rPr>
        <w:t>‑</w:t>
      </w:r>
      <w:r>
        <w:rPr>
          <w:rFonts w:ascii="Arial" w:cs="Arial" w:eastAsia="Arial" w:hAnsi="Arial"/>
          <w:sz w:val="18"/>
          <w:szCs w:val="18"/>
          <w:color w:val="auto"/>
        </w:rPr>
        <w:t>in, first</w:t>
      </w:r>
      <w:r>
        <w:rPr>
          <w:rFonts w:ascii="MS PGothic" w:cs="MS PGothic" w:eastAsia="MS PGothic" w:hAnsi="MS PGothic"/>
          <w:sz w:val="18"/>
          <w:szCs w:val="18"/>
          <w:color w:val="auto"/>
        </w:rPr>
        <w:t>‑</w:t>
      </w:r>
      <w:r>
        <w:rPr>
          <w:rFonts w:ascii="Arial" w:cs="Arial" w:eastAsia="Arial" w:hAnsi="Arial"/>
          <w:sz w:val="18"/>
          <w:szCs w:val="18"/>
          <w:color w:val="auto"/>
        </w:rPr>
        <w:t>out basis, or net realizable value. Inventories consist primarily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food and beverage, retail merchandise and operating supplies.</w:t>
      </w:r>
    </w:p>
    <w:p>
      <w:pPr>
        <w:spacing w:after="0" w:line="202"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b w:val="1"/>
          <w:bCs w:val="1"/>
          <w:i w:val="1"/>
          <w:iCs w:val="1"/>
          <w:color w:val="auto"/>
        </w:rPr>
        <w:t xml:space="preserve">Corporate Expense. </w:t>
      </w:r>
      <w:r>
        <w:rPr>
          <w:rFonts w:ascii="Arial" w:cs="Arial" w:eastAsia="Arial" w:hAnsi="Arial"/>
          <w:sz w:val="18"/>
          <w:szCs w:val="18"/>
          <w:color w:val="auto"/>
        </w:rPr>
        <w:t>Corporate expense represents unallocated payroll, travel costs, professional fees and various other expenses not directly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casino operations. In addition, corporate expense includes costs associated with the Company’s evaluation and pursuit of new business opportunities which are expensed as incurred.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6">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482" w:right="259" w:bottom="1440" w:gutter="0" w:footer="0" w:header="0"/>
        </w:sectPr>
      </w:pPr>
    </w:p>
    <w:bookmarkStart w:id="98" w:name="page99"/>
    <w:bookmarkEnd w:id="98"/>
    <w:p>
      <w:pPr>
        <w:ind w:right="60" w:firstLine="555"/>
        <w:spacing w:after="0" w:line="259" w:lineRule="auto"/>
        <w:rPr>
          <w:sz w:val="20"/>
          <w:szCs w:val="20"/>
          <w:color w:val="auto"/>
        </w:rPr>
      </w:pPr>
      <w:r>
        <w:rPr>
          <w:rFonts w:ascii="Arial" w:cs="Arial" w:eastAsia="Arial" w:hAnsi="Arial"/>
          <w:sz w:val="18"/>
          <w:szCs w:val="18"/>
          <w:b w:val="1"/>
          <w:bCs w:val="1"/>
          <w:i w:val="1"/>
          <w:iCs w:val="1"/>
          <w:color w:val="auto"/>
        </w:rPr>
        <w:t xml:space="preserve">Preopening and Start-up Expenses. </w:t>
      </w:r>
      <w:r>
        <w:rPr>
          <w:rFonts w:ascii="Arial" w:cs="Arial" w:eastAsia="Arial" w:hAnsi="Arial"/>
          <w:sz w:val="18"/>
          <w:szCs w:val="18"/>
          <w:color w:val="auto"/>
        </w:rPr>
        <w:t>Preopening and start-up costs, including organizational costs, are expensed as incurred. Costs classified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preopening and start-up expenses include payroll, outside services, advertising, and other expenses related to new or start-up operations. Expenses are reported in operating expenses on the Consolidated Statements of Income.</w:t>
      </w:r>
    </w:p>
    <w:p>
      <w:pPr>
        <w:spacing w:after="0" w:line="186" w:lineRule="exact"/>
        <w:rPr>
          <w:sz w:val="20"/>
          <w:szCs w:val="20"/>
          <w:color w:val="auto"/>
        </w:rPr>
      </w:pPr>
    </w:p>
    <w:p>
      <w:pPr>
        <w:ind w:right="60" w:firstLine="555"/>
        <w:spacing w:after="0" w:line="217" w:lineRule="exact"/>
        <w:rPr>
          <w:sz w:val="20"/>
          <w:szCs w:val="20"/>
          <w:color w:val="auto"/>
        </w:rPr>
      </w:pPr>
      <w:r>
        <w:rPr>
          <w:rFonts w:ascii="Arial" w:cs="Arial" w:eastAsia="Arial" w:hAnsi="Arial"/>
          <w:sz w:val="17"/>
          <w:szCs w:val="17"/>
          <w:b w:val="1"/>
          <w:bCs w:val="1"/>
          <w:i w:val="1"/>
          <w:iCs w:val="1"/>
          <w:color w:val="auto"/>
        </w:rPr>
        <w:t xml:space="preserve">Property and Equipment. </w:t>
      </w:r>
      <w:r>
        <w:rPr>
          <w:rFonts w:ascii="Arial" w:cs="Arial" w:eastAsia="Arial" w:hAnsi="Arial"/>
          <w:sz w:val="17"/>
          <w:szCs w:val="17"/>
          <w:color w:val="auto"/>
        </w:rPr>
        <w:t>Property and equipment are stated at cost, except for assets acquired in our business combinations which were adjusted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fair value under ASC 805. Depreciation is computed using the straight</w:t>
      </w:r>
      <w:r>
        <w:rPr>
          <w:rFonts w:ascii="MS PGothic" w:cs="MS PGothic" w:eastAsia="MS PGothic" w:hAnsi="MS PGothic"/>
          <w:sz w:val="17"/>
          <w:szCs w:val="17"/>
          <w:color w:val="auto"/>
        </w:rPr>
        <w:t>‑</w:t>
      </w:r>
      <w:r>
        <w:rPr>
          <w:rFonts w:ascii="Arial" w:cs="Arial" w:eastAsia="Arial" w:hAnsi="Arial"/>
          <w:sz w:val="17"/>
          <w:szCs w:val="17"/>
          <w:color w:val="auto"/>
        </w:rPr>
        <w:t>line method over the estimated useful life of the asset as noted in the table below, or the term of the lease, whichever is less. Costs of major improvements are capitalized, while costs of normal repairs and maintenance are charged to expense as incurred. Gains or losses on the disposal of property and equipment are included in operating income.</w:t>
      </w:r>
    </w:p>
    <w:p>
      <w:pPr>
        <w:spacing w:after="0" w:line="379" w:lineRule="exact"/>
        <w:rPr>
          <w:sz w:val="20"/>
          <w:szCs w:val="20"/>
          <w:color w:val="auto"/>
        </w:rPr>
      </w:pPr>
    </w:p>
    <w:tbl>
      <w:tblPr>
        <w:tblLayout w:type="fixed"/>
        <w:tblInd w:w="2300" w:type="dxa"/>
        <w:tblCellMar>
          <w:top w:w="0" w:type="dxa"/>
          <w:left w:w="0" w:type="dxa"/>
          <w:bottom w:w="0" w:type="dxa"/>
          <w:right w:w="0" w:type="dxa"/>
        </w:tblCellMar>
      </w:tblPr>
      <w:tr>
        <w:trPr>
          <w:trHeight w:val="227"/>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Buildings and improvements</w:t>
            </w:r>
          </w:p>
        </w:tc>
        <w:tc>
          <w:tcPr>
            <w:tcW w:w="2860" w:type="dxa"/>
            <w:vAlign w:val="bottom"/>
            <w:shd w:val="clear" w:color="auto" w:fill="CFF0FC"/>
          </w:tcPr>
          <w:p>
            <w:pPr>
              <w:jc w:val="center"/>
              <w:ind w:left="1211"/>
              <w:spacing w:after="0"/>
              <w:rPr>
                <w:sz w:val="20"/>
                <w:szCs w:val="20"/>
                <w:color w:val="auto"/>
              </w:rPr>
            </w:pPr>
            <w:r>
              <w:rPr>
                <w:rFonts w:ascii="Arial" w:cs="Arial" w:eastAsia="Arial" w:hAnsi="Arial"/>
                <w:sz w:val="18"/>
                <w:szCs w:val="18"/>
                <w:color w:val="auto"/>
                <w:w w:val="87"/>
              </w:rPr>
              <w:t>10 to 40 years</w:t>
            </w:r>
          </w:p>
        </w:tc>
      </w:tr>
      <w:tr>
        <w:trPr>
          <w:trHeight w:val="227"/>
        </w:trPr>
        <w:tc>
          <w:tcPr>
            <w:tcW w:w="3980" w:type="dxa"/>
            <w:vAlign w:val="bottom"/>
          </w:tcPr>
          <w:p>
            <w:pPr>
              <w:spacing w:after="0"/>
              <w:rPr>
                <w:sz w:val="20"/>
                <w:szCs w:val="20"/>
                <w:color w:val="auto"/>
              </w:rPr>
            </w:pPr>
            <w:r>
              <w:rPr>
                <w:rFonts w:ascii="Arial" w:cs="Arial" w:eastAsia="Arial" w:hAnsi="Arial"/>
                <w:sz w:val="18"/>
                <w:szCs w:val="18"/>
                <w:color w:val="auto"/>
              </w:rPr>
              <w:t>Land improvements</w:t>
            </w:r>
          </w:p>
        </w:tc>
        <w:tc>
          <w:tcPr>
            <w:tcW w:w="2860" w:type="dxa"/>
            <w:vAlign w:val="bottom"/>
          </w:tcPr>
          <w:p>
            <w:pPr>
              <w:jc w:val="center"/>
              <w:ind w:left="1211"/>
              <w:spacing w:after="0"/>
              <w:rPr>
                <w:sz w:val="20"/>
                <w:szCs w:val="20"/>
                <w:color w:val="auto"/>
              </w:rPr>
            </w:pPr>
            <w:r>
              <w:rPr>
                <w:rFonts w:ascii="Arial" w:cs="Arial" w:eastAsia="Arial" w:hAnsi="Arial"/>
                <w:sz w:val="18"/>
                <w:szCs w:val="18"/>
                <w:color w:val="auto"/>
                <w:w w:val="87"/>
              </w:rPr>
              <w:t>10 to 20 years</w:t>
            </w:r>
          </w:p>
        </w:tc>
      </w:tr>
      <w:tr>
        <w:trPr>
          <w:trHeight w:val="228"/>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equipment</w:t>
            </w:r>
          </w:p>
        </w:tc>
        <w:tc>
          <w:tcPr>
            <w:tcW w:w="2860" w:type="dxa"/>
            <w:vAlign w:val="bottom"/>
            <w:shd w:val="clear" w:color="auto" w:fill="CFF0FC"/>
          </w:tcPr>
          <w:p>
            <w:pPr>
              <w:jc w:val="center"/>
              <w:ind w:left="1211"/>
              <w:spacing w:after="0"/>
              <w:rPr>
                <w:sz w:val="20"/>
                <w:szCs w:val="20"/>
                <w:color w:val="auto"/>
              </w:rPr>
            </w:pPr>
            <w:r>
              <w:rPr>
                <w:rFonts w:ascii="Arial" w:cs="Arial" w:eastAsia="Arial" w:hAnsi="Arial"/>
                <w:sz w:val="18"/>
                <w:szCs w:val="18"/>
                <w:color w:val="auto"/>
                <w:w w:val="88"/>
              </w:rPr>
              <w:t>3 to 20 years</w:t>
            </w:r>
          </w:p>
        </w:tc>
      </w:tr>
      <w:tr>
        <w:trPr>
          <w:trHeight w:val="227"/>
        </w:trPr>
        <w:tc>
          <w:tcPr>
            <w:tcW w:w="3980" w:type="dxa"/>
            <w:vAlign w:val="bottom"/>
          </w:tcPr>
          <w:p>
            <w:pPr>
              <w:spacing w:after="0"/>
              <w:rPr>
                <w:sz w:val="20"/>
                <w:szCs w:val="20"/>
                <w:color w:val="auto"/>
              </w:rPr>
            </w:pPr>
            <w:r>
              <w:rPr>
                <w:rFonts w:ascii="Arial" w:cs="Arial" w:eastAsia="Arial" w:hAnsi="Arial"/>
                <w:sz w:val="18"/>
                <w:szCs w:val="18"/>
                <w:color w:val="auto"/>
              </w:rPr>
              <w:t>Riverboats</w:t>
            </w:r>
          </w:p>
        </w:tc>
        <w:tc>
          <w:tcPr>
            <w:tcW w:w="2860" w:type="dxa"/>
            <w:vAlign w:val="bottom"/>
          </w:tcPr>
          <w:p>
            <w:pPr>
              <w:jc w:val="center"/>
              <w:ind w:left="1211"/>
              <w:spacing w:after="0"/>
              <w:rPr>
                <w:sz w:val="20"/>
                <w:szCs w:val="20"/>
                <w:color w:val="auto"/>
              </w:rPr>
            </w:pPr>
            <w:r>
              <w:rPr>
                <w:rFonts w:ascii="Arial" w:cs="Arial" w:eastAsia="Arial" w:hAnsi="Arial"/>
                <w:sz w:val="18"/>
                <w:szCs w:val="18"/>
                <w:color w:val="auto"/>
                <w:w w:val="88"/>
              </w:rPr>
              <w:t>5 to 25 years</w:t>
            </w:r>
          </w:p>
        </w:tc>
      </w:tr>
    </w:tbl>
    <w:p>
      <w:pPr>
        <w:spacing w:after="0" w:line="240" w:lineRule="exact"/>
        <w:rPr>
          <w:sz w:val="20"/>
          <w:szCs w:val="20"/>
          <w:color w:val="auto"/>
        </w:rPr>
      </w:pPr>
    </w:p>
    <w:p>
      <w:pPr>
        <w:ind w:right="20" w:firstLine="555"/>
        <w:spacing w:after="0" w:line="285" w:lineRule="auto"/>
        <w:rPr>
          <w:sz w:val="20"/>
          <w:szCs w:val="20"/>
          <w:color w:val="auto"/>
        </w:rPr>
      </w:pPr>
      <w:r>
        <w:rPr>
          <w:rFonts w:ascii="Arial" w:cs="Arial" w:eastAsia="Arial" w:hAnsi="Arial"/>
          <w:sz w:val="16"/>
          <w:szCs w:val="16"/>
          <w:color w:val="auto"/>
        </w:rPr>
        <w:t>The Company evaluates its property and equipment and other long-lived assets for impairment based on its classification as held for sale or to be held and used. Several criteria must be met before an asset is classified as held for sale, including that management with the appropriate authority commits to a plan to sell the asset at a reasonable price in relation to its fair value and is actively seeking a buyer. For assets held for sale, the Company recognizes the asset at the lower of carrying value or fair market value less costs to sell, as estimated based on comparable asset sales, offers received, or a discounted cash flow model. For assets to be held and used, the Company reviews for impairment whenever indicators of impairment exist. The Company then compares the estimated future cash flows of the asset, on an undiscounted basis, to the carrying value of the asset. If the undiscounted cash flows exceed the carrying value, no impairment is indicated. If the undiscounted cash flows do not exceed the carrying value, then an impairment charge is recorded. All recognized impairment losses, whether for assets held for sale or assets to be held and used, are recorded as operating expenses. For the year ended December 31, 2018, an impairment charge of $3.8 million was recorded related to the property and equipment held for sale at Nemacolin; no impairment was recorded related to property and equipment held and used for the years ended December 31, 2019 and 2017.</w:t>
      </w:r>
    </w:p>
    <w:p>
      <w:pPr>
        <w:spacing w:after="0" w:line="197" w:lineRule="exact"/>
        <w:rPr>
          <w:sz w:val="20"/>
          <w:szCs w:val="20"/>
          <w:color w:val="auto"/>
        </w:rPr>
      </w:pPr>
    </w:p>
    <w:p>
      <w:pPr>
        <w:jc w:val="both"/>
        <w:ind w:right="100" w:firstLine="555"/>
        <w:spacing w:after="0" w:line="282" w:lineRule="auto"/>
        <w:rPr>
          <w:sz w:val="20"/>
          <w:szCs w:val="20"/>
          <w:color w:val="auto"/>
        </w:rPr>
      </w:pPr>
      <w:r>
        <w:rPr>
          <w:rFonts w:ascii="Arial" w:cs="Arial" w:eastAsia="Arial" w:hAnsi="Arial"/>
          <w:sz w:val="17"/>
          <w:szCs w:val="17"/>
          <w:b w:val="1"/>
          <w:bCs w:val="1"/>
          <w:i w:val="1"/>
          <w:iCs w:val="1"/>
          <w:color w:val="auto"/>
        </w:rPr>
        <w:t xml:space="preserve">Investments in and Advances to Unconsolidated Affiliates. </w:t>
      </w:r>
      <w:r>
        <w:rPr>
          <w:rFonts w:ascii="Arial" w:cs="Arial" w:eastAsia="Arial" w:hAnsi="Arial"/>
          <w:sz w:val="17"/>
          <w:szCs w:val="17"/>
          <w:color w:val="auto"/>
        </w:rPr>
        <w:t>The Company’s investments in unconsolidated affiliates which are 50% or less owned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accounted for under the equity method and are included in other assets, net. The Company does have variable interests in variable interest entities; however, is not the primary beneficiary. All intercompany balances and transactions have been eliminated in consolidation.</w:t>
      </w:r>
    </w:p>
    <w:p>
      <w:pPr>
        <w:spacing w:after="0" w:line="167" w:lineRule="exact"/>
        <w:rPr>
          <w:sz w:val="20"/>
          <w:szCs w:val="20"/>
          <w:color w:val="auto"/>
        </w:rPr>
      </w:pPr>
    </w:p>
    <w:p>
      <w:pPr>
        <w:ind w:right="160" w:firstLine="555"/>
        <w:spacing w:after="0" w:line="255" w:lineRule="auto"/>
        <w:rPr>
          <w:sz w:val="20"/>
          <w:szCs w:val="20"/>
          <w:color w:val="auto"/>
        </w:rPr>
      </w:pPr>
      <w:r>
        <w:rPr>
          <w:rFonts w:ascii="Arial" w:cs="Arial" w:eastAsia="Arial" w:hAnsi="Arial"/>
          <w:sz w:val="18"/>
          <w:szCs w:val="18"/>
          <w:color w:val="auto"/>
        </w:rPr>
        <w:t>The Company considers whether the fair values of any of its equity method investments have declined below their carrying value whenever adverse events or changes in circumstances indicate that recorded values may not be recoverable. Estimated fair value is determined using a discounted cash flow analysis based on estimated future results of the investee. There were no impairments of the Company’s equity method investments for the years ended 2019, 2018 or 2017.</w:t>
      </w:r>
    </w:p>
    <w:p>
      <w:pPr>
        <w:spacing w:after="0" w:line="191"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b w:val="1"/>
          <w:bCs w:val="1"/>
          <w:i w:val="1"/>
          <w:iCs w:val="1"/>
          <w:color w:val="auto"/>
        </w:rPr>
        <w:t xml:space="preserve">Goodwill and Other Intangible Assets. </w:t>
      </w:r>
      <w:r>
        <w:rPr>
          <w:rFonts w:ascii="Arial" w:cs="Arial" w:eastAsia="Arial" w:hAnsi="Arial"/>
          <w:sz w:val="16"/>
          <w:szCs w:val="16"/>
          <w:color w:val="auto"/>
        </w:rPr>
        <w:t>Goodwill represents the excess of purchase price over fair market value of net assets acquired in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combinations. Goodwill and indefinite-lived intangible assets must be reviewed for impairment at least annually and between annual test dates in certain circumstances. The Company performs its annual impairment tests as of October 1 of each fiscal year. As a result of the annual impairment review for goodwill and indefinite-lived intangible assets, no impairments were indicated for the years ended 2019 or 2018; however, in conjunction with the classification of Vicksburg’s operations as assets held for sale at March 31, 2018, an impairment charge totaling $9.8 million to goodwill was recorded. The Company recorded impairment charges of $34.9 million and $3.1 million related to goodwill and trade names, respectively, for the year ended 2017.</w:t>
      </w:r>
    </w:p>
    <w:p>
      <w:pPr>
        <w:spacing w:after="0" w:line="165" w:lineRule="exact"/>
        <w:rPr>
          <w:sz w:val="20"/>
          <w:szCs w:val="20"/>
          <w:color w:val="auto"/>
        </w:rPr>
      </w:pPr>
    </w:p>
    <w:p>
      <w:pPr>
        <w:ind w:right="100" w:firstLine="555"/>
        <w:spacing w:after="0" w:line="219" w:lineRule="exact"/>
        <w:rPr>
          <w:sz w:val="20"/>
          <w:szCs w:val="20"/>
          <w:color w:val="auto"/>
        </w:rPr>
      </w:pPr>
      <w:r>
        <w:rPr>
          <w:rFonts w:ascii="Arial" w:cs="Arial" w:eastAsia="Arial" w:hAnsi="Arial"/>
          <w:sz w:val="18"/>
          <w:szCs w:val="18"/>
          <w:color w:val="auto"/>
        </w:rPr>
        <w:t>Indefinite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assets consist primarily of expenditures associated with obtaining racing and gaming licenses. Indefinite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assets are not subject to amortization but are subject to an annual impairment test. If the carrying amount of an indefinite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 exceeds its fair value, an impairment loss is recognized in an amount equal to that excess amount.</w:t>
      </w:r>
    </w:p>
    <w:p>
      <w:pPr>
        <w:spacing w:after="0" w:line="202" w:lineRule="exact"/>
        <w:rPr>
          <w:sz w:val="20"/>
          <w:szCs w:val="20"/>
          <w:color w:val="auto"/>
        </w:rPr>
      </w:pPr>
    </w:p>
    <w:p>
      <w:pPr>
        <w:ind w:right="40" w:firstLine="555"/>
        <w:spacing w:after="0" w:line="297" w:lineRule="auto"/>
        <w:rPr>
          <w:sz w:val="20"/>
          <w:szCs w:val="20"/>
          <w:color w:val="auto"/>
        </w:rPr>
      </w:pPr>
      <w:r>
        <w:rPr>
          <w:rFonts w:ascii="Arial" w:cs="Arial" w:eastAsia="Arial" w:hAnsi="Arial"/>
          <w:sz w:val="16"/>
          <w:szCs w:val="16"/>
          <w:color w:val="auto"/>
        </w:rPr>
        <w:t>Finite-lived intangible assets consist of trade names and player loyalty programs acquired in business combinations. Amortization is recorded using the straight-line method over the estimated useful life of the asset. The Company evaluates for impairment whenever indicators of impairment exist. When indicators are noted, the Company then compares estimated future cash flows, undiscounted, to the carrying value of the asset. If the undiscounted cash flows exceed the carrying value, no impairment is recorded. No impairment charges were recorded for the years ended December 31, 2019, 2018 and 2017.</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7">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99" w:name="page100"/>
    <w:bookmarkEnd w:id="99"/>
    <w:p>
      <w:pPr>
        <w:ind w:right="20" w:firstLine="555"/>
        <w:spacing w:after="0" w:line="216" w:lineRule="exact"/>
        <w:rPr>
          <w:sz w:val="20"/>
          <w:szCs w:val="20"/>
          <w:color w:val="auto"/>
        </w:rPr>
      </w:pPr>
      <w:r>
        <w:rPr>
          <w:rFonts w:ascii="Arial" w:cs="Arial" w:eastAsia="Arial" w:hAnsi="Arial"/>
          <w:sz w:val="16"/>
          <w:szCs w:val="16"/>
          <w:b w:val="1"/>
          <w:bCs w:val="1"/>
          <w:i w:val="1"/>
          <w:iCs w:val="1"/>
          <w:color w:val="auto"/>
        </w:rPr>
        <w:t>Non</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 xml:space="preserve">Operating Real Properties. </w:t>
      </w:r>
      <w:r>
        <w:rPr>
          <w:rFonts w:ascii="Arial" w:cs="Arial" w:eastAsia="Arial" w:hAnsi="Arial"/>
          <w:sz w:val="16"/>
          <w:szCs w:val="16"/>
          <w:color w:val="auto"/>
        </w:rPr>
        <w:t>We have designated certain assets, consisting principally of land and undeveloped properties, as non</w:t>
      </w:r>
      <w:r>
        <w:rPr>
          <w:rFonts w:ascii="MS PGothic" w:cs="MS PGothic" w:eastAsia="MS PGothic" w:hAnsi="MS PGothic"/>
          <w:sz w:val="16"/>
          <w:szCs w:val="16"/>
          <w:color w:val="auto"/>
        </w:rPr>
        <w:t>‑</w:t>
      </w:r>
      <w:r>
        <w:rPr>
          <w:rFonts w:ascii="Arial" w:cs="Arial" w:eastAsia="Arial" w:hAnsi="Arial"/>
          <w:sz w:val="16"/>
          <w:szCs w:val="16"/>
          <w:color w:val="auto"/>
        </w:rPr>
        <w:t>operating real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and have declared our intent to sell those assets. However, we do not anticipate that we will sell the majority of the assets within the next twelve months. As such, these properties are not classified as held</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sale as of December 31, 2019. For undeveloped properties, including non</w:t>
      </w:r>
      <w:r>
        <w:rPr>
          <w:rFonts w:ascii="MS PGothic" w:cs="MS PGothic" w:eastAsia="MS PGothic" w:hAnsi="MS PGothic"/>
          <w:sz w:val="16"/>
          <w:szCs w:val="16"/>
          <w:color w:val="auto"/>
        </w:rPr>
        <w:t>‑</w:t>
      </w:r>
      <w:r>
        <w:rPr>
          <w:rFonts w:ascii="Arial" w:cs="Arial" w:eastAsia="Arial" w:hAnsi="Arial"/>
          <w:sz w:val="16"/>
          <w:szCs w:val="16"/>
          <w:color w:val="auto"/>
        </w:rPr>
        <w:t>operating real properties, when indicators of impairment are present, properties are evaluated for impairment and losses are recorded when undiscounted cash flows estimated to be generated by an asset or market comparisons are less than the asset’s carrying amount. The amount of the impairment loss is calculated as the excess of the asset’s carrying value over its fair value, which is determined using a discounted cash flow analysis, management estimates or market comparisons. As a result of the sale of certain non-operating real property located in Pennsylvania, the Company recognized an impairment charge of $1.0 million during the year ended December 31, 2019. No impairment indicators were recorded for the years ended December 31, 2018 and 2017.</w:t>
      </w:r>
    </w:p>
    <w:p>
      <w:pPr>
        <w:spacing w:after="0" w:line="204" w:lineRule="exact"/>
        <w:rPr>
          <w:sz w:val="20"/>
          <w:szCs w:val="20"/>
          <w:color w:val="auto"/>
        </w:rPr>
      </w:pPr>
    </w:p>
    <w:p>
      <w:pPr>
        <w:ind w:right="80" w:firstLine="555"/>
        <w:spacing w:after="0" w:line="268" w:lineRule="auto"/>
        <w:rPr>
          <w:sz w:val="20"/>
          <w:szCs w:val="20"/>
          <w:color w:val="auto"/>
        </w:rPr>
      </w:pPr>
      <w:r>
        <w:rPr>
          <w:rFonts w:ascii="Arial" w:cs="Arial" w:eastAsia="Arial" w:hAnsi="Arial"/>
          <w:sz w:val="17"/>
          <w:szCs w:val="17"/>
          <w:b w:val="1"/>
          <w:bCs w:val="1"/>
          <w:i w:val="1"/>
          <w:iCs w:val="1"/>
          <w:color w:val="auto"/>
        </w:rPr>
        <w:t xml:space="preserve">Financing Obligation with GLPI. </w:t>
      </w:r>
      <w:r>
        <w:rPr>
          <w:rFonts w:ascii="Arial" w:cs="Arial" w:eastAsia="Arial" w:hAnsi="Arial"/>
          <w:sz w:val="17"/>
          <w:szCs w:val="17"/>
          <w:color w:val="auto"/>
        </w:rPr>
        <w:t>Substantially concurrently with the consummation of the Tropicana Acquisition, the Company entered into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Master Lease with Gaming and Leisure Properties Inc. (“GLPI”). The Master Lease was evaluated as a sale-leaseback of real estate; however, based on certain prohibited forms of continuing involvement in the leased assets, the Master Lease did not qualify for sale-leaseback accounting and was accounted for as a financing obligation. Under a failed sale-leaseback transaction, the real estate assets generally remain on the consolidated balance sheet at their historical net book value and are depreciated over their remaining useful lives with a failed sale-leaseback financing obligation recognized for the proceeds received. However, in the absence of cash proceeds, the value of the failed sale-leaseback financing obligations recognized is determined to be the fair value of the leased real estate assets. As a result, the Company calculated a financing obligation at the inception of the Master Lease based on the fair value of the real estate assets subject to the Master Lease (see Note 11).</w:t>
      </w:r>
    </w:p>
    <w:p>
      <w:pPr>
        <w:spacing w:after="0" w:line="181"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As described above, for failed sale-leaseback transactions, the Company continues to reflect the real estate assets on the Consolidated Balance Sheets as if the Company were the legal owner, and the Company continues to recognize depreciation expense over the estimated useful lives. We do not recognize rent expense related to these leased assets, rather we have recorded a liability for the failed sale-leaseback obligation and the minimum lease payments are recognized as interest expense. In the initial periods, cash payments are less than the interest expense recognized in the Consolidated Statements of Income, which causes the failed sale-leaseback obligation to increase during the initial years of the lease term (see Note 11).</w:t>
      </w:r>
    </w:p>
    <w:p>
      <w:pPr>
        <w:spacing w:after="0" w:line="161" w:lineRule="exact"/>
        <w:rPr>
          <w:sz w:val="20"/>
          <w:szCs w:val="20"/>
          <w:color w:val="auto"/>
        </w:rPr>
      </w:pPr>
    </w:p>
    <w:p>
      <w:pPr>
        <w:ind w:right="180" w:firstLine="555"/>
        <w:spacing w:after="0" w:line="217" w:lineRule="exact"/>
        <w:rPr>
          <w:sz w:val="20"/>
          <w:szCs w:val="20"/>
          <w:color w:val="auto"/>
        </w:rPr>
      </w:pPr>
      <w:r>
        <w:rPr>
          <w:rFonts w:ascii="Arial" w:cs="Arial" w:eastAsia="Arial" w:hAnsi="Arial"/>
          <w:sz w:val="16"/>
          <w:szCs w:val="16"/>
          <w:b w:val="1"/>
          <w:bCs w:val="1"/>
          <w:i w:val="1"/>
          <w:iCs w:val="1"/>
          <w:color w:val="auto"/>
        </w:rPr>
        <w:t>Self</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 xml:space="preserve">Insurance Reserves. </w:t>
      </w:r>
      <w:r>
        <w:rPr>
          <w:rFonts w:ascii="Arial" w:cs="Arial" w:eastAsia="Arial" w:hAnsi="Arial"/>
          <w:sz w:val="16"/>
          <w:szCs w:val="16"/>
          <w:color w:val="auto"/>
        </w:rPr>
        <w:t>The Company is self</w:t>
      </w:r>
      <w:r>
        <w:rPr>
          <w:rFonts w:ascii="MS PGothic" w:cs="MS PGothic" w:eastAsia="MS PGothic" w:hAnsi="MS PGothic"/>
          <w:sz w:val="16"/>
          <w:szCs w:val="16"/>
          <w:color w:val="auto"/>
        </w:rPr>
        <w:t>‑</w:t>
      </w:r>
      <w:r>
        <w:rPr>
          <w:rFonts w:ascii="Arial" w:cs="Arial" w:eastAsia="Arial" w:hAnsi="Arial"/>
          <w:sz w:val="16"/>
          <w:szCs w:val="16"/>
          <w:color w:val="auto"/>
        </w:rPr>
        <w:t>insured for various levels of general liability, employee medical insurance coverage and workers’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coverage. Insurance claims and reserves include accruals of estimated settlements for known claims, as well as accruals of estimates for claims incurred but not yet reported. We utilize independent consultants to assist management in its determination of estimated insurance liabilities. While the total cost of claims incurred depends on future developments, in managements’ opinion, recorded reserves are adequate to cover future claims payments. Self-insurance reserves for employee medical claims and workers’ compensations are included in accrued payroll and related on the Consolidated Balance Sheets. Self-insurance reserves for general liability claims are included in accrued other liabilities on the Consolidated Balance Sheets.</w:t>
      </w:r>
    </w:p>
    <w:p>
      <w:pPr>
        <w:spacing w:after="0" w:line="228" w:lineRule="exact"/>
        <w:rPr>
          <w:sz w:val="20"/>
          <w:szCs w:val="20"/>
          <w:color w:val="auto"/>
        </w:rPr>
      </w:pPr>
    </w:p>
    <w:p>
      <w:pPr>
        <w:ind w:right="120" w:firstLine="555"/>
        <w:spacing w:after="0" w:line="282" w:lineRule="auto"/>
        <w:rPr>
          <w:sz w:val="20"/>
          <w:szCs w:val="20"/>
          <w:color w:val="auto"/>
        </w:rPr>
      </w:pPr>
      <w:r>
        <w:rPr>
          <w:rFonts w:ascii="Arial" w:cs="Arial" w:eastAsia="Arial" w:hAnsi="Arial"/>
          <w:sz w:val="17"/>
          <w:szCs w:val="17"/>
          <w:b w:val="1"/>
          <w:bCs w:val="1"/>
          <w:i w:val="1"/>
          <w:iCs w:val="1"/>
          <w:color w:val="auto"/>
        </w:rPr>
        <w:t xml:space="preserve">Treasury Shares. </w:t>
      </w:r>
      <w:r>
        <w:rPr>
          <w:rFonts w:ascii="Arial" w:cs="Arial" w:eastAsia="Arial" w:hAnsi="Arial"/>
          <w:sz w:val="17"/>
          <w:szCs w:val="17"/>
          <w:color w:val="auto"/>
        </w:rPr>
        <w:t>We account for the repurchase of our shares at the amount of consideration paid. The repurchased shares are classified as treasury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and are presented as a deduction from equity. When treasury shares are sold or reissued subsequently, the amount received is recognized as an increase in equity and the resulting surplus or deficit on the transaction is presented within additional paid-in capital.</w:t>
      </w:r>
    </w:p>
    <w:p>
      <w:pPr>
        <w:spacing w:after="0" w:line="167" w:lineRule="exact"/>
        <w:rPr>
          <w:sz w:val="20"/>
          <w:szCs w:val="20"/>
          <w:color w:val="auto"/>
        </w:rPr>
      </w:pPr>
    </w:p>
    <w:p>
      <w:pPr>
        <w:ind w:right="60" w:firstLine="555"/>
        <w:spacing w:after="0" w:line="252" w:lineRule="auto"/>
        <w:rPr>
          <w:sz w:val="20"/>
          <w:szCs w:val="20"/>
          <w:color w:val="auto"/>
        </w:rPr>
      </w:pPr>
      <w:r>
        <w:rPr>
          <w:rFonts w:ascii="Arial" w:cs="Arial" w:eastAsia="Arial" w:hAnsi="Arial"/>
          <w:sz w:val="18"/>
          <w:szCs w:val="18"/>
          <w:b w:val="1"/>
          <w:bCs w:val="1"/>
          <w:i w:val="1"/>
          <w:iCs w:val="1"/>
          <w:color w:val="auto"/>
        </w:rPr>
        <w:t xml:space="preserve">Outstanding Chip Liability. </w:t>
      </w:r>
      <w:r>
        <w:rPr>
          <w:rFonts w:ascii="Arial" w:cs="Arial" w:eastAsia="Arial" w:hAnsi="Arial"/>
          <w:sz w:val="18"/>
          <w:szCs w:val="18"/>
          <w:color w:val="auto"/>
        </w:rPr>
        <w:t>The Company recognizes the impact on gaming revenues on an annual basis to reflect an estimate of the change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of outstanding chips that are not expected to be redeemed. This estimate is determined by measuring the difference between the total value of chips placed in service less the value of chips under our control. This measurement is performed on an annual basis utilizing a methodology in which a consistent formula is applied to estimate the percentage of chips not in our custody that are not expected to be redeemed. In addition to the formula, certain judgments are made with regard to various denominations and souvenir chips. The outstanding chip liability is included in accrued other liabilities on the Consolidated Balance Sheets.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8">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100" w:name="page101"/>
    <w:bookmarkEnd w:id="100"/>
    <w:p>
      <w:pPr>
        <w:ind w:right="40" w:firstLine="555"/>
        <w:spacing w:after="0" w:line="290" w:lineRule="auto"/>
        <w:rPr>
          <w:sz w:val="20"/>
          <w:szCs w:val="20"/>
          <w:color w:val="auto"/>
        </w:rPr>
      </w:pPr>
      <w:r>
        <w:rPr>
          <w:rFonts w:ascii="Arial" w:cs="Arial" w:eastAsia="Arial" w:hAnsi="Arial"/>
          <w:sz w:val="16"/>
          <w:szCs w:val="16"/>
          <w:b w:val="1"/>
          <w:bCs w:val="1"/>
          <w:i w:val="1"/>
          <w:iCs w:val="1"/>
          <w:color w:val="auto"/>
        </w:rPr>
        <w:t xml:space="preserve">Player Loyalty Program. </w:t>
      </w:r>
      <w:r>
        <w:rPr>
          <w:rFonts w:ascii="Arial" w:cs="Arial" w:eastAsia="Arial" w:hAnsi="Arial"/>
          <w:sz w:val="16"/>
          <w:szCs w:val="16"/>
          <w:color w:val="auto"/>
        </w:rPr>
        <w:t>The Company offers programs at its properties whereby participating customers can accumulate points for wagering that can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redeemed for credits for free play on slot machines, lodging, food and beverage, merchandise and, in limited situations, cash. The incentives earned by customers under these programs are based on previous revenue transactions and represent separate performance obligations. Points earned, less estimated breakage, are recorded as a reduction of casino revenues at the standalone selling price of the points when earned based upon the retail value of the benefits, historical redemption rates and estimated breakage and recognized as departmental revenue based on where such points are redeemed upon fulfillment of the performance obligation. The loyalty program liability represents a deferral of revenue until redemption occurs, which is typically less than one year.</w:t>
      </w:r>
    </w:p>
    <w:p>
      <w:pPr>
        <w:spacing w:after="0" w:line="165" w:lineRule="exact"/>
        <w:rPr>
          <w:sz w:val="20"/>
          <w:szCs w:val="20"/>
          <w:color w:val="auto"/>
        </w:rPr>
      </w:pPr>
    </w:p>
    <w:p>
      <w:pPr>
        <w:ind w:right="160" w:firstLine="555"/>
        <w:spacing w:after="0" w:line="255" w:lineRule="auto"/>
        <w:rPr>
          <w:sz w:val="20"/>
          <w:szCs w:val="20"/>
          <w:color w:val="auto"/>
        </w:rPr>
      </w:pPr>
      <w:r>
        <w:rPr>
          <w:rFonts w:ascii="Arial" w:cs="Arial" w:eastAsia="Arial" w:hAnsi="Arial"/>
          <w:sz w:val="18"/>
          <w:szCs w:val="18"/>
          <w:b w:val="1"/>
          <w:bCs w:val="1"/>
          <w:i w:val="1"/>
          <w:iCs w:val="1"/>
          <w:color w:val="auto"/>
        </w:rPr>
        <w:t xml:space="preserve">Complimentaries. </w:t>
      </w:r>
      <w:r>
        <w:rPr>
          <w:rFonts w:ascii="Arial" w:cs="Arial" w:eastAsia="Arial" w:hAnsi="Arial"/>
          <w:sz w:val="18"/>
          <w:szCs w:val="18"/>
          <w:color w:val="auto"/>
        </w:rPr>
        <w:t>The Company offers discretionary coupons and other discretionary complimentaries to customers outside of the loyalty program.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retail value of complimentary food, beverage, hotel rooms and other services provided to customers is recognized as a reduction of revenues for the department which issued the complimentary and revenue for the department redeemed. Complimentaries provided by third parties at the discretion and under the control of the Company is recorded as an expense when incurred.</w:t>
      </w:r>
    </w:p>
    <w:p>
      <w:pPr>
        <w:spacing w:after="0" w:line="191" w:lineRule="exact"/>
        <w:rPr>
          <w:sz w:val="20"/>
          <w:szCs w:val="20"/>
          <w:color w:val="auto"/>
        </w:rPr>
      </w:pPr>
    </w:p>
    <w:p>
      <w:pPr>
        <w:ind w:right="220" w:firstLine="555"/>
        <w:spacing w:after="0" w:line="271" w:lineRule="auto"/>
        <w:rPr>
          <w:sz w:val="20"/>
          <w:szCs w:val="20"/>
          <w:color w:val="auto"/>
        </w:rPr>
      </w:pPr>
      <w:r>
        <w:rPr>
          <w:rFonts w:ascii="Arial" w:cs="Arial" w:eastAsia="Arial" w:hAnsi="Arial"/>
          <w:sz w:val="18"/>
          <w:szCs w:val="18"/>
          <w:color w:val="auto"/>
        </w:rPr>
        <w:t>The Company’s revenues included complimentaries and loyalty point redemptions totaling $291.9 million, $210.8 million and $172.4 million for the years ended December 31, 2019, 2018 and 2017, respectively.</w:t>
      </w:r>
    </w:p>
    <w:p>
      <w:pPr>
        <w:spacing w:after="0" w:line="175"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b w:val="1"/>
          <w:bCs w:val="1"/>
          <w:i w:val="1"/>
          <w:iCs w:val="1"/>
          <w:color w:val="auto"/>
        </w:rPr>
        <w:t xml:space="preserve">Casino Revenue and Pari-mutuel Commissions. </w:t>
      </w:r>
      <w:r>
        <w:rPr>
          <w:rFonts w:ascii="Arial" w:cs="Arial" w:eastAsia="Arial" w:hAnsi="Arial"/>
          <w:sz w:val="17"/>
          <w:szCs w:val="17"/>
          <w:color w:val="auto"/>
        </w:rPr>
        <w:t>The Company recognizes as casino revenue the net win from gaming activities, which is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difference between gaming wins and losses, not the total amount wagered. Progressive jackpots are accrued and charged to revenue at the time the obligation to pay the jackpot is established. Gaming revenues are recognized net of certain cash and free play incentives. Pari-mutuel commissions consist of commissions earned from thoroughbred and harness racing and importing of simulcast signals from other race tracks and are recognized at the time wagers are made. Such commissions are a designated portion of the wagering handle as determined by state racing commissions and are shown net of the taxes assessed by state and local agencies, as well as purses and other contractual amounts paid to horsemen associations. The Company recognizes revenues from fees earned through the exporting of simulcast signals to other race tracks at the time wagers are made and are recorded on a gross basis. Such fees are based upon a predetermined percentage of handle as contracted with the other race tracks.</w:t>
      </w:r>
    </w:p>
    <w:p>
      <w:pPr>
        <w:spacing w:after="0" w:line="207"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b w:val="1"/>
          <w:bCs w:val="1"/>
          <w:i w:val="1"/>
          <w:iCs w:val="1"/>
          <w:color w:val="auto"/>
        </w:rPr>
        <w:t xml:space="preserve">Non-gaming Revenue. </w:t>
      </w:r>
      <w:r>
        <w:rPr>
          <w:rFonts w:ascii="Arial" w:cs="Arial" w:eastAsia="Arial" w:hAnsi="Arial"/>
          <w:sz w:val="16"/>
          <w:szCs w:val="16"/>
          <w:color w:val="auto"/>
        </w:rPr>
        <w:t>Hotel, food and beverage, and other operating revenues are recognized as services are performed and is the net amount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collected from the customer for such goods and services. Hotel, food and beverage services have been determined to be separate, stand-alone performance obligations and is recorded as revenue as the good or service is transferred to the customer over the customer’s stay at the hotel or when the delivery is made for the food and beverage. Advance deposits for future hotel occupancy, convention space or food and beverage services contracts are recorded as deferred income until the revenue recognition criteria has been met. The Company also provides goods and services that may include multiple performance obligations, such as for packages, for which revenues are allocated on a pro rata basis based on each service's stand-alone selling price.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9">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01" w:name="page102"/>
    <w:bookmarkEnd w:id="101"/>
    <w:p>
      <w:pPr>
        <w:ind w:right="360" w:firstLine="555"/>
        <w:spacing w:after="0" w:line="259" w:lineRule="auto"/>
        <w:rPr>
          <w:sz w:val="20"/>
          <w:szCs w:val="20"/>
          <w:color w:val="auto"/>
        </w:rPr>
      </w:pPr>
      <w:r>
        <w:rPr>
          <w:rFonts w:ascii="Arial" w:cs="Arial" w:eastAsia="Arial" w:hAnsi="Arial"/>
          <w:sz w:val="18"/>
          <w:szCs w:val="18"/>
          <w:color w:val="auto"/>
        </w:rPr>
        <w:t>The Company’s Consolidated Statements of Income presents net revenue disaggregated by type or nature of the good or service. A summary of net revenues disaggregated by type of revenue and reportable segment is presented below (amounts in thousands). Refer to Note 20 for a discussion of the Company’s reportable segments.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right"/>
              <w:ind w:right="354"/>
              <w:spacing w:after="0"/>
              <w:rPr>
                <w:sz w:val="20"/>
                <w:szCs w:val="20"/>
                <w:color w:val="auto"/>
              </w:rPr>
            </w:pPr>
            <w:r>
              <w:rPr>
                <w:rFonts w:ascii="Arial" w:cs="Arial" w:eastAsia="Arial" w:hAnsi="Arial"/>
                <w:sz w:val="14"/>
                <w:szCs w:val="14"/>
                <w:b w:val="1"/>
                <w:bCs w:val="1"/>
                <w:color w:val="auto"/>
              </w:rPr>
              <w:t>Year Ended December 31, 2019</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West</w:t>
            </w:r>
          </w:p>
        </w:tc>
        <w:tc>
          <w:tcPr>
            <w:tcW w:w="120" w:type="dxa"/>
            <w:vAlign w:val="bottom"/>
          </w:tcPr>
          <w:p>
            <w:pPr>
              <w:spacing w:after="0"/>
              <w:rPr>
                <w:sz w:val="11"/>
                <w:szCs w:val="11"/>
                <w:color w:val="auto"/>
              </w:rPr>
            </w:pPr>
          </w:p>
        </w:tc>
        <w:tc>
          <w:tcPr>
            <w:tcW w:w="7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4"/>
              </w:rPr>
              <w:t>Midwest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South</w:t>
            </w:r>
          </w:p>
        </w:tc>
        <w:tc>
          <w:tcPr>
            <w:tcW w:w="16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East</w:t>
            </w:r>
          </w:p>
        </w:tc>
        <w:tc>
          <w:tcPr>
            <w:tcW w:w="120" w:type="dxa"/>
            <w:vAlign w:val="bottom"/>
          </w:tcPr>
          <w:p>
            <w:pPr>
              <w:spacing w:after="0"/>
              <w:rPr>
                <w:sz w:val="11"/>
                <w:szCs w:val="11"/>
                <w:color w:val="auto"/>
              </w:rPr>
            </w:pPr>
          </w:p>
        </w:tc>
        <w:tc>
          <w:tcPr>
            <w:tcW w:w="6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9"/>
              </w:rPr>
              <w:t>Central</w:t>
            </w:r>
          </w:p>
        </w:tc>
        <w:tc>
          <w:tcPr>
            <w:tcW w:w="220" w:type="dxa"/>
            <w:vAlign w:val="bottom"/>
          </w:tcPr>
          <w:p>
            <w:pPr>
              <w:spacing w:after="0"/>
              <w:rPr>
                <w:sz w:val="11"/>
                <w:szCs w:val="11"/>
                <w:color w:val="auto"/>
              </w:rPr>
            </w:pPr>
          </w:p>
        </w:tc>
        <w:tc>
          <w:tcPr>
            <w:tcW w:w="78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Casino</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223,179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332,389</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377,080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491,185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384,353</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1,808,186</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tcPr>
          <w:p>
            <w:pPr>
              <w:spacing w:after="0"/>
              <w:rPr>
                <w:sz w:val="20"/>
                <w:szCs w:val="20"/>
                <w:color w:val="auto"/>
              </w:rPr>
            </w:pPr>
            <w:r>
              <w:rPr>
                <w:rFonts w:ascii="Arial" w:cs="Arial" w:eastAsia="Arial" w:hAnsi="Arial"/>
                <w:sz w:val="18"/>
                <w:szCs w:val="18"/>
                <w:color w:val="auto"/>
              </w:rPr>
              <w:t>Food and beverage</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119,986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23,078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51,612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58,978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47,763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301,417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Hotel</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130,334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95,512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32,870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299,908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51,222</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7,870</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8,489</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29,083</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14,775</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7,299</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118,738</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524,721</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378,577</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463,133</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674,758</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479,761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7,299</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2,528,249</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4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jc w:val="right"/>
              <w:ind w:right="354"/>
              <w:spacing w:after="0"/>
              <w:rPr>
                <w:sz w:val="20"/>
                <w:szCs w:val="20"/>
                <w:color w:val="auto"/>
              </w:rPr>
            </w:pPr>
            <w:r>
              <w:rPr>
                <w:rFonts w:ascii="Arial" w:cs="Arial" w:eastAsia="Arial" w:hAnsi="Arial"/>
                <w:sz w:val="14"/>
                <w:szCs w:val="14"/>
                <w:b w:val="1"/>
                <w:bCs w:val="1"/>
                <w:color w:val="auto"/>
              </w:rPr>
              <w:t>Year Ended December 31, 2018</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West</w:t>
            </w:r>
          </w:p>
        </w:tc>
        <w:tc>
          <w:tcPr>
            <w:tcW w:w="120" w:type="dxa"/>
            <w:vAlign w:val="bottom"/>
          </w:tcPr>
          <w:p>
            <w:pPr>
              <w:spacing w:after="0"/>
              <w:rPr>
                <w:sz w:val="11"/>
                <w:szCs w:val="11"/>
                <w:color w:val="auto"/>
              </w:rPr>
            </w:pPr>
          </w:p>
        </w:tc>
        <w:tc>
          <w:tcPr>
            <w:tcW w:w="7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4"/>
              </w:rPr>
              <w:t>Midwest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South</w:t>
            </w:r>
          </w:p>
        </w:tc>
        <w:tc>
          <w:tcPr>
            <w:tcW w:w="16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East</w:t>
            </w:r>
          </w:p>
        </w:tc>
        <w:tc>
          <w:tcPr>
            <w:tcW w:w="120" w:type="dxa"/>
            <w:vAlign w:val="bottom"/>
          </w:tcPr>
          <w:p>
            <w:pPr>
              <w:spacing w:after="0"/>
              <w:rPr>
                <w:sz w:val="11"/>
                <w:szCs w:val="11"/>
                <w:color w:val="auto"/>
              </w:rPr>
            </w:pPr>
          </w:p>
        </w:tc>
        <w:tc>
          <w:tcPr>
            <w:tcW w:w="6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9"/>
              </w:rPr>
              <w:t>Central</w:t>
            </w:r>
          </w:p>
        </w:tc>
        <w:tc>
          <w:tcPr>
            <w:tcW w:w="220" w:type="dxa"/>
            <w:vAlign w:val="bottom"/>
          </w:tcPr>
          <w:p>
            <w:pPr>
              <w:spacing w:after="0"/>
              <w:rPr>
                <w:sz w:val="11"/>
                <w:szCs w:val="11"/>
                <w:color w:val="auto"/>
              </w:rPr>
            </w:pPr>
          </w:p>
        </w:tc>
        <w:tc>
          <w:tcPr>
            <w:tcW w:w="78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Casino</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230,558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345,499</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375,748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485,047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116,526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1,553,378</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tcPr>
          <w:p>
            <w:pPr>
              <w:spacing w:after="0"/>
              <w:rPr>
                <w:sz w:val="20"/>
                <w:szCs w:val="20"/>
                <w:color w:val="auto"/>
              </w:rPr>
            </w:pPr>
            <w:r>
              <w:rPr>
                <w:rFonts w:ascii="Arial" w:cs="Arial" w:eastAsia="Arial" w:hAnsi="Arial"/>
                <w:sz w:val="18"/>
                <w:szCs w:val="18"/>
                <w:color w:val="auto"/>
              </w:rPr>
              <w:t>Food and beverage</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109,045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27,364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52,924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43,167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14,839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247,339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Hotel</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108,333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24,792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26,694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183,804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35,596</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7,780</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16,364</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71,486</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483,532</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397,008</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461,181</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571,272</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142,485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2,056,007</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4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jc w:val="right"/>
              <w:ind w:right="354"/>
              <w:spacing w:after="0"/>
              <w:rPr>
                <w:sz w:val="20"/>
                <w:szCs w:val="20"/>
                <w:color w:val="auto"/>
              </w:rPr>
            </w:pPr>
            <w:r>
              <w:rPr>
                <w:rFonts w:ascii="Arial" w:cs="Arial" w:eastAsia="Arial" w:hAnsi="Arial"/>
                <w:sz w:val="14"/>
                <w:szCs w:val="14"/>
                <w:b w:val="1"/>
                <w:bCs w:val="1"/>
                <w:color w:val="auto"/>
              </w:rPr>
              <w:t>Year Ended December 31, 2017</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West</w:t>
            </w:r>
          </w:p>
        </w:tc>
        <w:tc>
          <w:tcPr>
            <w:tcW w:w="120" w:type="dxa"/>
            <w:vAlign w:val="bottom"/>
          </w:tcPr>
          <w:p>
            <w:pPr>
              <w:spacing w:after="0"/>
              <w:rPr>
                <w:sz w:val="11"/>
                <w:szCs w:val="11"/>
                <w:color w:val="auto"/>
              </w:rPr>
            </w:pPr>
          </w:p>
        </w:tc>
        <w:tc>
          <w:tcPr>
            <w:tcW w:w="7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4"/>
              </w:rPr>
              <w:t>Midwest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South</w:t>
            </w:r>
          </w:p>
        </w:tc>
        <w:tc>
          <w:tcPr>
            <w:tcW w:w="16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East</w:t>
            </w:r>
          </w:p>
        </w:tc>
        <w:tc>
          <w:tcPr>
            <w:tcW w:w="120" w:type="dxa"/>
            <w:vAlign w:val="bottom"/>
          </w:tcPr>
          <w:p>
            <w:pPr>
              <w:spacing w:after="0"/>
              <w:rPr>
                <w:sz w:val="11"/>
                <w:szCs w:val="11"/>
                <w:color w:val="auto"/>
              </w:rPr>
            </w:pPr>
          </w:p>
        </w:tc>
        <w:tc>
          <w:tcPr>
            <w:tcW w:w="6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9"/>
              </w:rPr>
              <w:t>Central</w:t>
            </w:r>
          </w:p>
        </w:tc>
        <w:tc>
          <w:tcPr>
            <w:tcW w:w="220" w:type="dxa"/>
            <w:vAlign w:val="bottom"/>
          </w:tcPr>
          <w:p>
            <w:pPr>
              <w:spacing w:after="0"/>
              <w:rPr>
                <w:sz w:val="11"/>
                <w:szCs w:val="11"/>
                <w:color w:val="auto"/>
              </w:rPr>
            </w:pPr>
          </w:p>
        </w:tc>
        <w:tc>
          <w:tcPr>
            <w:tcW w:w="78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Casino</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186,779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231,366</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268,680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412,202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1,099,027</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tcPr>
          <w:p>
            <w:pPr>
              <w:spacing w:after="0"/>
              <w:rPr>
                <w:sz w:val="20"/>
                <w:szCs w:val="20"/>
                <w:color w:val="auto"/>
              </w:rPr>
            </w:pPr>
            <w:r>
              <w:rPr>
                <w:rFonts w:ascii="Arial" w:cs="Arial" w:eastAsia="Arial" w:hAnsi="Arial"/>
                <w:sz w:val="18"/>
                <w:szCs w:val="18"/>
                <w:color w:val="auto"/>
              </w:rPr>
              <w:t>Food and beverage</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102,244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20,452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42,114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33,436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198,246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Hotel</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91,811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29,485</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4,884</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6,006</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9,306</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50,187</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410,319</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268,879</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338,259</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462,835</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1,480,798</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40" w:firstLine="555"/>
        <w:spacing w:after="0" w:line="267" w:lineRule="auto"/>
        <w:rPr>
          <w:sz w:val="20"/>
          <w:szCs w:val="20"/>
          <w:color w:val="auto"/>
        </w:rPr>
      </w:pPr>
      <w:r>
        <w:rPr>
          <w:rFonts w:ascii="Arial" w:cs="Arial" w:eastAsia="Arial" w:hAnsi="Arial"/>
          <w:sz w:val="17"/>
          <w:szCs w:val="17"/>
          <w:b w:val="1"/>
          <w:bCs w:val="1"/>
          <w:i w:val="1"/>
          <w:iCs w:val="1"/>
          <w:color w:val="auto"/>
        </w:rPr>
        <w:t xml:space="preserve">Contract and Contract Related Liabilities. </w:t>
      </w:r>
      <w:r>
        <w:rPr>
          <w:rFonts w:ascii="Arial" w:cs="Arial" w:eastAsia="Arial" w:hAnsi="Arial"/>
          <w:sz w:val="17"/>
          <w:szCs w:val="17"/>
          <w:color w:val="auto"/>
        </w:rPr>
        <w:t>The Company records contract or contract-related liabilities related to differences between the timing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receipts from the customer and the recognition of revenue. The Company generally has three types of liabilities related to contracts with customers: (1) outstanding chip liability, which represents the amounts owed in exchange for gaming chips held by a customer, (2) player loyalty program obligations, which represents the deferred allocation of revenue relating to player loyalty program incentives earned, as discussed above, and (3) customer deposits and other deferred revenue, which is primarily funds deposited by customers related to gaming play, advance payments on goods and services yet to be provided (such as advance ticket sales and deposits on rooms and convention space or for unpaid wagers), and deferred revenues associated with the Company’s interests in William Hill and TSG (see Note 7 and Note 17). Except for deferred revenues related to William Hill and TSG, these liabilities are generally expected to be recognized as revenue within one year of being purchased, earned, or deposited and are recorded within “Accrued other liabilities” on the Company’s Consolidated Balance Sheets.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activity related to contract and contract-related liabilities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21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Outstanding Chip Liability</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6"/>
            <w:vMerge w:val="restart"/>
          </w:tcPr>
          <w:p>
            <w:pPr>
              <w:ind w:left="300"/>
              <w:spacing w:after="0"/>
              <w:rPr>
                <w:sz w:val="20"/>
                <w:szCs w:val="20"/>
                <w:color w:val="auto"/>
              </w:rPr>
            </w:pPr>
            <w:r>
              <w:rPr>
                <w:rFonts w:ascii="Arial" w:cs="Arial" w:eastAsia="Arial" w:hAnsi="Arial"/>
                <w:sz w:val="14"/>
                <w:szCs w:val="14"/>
                <w:b w:val="1"/>
                <w:bCs w:val="1"/>
                <w:color w:val="auto"/>
              </w:rPr>
              <w:t>Player Loyalty Liability</w:t>
            </w:r>
          </w:p>
        </w:tc>
        <w:tc>
          <w:tcPr>
            <w:tcW w:w="300" w:type="dxa"/>
            <w:vAlign w:val="bottom"/>
          </w:tcPr>
          <w:p>
            <w:pPr>
              <w:spacing w:after="0"/>
              <w:rPr>
                <w:sz w:val="14"/>
                <w:szCs w:val="14"/>
                <w:color w:val="auto"/>
              </w:rPr>
            </w:pPr>
          </w:p>
        </w:tc>
        <w:tc>
          <w:tcPr>
            <w:tcW w:w="2660" w:type="dxa"/>
            <w:vAlign w:val="bottom"/>
            <w:gridSpan w:val="5"/>
          </w:tcPr>
          <w:p>
            <w:pPr>
              <w:ind w:left="220"/>
              <w:spacing w:after="0"/>
              <w:rPr>
                <w:sz w:val="20"/>
                <w:szCs w:val="20"/>
                <w:color w:val="auto"/>
              </w:rPr>
            </w:pPr>
            <w:r>
              <w:rPr>
                <w:rFonts w:ascii="Arial" w:cs="Arial" w:eastAsia="Arial" w:hAnsi="Arial"/>
                <w:sz w:val="14"/>
                <w:szCs w:val="14"/>
                <w:b w:val="1"/>
                <w:bCs w:val="1"/>
                <w:color w:val="auto"/>
              </w:rPr>
              <w:t>Customer Deposits and Other</w:t>
            </w:r>
          </w:p>
        </w:tc>
        <w:tc>
          <w:tcPr>
            <w:tcW w:w="0" w:type="dxa"/>
            <w:vAlign w:val="bottom"/>
          </w:tcPr>
          <w:p>
            <w:pPr>
              <w:spacing w:after="0"/>
              <w:rPr>
                <w:sz w:val="1"/>
                <w:szCs w:val="1"/>
                <w:color w:val="auto"/>
              </w:rPr>
            </w:pPr>
          </w:p>
        </w:tc>
      </w:tr>
      <w:tr>
        <w:trPr>
          <w:trHeight w:val="161"/>
        </w:trPr>
        <w:tc>
          <w:tcPr>
            <w:tcW w:w="2720" w:type="dxa"/>
            <w:vAlign w:val="bottom"/>
          </w:tcPr>
          <w:p>
            <w:pPr>
              <w:spacing w:after="0"/>
              <w:rPr>
                <w:sz w:val="13"/>
                <w:szCs w:val="13"/>
                <w:color w:val="auto"/>
              </w:rPr>
            </w:pPr>
          </w:p>
        </w:tc>
        <w:tc>
          <w:tcPr>
            <w:tcW w:w="2180" w:type="dxa"/>
            <w:vAlign w:val="bottom"/>
            <w:gridSpan w:val="4"/>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0" w:type="dxa"/>
            <w:vAlign w:val="bottom"/>
            <w:gridSpan w:val="6"/>
            <w:vMerge w:val="continue"/>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3"/>
          </w:tcPr>
          <w:p>
            <w:pPr>
              <w:ind w:left="580"/>
              <w:spacing w:after="0"/>
              <w:rPr>
                <w:sz w:val="20"/>
                <w:szCs w:val="20"/>
                <w:color w:val="auto"/>
              </w:rPr>
            </w:pPr>
            <w:r>
              <w:rPr>
                <w:rFonts w:ascii="Arial" w:cs="Arial" w:eastAsia="Arial" w:hAnsi="Arial"/>
                <w:sz w:val="14"/>
                <w:szCs w:val="14"/>
                <w:b w:val="1"/>
                <w:bCs w:val="1"/>
                <w:color w:val="auto"/>
                <w:w w:val="93"/>
              </w:rPr>
              <w:t>Deferred Revenue</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72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1</w:t>
            </w:r>
          </w:p>
        </w:tc>
        <w:tc>
          <w:tcPr>
            <w:tcW w:w="760" w:type="dxa"/>
            <w:vAlign w:val="bottom"/>
            <w:shd w:val="clear" w:color="auto" w:fill="CFF0FC"/>
          </w:tcPr>
          <w:p>
            <w:pPr>
              <w:jc w:val="right"/>
              <w:ind w:right="58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8,930</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7"/>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4,743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27,588</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December 31</w:t>
            </w: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9,770</w:t>
            </w:r>
          </w:p>
        </w:tc>
        <w:tc>
          <w:tcPr>
            <w:tcW w:w="2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8,930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171,641</w:t>
            </w:r>
          </w:p>
        </w:tc>
        <w:tc>
          <w:tcPr>
            <w:tcW w:w="2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 (decrease)</w:t>
            </w:r>
          </w:p>
        </w:tc>
        <w:tc>
          <w:tcPr>
            <w:tcW w:w="760" w:type="dxa"/>
            <w:vAlign w:val="bottom"/>
            <w:tcBorders>
              <w:bottom w:val="single" w:sz="8" w:color="auto"/>
            </w:tcBorders>
            <w:shd w:val="clear" w:color="auto" w:fill="CFF0FC"/>
          </w:tcPr>
          <w:p>
            <w:pPr>
              <w:jc w:val="right"/>
              <w:ind w:right="58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4,187</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(4,178)</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5,887</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144,053</w:t>
            </w:r>
          </w:p>
        </w:tc>
        <w:tc>
          <w:tcPr>
            <w:tcW w:w="2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22,101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right="120" w:firstLine="555"/>
        <w:spacing w:after="0" w:line="259" w:lineRule="auto"/>
        <w:rPr>
          <w:sz w:val="20"/>
          <w:szCs w:val="20"/>
          <w:color w:val="auto"/>
        </w:rPr>
      </w:pPr>
      <w:r>
        <w:rPr>
          <w:rFonts w:ascii="Arial" w:cs="Arial" w:eastAsia="Arial" w:hAnsi="Arial"/>
          <w:sz w:val="18"/>
          <w:szCs w:val="18"/>
          <w:color w:val="auto"/>
        </w:rPr>
        <w:t>The December 31, 2019 balances exclude liabilities related to assets held for sale recorded in 2019 (see Note 6). The change in customer deposits and other deferred revenue during the year ended December 31, 2019 is primarily attributed to the Company’s interests in William Hill, which is recorded in other long-term liabilities on the Consolidated Balance Sheets (see Note 12).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20">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2" w:name="page103"/>
    <w:bookmarkEnd w:id="102"/>
    <w:p>
      <w:pPr>
        <w:jc w:val="both"/>
        <w:ind w:right="80" w:firstLine="555"/>
        <w:spacing w:after="0" w:line="259" w:lineRule="auto"/>
        <w:rPr>
          <w:sz w:val="20"/>
          <w:szCs w:val="20"/>
          <w:color w:val="auto"/>
        </w:rPr>
      </w:pPr>
      <w:r>
        <w:rPr>
          <w:rFonts w:ascii="Arial" w:cs="Arial" w:eastAsia="Arial" w:hAnsi="Arial"/>
          <w:sz w:val="18"/>
          <w:szCs w:val="18"/>
          <w:b w:val="1"/>
          <w:bCs w:val="1"/>
          <w:i w:val="1"/>
          <w:iCs w:val="1"/>
          <w:color w:val="auto"/>
        </w:rPr>
        <w:t xml:space="preserve">Advertising. </w:t>
      </w:r>
      <w:r>
        <w:rPr>
          <w:rFonts w:ascii="Arial" w:cs="Arial" w:eastAsia="Arial" w:hAnsi="Arial"/>
          <w:sz w:val="18"/>
          <w:szCs w:val="18"/>
          <w:color w:val="auto"/>
        </w:rPr>
        <w:t>Advertising costs are expensed in the period the advertising initially takes place and are included in marketing and promotions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costs included in marketing and promotion expenses were $28.9 million, $33.9 million and $33.0 million for the years ended December 31, 2019, 2018 and 2017, respectively.</w:t>
      </w:r>
    </w:p>
    <w:p>
      <w:pPr>
        <w:spacing w:after="0" w:line="186" w:lineRule="exact"/>
        <w:rPr>
          <w:sz w:val="20"/>
          <w:szCs w:val="20"/>
          <w:color w:val="auto"/>
        </w:rPr>
      </w:pPr>
    </w:p>
    <w:p>
      <w:pPr>
        <w:ind w:right="20" w:firstLine="555"/>
        <w:spacing w:after="0" w:line="25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account for income taxes in accordance with ASC Topic 740, Income Taxes (“ASC 740”). ASC 740 requires the recognition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deferred income tax liabilities and deferred income tax assets for the difference between the book basis and tax basis of assets and liabilities. We have recorded valuation allowances related to certain state-specific net operating loss carry forwards and temporary differences. Recognizable future tax benefits are subject to a valuation allowance, unless such tax benefits are determined to be more-likely-than-not realizable. We recognize accrued interest and penalties related to unrecognized tax benefits in income tax expense.</w:t>
      </w:r>
    </w:p>
    <w:p>
      <w:pPr>
        <w:spacing w:after="0" w:line="189" w:lineRule="exact"/>
        <w:rPr>
          <w:sz w:val="20"/>
          <w:szCs w:val="20"/>
          <w:color w:val="auto"/>
        </w:rPr>
      </w:pPr>
    </w:p>
    <w:p>
      <w:pPr>
        <w:ind w:right="380" w:firstLine="555"/>
        <w:spacing w:after="0" w:line="217" w:lineRule="exact"/>
        <w:rPr>
          <w:sz w:val="20"/>
          <w:szCs w:val="20"/>
          <w:color w:val="auto"/>
        </w:rPr>
      </w:pPr>
      <w:r>
        <w:rPr>
          <w:rFonts w:ascii="Arial" w:cs="Arial" w:eastAsia="Arial" w:hAnsi="Arial"/>
          <w:sz w:val="16"/>
          <w:szCs w:val="16"/>
          <w:b w:val="1"/>
          <w:bCs w:val="1"/>
          <w:i w:val="1"/>
          <w:iCs w:val="1"/>
          <w:color w:val="auto"/>
        </w:rPr>
        <w:t>Stock</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 xml:space="preserve">Based Compensation. </w:t>
      </w:r>
      <w:r>
        <w:rPr>
          <w:rFonts w:ascii="Arial" w:cs="Arial" w:eastAsia="Arial" w:hAnsi="Arial"/>
          <w:sz w:val="16"/>
          <w:szCs w:val="16"/>
          <w:color w:val="auto"/>
        </w:rPr>
        <w:t>We account for stock</w:t>
      </w:r>
      <w:r>
        <w:rPr>
          <w:rFonts w:ascii="MS PGothic" w:cs="MS PGothic" w:eastAsia="MS PGothic" w:hAnsi="MS PGothic"/>
          <w:sz w:val="16"/>
          <w:szCs w:val="16"/>
          <w:color w:val="auto"/>
        </w:rPr>
        <w:t>‑</w:t>
      </w:r>
      <w:r>
        <w:rPr>
          <w:rFonts w:ascii="Arial" w:cs="Arial" w:eastAsia="Arial" w:hAnsi="Arial"/>
          <w:sz w:val="16"/>
          <w:szCs w:val="16"/>
          <w:color w:val="auto"/>
        </w:rPr>
        <w:t>based compensation in accordance with ASC Topic 718, Compensation—Stock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(“ASC 718”). ASC 718 requires all share</w:t>
      </w:r>
      <w:r>
        <w:rPr>
          <w:rFonts w:ascii="MS PGothic" w:cs="MS PGothic" w:eastAsia="MS PGothic" w:hAnsi="MS PGothic"/>
          <w:sz w:val="16"/>
          <w:szCs w:val="16"/>
          <w:color w:val="auto"/>
        </w:rPr>
        <w:t>‑</w:t>
      </w:r>
      <w:r>
        <w:rPr>
          <w:rFonts w:ascii="Arial" w:cs="Arial" w:eastAsia="Arial" w:hAnsi="Arial"/>
          <w:sz w:val="16"/>
          <w:szCs w:val="16"/>
          <w:color w:val="auto"/>
        </w:rPr>
        <w:t>based payments to employees and non</w:t>
      </w:r>
      <w:r>
        <w:rPr>
          <w:rFonts w:ascii="MS PGothic" w:cs="MS PGothic" w:eastAsia="MS PGothic" w:hAnsi="MS PGothic"/>
          <w:sz w:val="16"/>
          <w:szCs w:val="16"/>
          <w:color w:val="auto"/>
        </w:rPr>
        <w:t>‑</w:t>
      </w:r>
      <w:r>
        <w:rPr>
          <w:rFonts w:ascii="Arial" w:cs="Arial" w:eastAsia="Arial" w:hAnsi="Arial"/>
          <w:sz w:val="16"/>
          <w:szCs w:val="16"/>
          <w:color w:val="auto"/>
        </w:rPr>
        <w:t>employee members of the Board of Directors, including grants of stock options and restricted stock units (“RSUs”), to be recognized in the Consolidated Statements of Income based on their fair values and that compensation expense be recognized for awards over the requisite service period of the award or until an employee’s eligible retirement date, if earlier.</w:t>
      </w:r>
    </w:p>
    <w:p>
      <w:pPr>
        <w:spacing w:after="0" w:line="203"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b w:val="1"/>
          <w:bCs w:val="1"/>
          <w:i w:val="1"/>
          <w:iCs w:val="1"/>
          <w:color w:val="auto"/>
        </w:rPr>
        <w:t xml:space="preserve">Earnings per Share. </w:t>
      </w:r>
      <w:r>
        <w:rPr>
          <w:rFonts w:ascii="Arial" w:cs="Arial" w:eastAsia="Arial" w:hAnsi="Arial"/>
          <w:sz w:val="16"/>
          <w:szCs w:val="16"/>
          <w:color w:val="auto"/>
        </w:rPr>
        <w:t>Basic earnings per share is computed by dividing net income (loss) by the weighted average shares outstanding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reporting period. Diluted earnings per share is computed similarly to basic earnings per share except that the weighted average shares outstanding are increased to include additional shares from the assumed exercise of stock options and the assumed vesting of restricted share units, if dilutive. The number of additional shares is calculated by assuming that outstanding stock options were exercised, that outstanding restricted share units were released and that the proceeds from such activities were used to acquire shares of common stock at the average market price during the reporting period.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reclassifications of prior period presentations have been made to conform to the current period presentation.</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Pronouncements Implemented in 2019</w:t>
      </w:r>
    </w:p>
    <w:p>
      <w:pPr>
        <w:spacing w:after="0" w:line="128"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In February 2016 (as amended through December 2018), the Financial Accounting Standards Board (“FASB”) issued ASU No. 2016-02 codified as Accounting Standards Codification 842, Leases, (“ASC 842”) which addresses the recognition and measurement of leases. Under the new guidance, for all leases, at the commencement date, lessees were required to recognize a lease liability, which is a lessee’s obligation to make lease payments arising from a lease. The liability is measured on a discounted basis. Lessees also recognized a right-of-use (“ROU”) asset, which is an asset that represents the lessee’s right to control the use of a specified asset for the lease term. Under the new guidance, lessor accounting is largely unchanged. The effective date was for annual and interim periods beginning after December 15, 2018. ASC 842 required a transition adoption election using either 1) a modified retrospective approach with periods prior to the adoption date being recast or 2) a prospective approach with a cumulative-effect adjustment recognized to the opening balance of retained earnings on the adoption date with prior periods continuing to be reported under prior lease accounting guidance.</w:t>
      </w:r>
    </w:p>
    <w:p>
      <w:pPr>
        <w:spacing w:after="0" w:line="193" w:lineRule="exact"/>
        <w:rPr>
          <w:sz w:val="20"/>
          <w:szCs w:val="20"/>
          <w:color w:val="auto"/>
        </w:rPr>
      </w:pPr>
    </w:p>
    <w:p>
      <w:pPr>
        <w:ind w:right="60" w:firstLine="555"/>
        <w:spacing w:after="0" w:line="270" w:lineRule="auto"/>
        <w:rPr>
          <w:sz w:val="20"/>
          <w:szCs w:val="20"/>
          <w:color w:val="auto"/>
        </w:rPr>
      </w:pPr>
      <w:r>
        <w:rPr>
          <w:rFonts w:ascii="Arial" w:cs="Arial" w:eastAsia="Arial" w:hAnsi="Arial"/>
          <w:sz w:val="17"/>
          <w:szCs w:val="17"/>
          <w:color w:val="auto"/>
        </w:rPr>
        <w:t>The Company adopted ASC 842 on January 1, 2019 using the prospective approach, and therefore, comparative periods will continue to be reported under prior lease accounting guidance consistent with previously issued financial statements. The Company elected the package of practical expedients permitted under the transition guidance within ASC 842, which among other things, allowed us to carry forward the historical lease identification, lease classification and treatment of initial direct costs for leases entered into prior to January 1, 2019. The Company also made an accounting policy election to not record short-term leases with an initial term of 12 months or less on the balance sheet for all classes of underlying assets. The Company has also elected to not adopt the hindsight practical expedient for determining lease terms.</w:t>
      </w:r>
    </w:p>
    <w:p>
      <w:pPr>
        <w:spacing w:after="0" w:line="219" w:lineRule="exact"/>
        <w:rPr>
          <w:sz w:val="20"/>
          <w:szCs w:val="20"/>
          <w:color w:val="auto"/>
        </w:rPr>
      </w:pPr>
    </w:p>
    <w:p>
      <w:pPr>
        <w:ind w:right="320" w:firstLine="555"/>
        <w:spacing w:after="0" w:line="254" w:lineRule="auto"/>
        <w:rPr>
          <w:sz w:val="20"/>
          <w:szCs w:val="20"/>
          <w:color w:val="auto"/>
        </w:rPr>
      </w:pPr>
      <w:r>
        <w:rPr>
          <w:rFonts w:ascii="Arial" w:cs="Arial" w:eastAsia="Arial" w:hAnsi="Arial"/>
          <w:sz w:val="18"/>
          <w:szCs w:val="18"/>
          <w:color w:val="auto"/>
        </w:rPr>
        <w:t>The Company’s operating leases, in which the Company is the lessee, are recorded on the balance sheet as a ROU asset with a corresponding lease liability. The lease liability will be remeasured each reporting period with a corresponding change to the ROU asset. The adoption of this guidance did not have an impact on net income; however, upon adoption the Company recorded a cumulative adjustment to our retained earnings of $4.7 million, net of tax, primarily related to the Company’s lease and management agreements at its Bettendorf location. (See Note 3). Adoption of this guidance did not have a material impact on the Company’s other financing leases.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21">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380"/>
          </w:cols>
          <w:pgMar w:left="240" w:top="593" w:right="27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i w:val="1"/>
          <w:iCs w:val="1"/>
          <w:color w:val="auto"/>
        </w:rPr>
        <w:t>Pronouncements to Be Implemented in Future Periods</w:t>
      </w:r>
    </w:p>
    <w:p>
      <w:pPr>
        <w:spacing w:after="0" w:line="114" w:lineRule="exact"/>
        <w:rPr>
          <w:sz w:val="20"/>
          <w:szCs w:val="20"/>
          <w:color w:val="auto"/>
        </w:rPr>
      </w:pPr>
    </w:p>
    <w:p>
      <w:pPr>
        <w:ind w:right="80" w:firstLine="555"/>
        <w:spacing w:after="0" w:line="252" w:lineRule="auto"/>
        <w:rPr>
          <w:sz w:val="20"/>
          <w:szCs w:val="20"/>
          <w:color w:val="auto"/>
        </w:rPr>
      </w:pPr>
      <w:r>
        <w:rPr>
          <w:rFonts w:ascii="Arial" w:cs="Arial" w:eastAsia="Arial" w:hAnsi="Arial"/>
          <w:sz w:val="18"/>
          <w:szCs w:val="18"/>
          <w:color w:val="auto"/>
        </w:rPr>
        <w:t>In June 2016 (modified in November 2018), the FASB issued ASU No 2016-13, Financial Instruments – Credit Losses related to timing of recognizing impairment losses on financial assets. The new guidance lowers the threshold on when losses are incurred, from a determination that a loss is probable to a determination that a loss is expected. The change in guidance will be applicable to our evaluation of the CRDA investments (see Note 9). The guidance is effective for interim and annual periods beginning after December 15, 2019. Adoption of the guidance requires a modified-retrospective approach and a cumulative adjustment to retained earnings to the first reporting period that the update is effective. The Company will adopt the new guidance on January 1, 2020. The Company is evaluating the qualitative and quantitative effects of the new guidance and currently does not expect a cumulative effect on its Consolidated Financial Statements.</w:t>
      </w:r>
    </w:p>
    <w:p>
      <w:pPr>
        <w:spacing w:after="0" w:line="191" w:lineRule="exact"/>
        <w:rPr>
          <w:sz w:val="20"/>
          <w:szCs w:val="20"/>
          <w:color w:val="auto"/>
        </w:rPr>
      </w:pPr>
    </w:p>
    <w:p>
      <w:pPr>
        <w:ind w:right="20" w:firstLine="555"/>
        <w:spacing w:after="0" w:line="286" w:lineRule="auto"/>
        <w:rPr>
          <w:sz w:val="20"/>
          <w:szCs w:val="20"/>
          <w:color w:val="auto"/>
        </w:rPr>
      </w:pPr>
      <w:r>
        <w:rPr>
          <w:rFonts w:ascii="Arial" w:cs="Arial" w:eastAsia="Arial" w:hAnsi="Arial"/>
          <w:sz w:val="16"/>
          <w:szCs w:val="16"/>
          <w:color w:val="auto"/>
        </w:rPr>
        <w:t>In August 2018, the FASB issued ASU 2018-15, Customer’s Accounting for Implementation Costs Incurred in a Cloud Computing Arrangement That is a Service Contract. This amendment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This generally means that an intangible asset is recognized for the software license and, to the extent that the payments attributable to the software license are made over time, a liability also is recognized. If a cloud computing arrangement does not include a software license, the entity should account for the arrangement as a service contract. This generally means that the fees associated with the hosting element (service) of the arrangement are expensed as incurred. The amendment is effective for annual and interim periods beginning after December 15, 2019, with early adoption allowed. The Company will adopt the new guidance on January 1, 2020. The Company is evaluating the qualitative and quantitative effects of the new guidance and currently does not believe it will have a significant impact on its Consolidated Financial Statements.</w:t>
      </w:r>
    </w:p>
    <w:p>
      <w:pPr>
        <w:spacing w:after="0" w:line="168" w:lineRule="exact"/>
        <w:rPr>
          <w:sz w:val="20"/>
          <w:szCs w:val="20"/>
          <w:color w:val="auto"/>
        </w:rPr>
      </w:pPr>
    </w:p>
    <w:p>
      <w:pPr>
        <w:ind w:right="660" w:firstLine="555"/>
        <w:spacing w:after="0" w:line="287" w:lineRule="auto"/>
        <w:rPr>
          <w:sz w:val="20"/>
          <w:szCs w:val="20"/>
          <w:color w:val="auto"/>
        </w:rPr>
      </w:pPr>
      <w:r>
        <w:rPr>
          <w:rFonts w:ascii="Arial" w:cs="Arial" w:eastAsia="Arial" w:hAnsi="Arial"/>
          <w:sz w:val="16"/>
          <w:szCs w:val="16"/>
          <w:color w:val="auto"/>
        </w:rPr>
        <w:t>In August 2018, the FASB issued ASU No 2018-14, Compensation –Retirement Benefits – Defined Benefit Plans – General. This amendment improves disclosures over defined benefit plans and is effective for interim and annual periods ending after December 15, 2020 with early adoption</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allowed. The Company anticipates adopting this amendment during the first quarter of 2021, and currently does not expect it to have a significant impact on its Consolidated Financial Statements.</w:t>
      </w:r>
    </w:p>
    <w:p>
      <w:pPr>
        <w:spacing w:after="0" w:line="188" w:lineRule="exact"/>
        <w:rPr>
          <w:sz w:val="20"/>
          <w:szCs w:val="20"/>
          <w:color w:val="auto"/>
        </w:rPr>
      </w:pPr>
    </w:p>
    <w:p>
      <w:pPr>
        <w:ind w:right="160" w:firstLine="555"/>
        <w:spacing w:after="0" w:line="255" w:lineRule="auto"/>
        <w:rPr>
          <w:sz w:val="20"/>
          <w:szCs w:val="20"/>
          <w:color w:val="auto"/>
        </w:rPr>
      </w:pPr>
      <w:r>
        <w:rPr>
          <w:rFonts w:ascii="Arial" w:cs="Arial" w:eastAsia="Arial" w:hAnsi="Arial"/>
          <w:sz w:val="18"/>
          <w:szCs w:val="18"/>
          <w:color w:val="auto"/>
        </w:rPr>
        <w:t>In August 2018, the FASB issued ASU 2018-13, Disclosure Framework-Changes to the Disclosure Requirements for Fair Value Measurement. This amendment modifies the disclosure requirements for fair value measurements and is effective for annual and interim periods beginning after December 15, 2019 with early adoption allowed. The Company will adopt the new guidance on January 1, 2020. The Company is evaluating the qualitative and quantitative effect the new guidance will have on its Consolidated Financial Statements.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Leases</w:t>
      </w:r>
    </w:p>
    <w:p>
      <w:pPr>
        <w:spacing w:after="0" w:line="118"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The Company’s management determines if a contract is or contains a lease at inception or modification of a contract. A contract is or contains a lease if the contract conveys the right to control the use of an identified asset for a period of time in exchange for consideration. Control over the use of the identified asset means the lessee has both (a) the right to obtain substantially all of the economic benefits from the use of the asset and (b) the right to direct the use of the asset.</w:t>
      </w:r>
    </w:p>
    <w:p>
      <w:pPr>
        <w:spacing w:after="0" w:line="191" w:lineRule="exact"/>
        <w:rPr>
          <w:sz w:val="20"/>
          <w:szCs w:val="20"/>
          <w:color w:val="auto"/>
        </w:rPr>
      </w:pPr>
    </w:p>
    <w:p>
      <w:pPr>
        <w:ind w:right="60" w:firstLine="555"/>
        <w:spacing w:after="0" w:line="272" w:lineRule="auto"/>
        <w:rPr>
          <w:sz w:val="20"/>
          <w:szCs w:val="20"/>
          <w:color w:val="auto"/>
        </w:rPr>
      </w:pPr>
      <w:r>
        <w:rPr>
          <w:rFonts w:ascii="Arial" w:cs="Arial" w:eastAsia="Arial" w:hAnsi="Arial"/>
          <w:sz w:val="17"/>
          <w:szCs w:val="17"/>
          <w:color w:val="auto"/>
        </w:rPr>
        <w:t>Finance and operating lease ROU assets and liabilities are recognized based on the present value of future minimum lease payments over the expected lease term at commencement date. As the implicit rate is not determinable in most of the Company’s leases, management uses the Company’s incremental borrowing rate based on the information available at the lease commencement date in determining the present value of future payments. The expected lease terms include options to extend or terminate the lease when it is reasonably certain the Company will exercise such options. Lease expense for operating leases with minimum lease payments is recognized on a straight-line basis over the expected lease term.</w:t>
      </w:r>
    </w:p>
    <w:p>
      <w:pPr>
        <w:spacing w:after="0" w:line="177"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The Company’s lease arrangements have lease and non-lease components. For leases in which the Company is the lessee, the Company accounts for the lease components and non-lease components as a single lease component for all classes of underlying assets. Leases, in which the Company is the lessor, are substantially all accounted for as operating leases and the lease components and non-lease components are accounted for separately, which is consistent with the Company’s historical accounting. Leases with an expected or initial term of 12 months or less are not accounted for on the balance sheet and the related lease expense is recognized on a straight-line basis over the expected lease term.</w:t>
      </w:r>
    </w:p>
    <w:p>
      <w:pPr>
        <w:spacing w:after="0" w:line="177" w:lineRule="exact"/>
        <w:rPr>
          <w:sz w:val="20"/>
          <w:szCs w:val="20"/>
          <w:color w:val="auto"/>
        </w:rPr>
      </w:pPr>
    </w:p>
    <w:p>
      <w:pPr>
        <w:ind w:right="100" w:firstLine="555"/>
        <w:spacing w:after="0" w:line="275" w:lineRule="auto"/>
        <w:rPr>
          <w:sz w:val="20"/>
          <w:szCs w:val="20"/>
          <w:color w:val="auto"/>
        </w:rPr>
      </w:pPr>
      <w:r>
        <w:rPr>
          <w:rFonts w:ascii="Arial" w:cs="Arial" w:eastAsia="Arial" w:hAnsi="Arial"/>
          <w:sz w:val="17"/>
          <w:szCs w:val="17"/>
          <w:color w:val="auto"/>
        </w:rPr>
        <w:t>The Company has operating and finance leases for various real estate and equipment. Certain of the Company’s lease agreements include rental payments based on a percentage of sales over specified contractual amounts, rental payments adjusted periodically for inflation and rental payments based on usage. The Company’s leases include options to extend the lease term one month to 60 years. Except for the GLPI Master Lease (see Note 11), the Company’s lease agreements do not contain any material residual value guarantees or material restrictive covenants.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2">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104" w:name="page105"/>
    <w:bookmarkEnd w:id="104"/>
    <w:p>
      <w:pPr>
        <w:ind w:left="560"/>
        <w:spacing w:after="0"/>
        <w:rPr>
          <w:sz w:val="20"/>
          <w:szCs w:val="20"/>
          <w:color w:val="auto"/>
        </w:rPr>
      </w:pPr>
      <w:r>
        <w:rPr>
          <w:rFonts w:ascii="Arial" w:cs="Arial" w:eastAsia="Arial" w:hAnsi="Arial"/>
          <w:sz w:val="18"/>
          <w:szCs w:val="18"/>
          <w:color w:val="auto"/>
        </w:rPr>
        <w:t>Leases recorded on the balance sheet consist of the following (in thousands):</w:t>
      </w:r>
    </w:p>
    <w:p>
      <w:pPr>
        <w:spacing w:after="0" w:line="200" w:lineRule="exact"/>
        <w:rPr>
          <w:sz w:val="20"/>
          <w:szCs w:val="20"/>
          <w:color w:val="auto"/>
        </w:rPr>
      </w:pPr>
    </w:p>
    <w:p>
      <w:pPr>
        <w:spacing w:after="0" w:line="254"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4760" w:type="dxa"/>
            <w:vAlign w:val="bottom"/>
          </w:tcPr>
          <w:p>
            <w:pPr>
              <w:spacing w:after="0"/>
              <w:rPr>
                <w:sz w:val="20"/>
                <w:szCs w:val="20"/>
                <w:color w:val="auto"/>
              </w:rPr>
            </w:pPr>
            <w:r>
              <w:rPr>
                <w:rFonts w:ascii="Arial" w:cs="Arial" w:eastAsia="Arial" w:hAnsi="Arial"/>
                <w:sz w:val="14"/>
                <w:szCs w:val="14"/>
                <w:b w:val="1"/>
                <w:bCs w:val="1"/>
                <w:color w:val="auto"/>
              </w:rPr>
              <w:t>Leases</w:t>
            </w:r>
          </w:p>
        </w:tc>
        <w:tc>
          <w:tcPr>
            <w:tcW w:w="4180" w:type="dxa"/>
            <w:vAlign w:val="bottom"/>
            <w:gridSpan w:val="2"/>
          </w:tcPr>
          <w:p>
            <w:pPr>
              <w:ind w:left="160"/>
              <w:spacing w:after="0"/>
              <w:rPr>
                <w:sz w:val="20"/>
                <w:szCs w:val="20"/>
                <w:color w:val="auto"/>
              </w:rPr>
            </w:pPr>
            <w:r>
              <w:rPr>
                <w:rFonts w:ascii="Arial" w:cs="Arial" w:eastAsia="Arial" w:hAnsi="Arial"/>
                <w:sz w:val="14"/>
                <w:szCs w:val="14"/>
                <w:b w:val="1"/>
                <w:bCs w:val="1"/>
                <w:color w:val="auto"/>
              </w:rPr>
              <w:t>Classification on the Balance Sheet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2019</w:t>
            </w:r>
          </w:p>
        </w:tc>
      </w:tr>
      <w:tr>
        <w:trPr>
          <w:trHeight w:val="221"/>
        </w:trPr>
        <w:tc>
          <w:tcPr>
            <w:tcW w:w="4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CFF0FC"/>
            </w:tcBorders>
            <w:shd w:val="clear" w:color="auto" w:fill="CFF0FC"/>
          </w:tcPr>
          <w:p>
            <w:pPr>
              <w:spacing w:after="0"/>
              <w:rPr>
                <w:sz w:val="19"/>
                <w:szCs w:val="19"/>
                <w:color w:val="auto"/>
              </w:rPr>
            </w:pPr>
          </w:p>
        </w:tc>
        <w:tc>
          <w:tcPr>
            <w:tcW w:w="40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53"/>
        </w:trPr>
        <w:tc>
          <w:tcPr>
            <w:tcW w:w="4760" w:type="dxa"/>
            <w:vAlign w:val="bottom"/>
          </w:tcPr>
          <w:p>
            <w:pPr>
              <w:ind w:left="240"/>
              <w:spacing w:after="0"/>
              <w:rPr>
                <w:sz w:val="20"/>
                <w:szCs w:val="20"/>
                <w:color w:val="auto"/>
              </w:rPr>
            </w:pPr>
            <w:r>
              <w:rPr>
                <w:rFonts w:ascii="Arial" w:cs="Arial" w:eastAsia="Arial" w:hAnsi="Arial"/>
                <w:sz w:val="18"/>
                <w:szCs w:val="18"/>
                <w:color w:val="auto"/>
              </w:rPr>
              <w:t>Operating lease ROU assets</w:t>
            </w:r>
          </w:p>
        </w:tc>
        <w:tc>
          <w:tcPr>
            <w:tcW w:w="4180" w:type="dxa"/>
            <w:vAlign w:val="bottom"/>
            <w:gridSpan w:val="2"/>
          </w:tcPr>
          <w:p>
            <w:pPr>
              <w:ind w:left="160"/>
              <w:spacing w:after="0"/>
              <w:rPr>
                <w:sz w:val="20"/>
                <w:szCs w:val="20"/>
                <w:color w:val="auto"/>
              </w:rPr>
            </w:pPr>
            <w:r>
              <w:rPr>
                <w:rFonts w:ascii="Arial" w:cs="Arial" w:eastAsia="Arial" w:hAnsi="Arial"/>
                <w:sz w:val="18"/>
                <w:szCs w:val="18"/>
                <w:color w:val="auto"/>
              </w:rPr>
              <w:t>Right-of-use assets</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188,219</w:t>
            </w:r>
          </w:p>
        </w:tc>
        <w:tc>
          <w:tcPr>
            <w:tcW w:w="120" w:type="dxa"/>
            <w:vAlign w:val="bottom"/>
          </w:tcPr>
          <w:p>
            <w:pPr>
              <w:spacing w:after="0"/>
              <w:rPr>
                <w:sz w:val="22"/>
                <w:szCs w:val="22"/>
                <w:color w:val="auto"/>
              </w:rPr>
            </w:pPr>
          </w:p>
        </w:tc>
      </w:tr>
      <w:tr>
        <w:trPr>
          <w:trHeight w:val="242"/>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Finance lease ROU assets</w:t>
            </w:r>
          </w:p>
        </w:tc>
        <w:tc>
          <w:tcPr>
            <w:tcW w:w="41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Property and equipment, net(1)</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936,547</w:t>
            </w:r>
          </w:p>
        </w:tc>
        <w:tc>
          <w:tcPr>
            <w:tcW w:w="120" w:type="dxa"/>
            <w:vAlign w:val="bottom"/>
            <w:shd w:val="clear" w:color="auto" w:fill="CFF0FC"/>
          </w:tcPr>
          <w:p>
            <w:pPr>
              <w:spacing w:after="0"/>
              <w:rPr>
                <w:sz w:val="21"/>
                <w:szCs w:val="21"/>
                <w:color w:val="auto"/>
              </w:rPr>
            </w:pPr>
          </w:p>
        </w:tc>
      </w:tr>
      <w:tr>
        <w:trPr>
          <w:trHeight w:val="240"/>
        </w:trPr>
        <w:tc>
          <w:tcPr>
            <w:tcW w:w="476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55"/>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CFF0FC"/>
          </w:tcPr>
          <w:p>
            <w:pPr>
              <w:spacing w:after="0"/>
              <w:rPr>
                <w:sz w:val="22"/>
                <w:szCs w:val="22"/>
                <w:color w:val="auto"/>
              </w:rPr>
            </w:pPr>
          </w:p>
        </w:tc>
        <w:tc>
          <w:tcPr>
            <w:tcW w:w="40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40"/>
        </w:trPr>
        <w:tc>
          <w:tcPr>
            <w:tcW w:w="476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4180" w:type="dxa"/>
            <w:vAlign w:val="bottom"/>
            <w:gridSpan w:val="2"/>
          </w:tcPr>
          <w:p>
            <w:pPr>
              <w:ind w:left="160"/>
              <w:spacing w:after="0"/>
              <w:rPr>
                <w:sz w:val="20"/>
                <w:szCs w:val="20"/>
                <w:color w:val="auto"/>
              </w:rPr>
            </w:pPr>
            <w:r>
              <w:rPr>
                <w:rFonts w:ascii="Arial" w:cs="Arial" w:eastAsia="Arial" w:hAnsi="Arial"/>
                <w:sz w:val="18"/>
                <w:szCs w:val="18"/>
                <w:color w:val="auto"/>
              </w:rPr>
              <w:t>Short-term lease obligation</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19,991</w:t>
            </w:r>
          </w:p>
        </w:tc>
        <w:tc>
          <w:tcPr>
            <w:tcW w:w="120" w:type="dxa"/>
            <w:vAlign w:val="bottom"/>
          </w:tcPr>
          <w:p>
            <w:pPr>
              <w:spacing w:after="0"/>
              <w:rPr>
                <w:sz w:val="20"/>
                <w:szCs w:val="20"/>
                <w:color w:val="auto"/>
              </w:rPr>
            </w:pPr>
          </w:p>
        </w:tc>
      </w:tr>
      <w:tr>
        <w:trPr>
          <w:trHeight w:val="228"/>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Finance</w:t>
            </w:r>
          </w:p>
        </w:tc>
        <w:tc>
          <w:tcPr>
            <w:tcW w:w="41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19"/>
                <w:szCs w:val="19"/>
                <w:color w:val="auto"/>
              </w:rPr>
            </w:pPr>
          </w:p>
        </w:tc>
      </w:tr>
      <w:tr>
        <w:trPr>
          <w:trHeight w:val="240"/>
        </w:trPr>
        <w:tc>
          <w:tcPr>
            <w:tcW w:w="4760" w:type="dxa"/>
            <w:vAlign w:val="bottom"/>
          </w:tcPr>
          <w:p>
            <w:pPr>
              <w:spacing w:after="0"/>
              <w:rPr>
                <w:sz w:val="20"/>
                <w:szCs w:val="20"/>
                <w:color w:val="auto"/>
              </w:rPr>
            </w:pPr>
            <w:r>
              <w:rPr>
                <w:rFonts w:ascii="Arial" w:cs="Arial" w:eastAsia="Arial" w:hAnsi="Arial"/>
                <w:sz w:val="18"/>
                <w:szCs w:val="18"/>
                <w:color w:val="auto"/>
              </w:rPr>
              <w:t>Noncurrent:</w:t>
            </w:r>
          </w:p>
        </w:tc>
        <w:tc>
          <w:tcPr>
            <w:tcW w:w="1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2"/>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w:t>
            </w:r>
          </w:p>
        </w:tc>
        <w:tc>
          <w:tcPr>
            <w:tcW w:w="41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Long-term lease obligation</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176,932</w:t>
            </w:r>
          </w:p>
        </w:tc>
        <w:tc>
          <w:tcPr>
            <w:tcW w:w="120" w:type="dxa"/>
            <w:vAlign w:val="bottom"/>
            <w:shd w:val="clear" w:color="auto" w:fill="CFF0FC"/>
          </w:tcPr>
          <w:p>
            <w:pPr>
              <w:spacing w:after="0"/>
              <w:rPr>
                <w:sz w:val="21"/>
                <w:szCs w:val="21"/>
                <w:color w:val="auto"/>
              </w:rPr>
            </w:pPr>
          </w:p>
        </w:tc>
      </w:tr>
      <w:tr>
        <w:trPr>
          <w:trHeight w:val="227"/>
        </w:trPr>
        <w:tc>
          <w:tcPr>
            <w:tcW w:w="4760" w:type="dxa"/>
            <w:vAlign w:val="bottom"/>
          </w:tcPr>
          <w:p>
            <w:pPr>
              <w:ind w:left="240"/>
              <w:spacing w:after="0"/>
              <w:rPr>
                <w:sz w:val="20"/>
                <w:szCs w:val="20"/>
                <w:color w:val="auto"/>
              </w:rPr>
            </w:pPr>
            <w:r>
              <w:rPr>
                <w:rFonts w:ascii="Arial" w:cs="Arial" w:eastAsia="Arial" w:hAnsi="Arial"/>
                <w:sz w:val="18"/>
                <w:szCs w:val="18"/>
                <w:color w:val="auto"/>
              </w:rPr>
              <w:t>Finance</w:t>
            </w:r>
          </w:p>
        </w:tc>
        <w:tc>
          <w:tcPr>
            <w:tcW w:w="4180" w:type="dxa"/>
            <w:vAlign w:val="bottom"/>
            <w:gridSpan w:val="2"/>
          </w:tcPr>
          <w:p>
            <w:pPr>
              <w:ind w:left="160"/>
              <w:spacing w:after="0"/>
              <w:rPr>
                <w:sz w:val="20"/>
                <w:szCs w:val="20"/>
                <w:color w:val="auto"/>
              </w:rPr>
            </w:pPr>
            <w:r>
              <w:rPr>
                <w:rFonts w:ascii="Arial" w:cs="Arial" w:eastAsia="Arial" w:hAnsi="Arial"/>
                <w:sz w:val="18"/>
                <w:szCs w:val="18"/>
                <w:color w:val="auto"/>
              </w:rPr>
              <w:t>Long-term financing obligation to GLPI and debt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970,662</w:t>
            </w:r>
          </w:p>
        </w:tc>
        <w:tc>
          <w:tcPr>
            <w:tcW w:w="120" w:type="dxa"/>
            <w:vAlign w:val="bottom"/>
          </w:tcPr>
          <w:p>
            <w:pPr>
              <w:spacing w:after="0"/>
              <w:rPr>
                <w:sz w:val="19"/>
                <w:szCs w:val="19"/>
                <w:color w:val="auto"/>
              </w:rPr>
            </w:pPr>
          </w:p>
        </w:tc>
      </w:tr>
    </w:tbl>
    <w:p>
      <w:pPr>
        <w:spacing w:after="0" w:line="214" w:lineRule="exact"/>
        <w:rPr>
          <w:sz w:val="20"/>
          <w:szCs w:val="20"/>
          <w:color w:val="auto"/>
        </w:rPr>
      </w:pPr>
    </w:p>
    <w:p>
      <w:pPr>
        <w:ind w:left="560" w:right="2680" w:hanging="553"/>
        <w:spacing w:after="0" w:line="561" w:lineRule="auto"/>
        <w:tabs>
          <w:tab w:leader="none" w:pos="554"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Finance lease ROU assets are recorded net of accumulated depreciation of $20.9 million as of December 31, 2019. Other information related to lease terms and discount rates are as follows:</w:t>
      </w:r>
    </w:p>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8820" w:type="dxa"/>
            <w:vAlign w:val="bottom"/>
          </w:tcPr>
          <w:p>
            <w:pPr>
              <w:spacing w:after="0"/>
              <w:rPr>
                <w:sz w:val="14"/>
                <w:szCs w:val="14"/>
                <w:color w:val="auto"/>
              </w:rPr>
            </w:pPr>
          </w:p>
        </w:tc>
        <w:tc>
          <w:tcPr>
            <w:tcW w:w="2140" w:type="dxa"/>
            <w:vAlign w:val="bottom"/>
            <w:gridSpan w:val="2"/>
          </w:tcPr>
          <w:p>
            <w:pPr>
              <w:ind w:left="420"/>
              <w:spacing w:after="0"/>
              <w:rPr>
                <w:sz w:val="20"/>
                <w:szCs w:val="20"/>
                <w:color w:val="auto"/>
              </w:rPr>
            </w:pPr>
            <w:r>
              <w:rPr>
                <w:rFonts w:ascii="Arial" w:cs="Arial" w:eastAsia="Arial" w:hAnsi="Arial"/>
                <w:sz w:val="14"/>
                <w:szCs w:val="14"/>
                <w:b w:val="1"/>
                <w:bCs w:val="1"/>
                <w:color w:val="auto"/>
              </w:rPr>
              <w:t>December 31, 2019</w:t>
            </w:r>
          </w:p>
        </w:tc>
      </w:tr>
      <w:tr>
        <w:trPr>
          <w:trHeight w:val="221"/>
        </w:trPr>
        <w:tc>
          <w:tcPr>
            <w:tcW w:w="8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Remaining Lease Term</w:t>
            </w:r>
          </w:p>
        </w:tc>
        <w:tc>
          <w:tcPr>
            <w:tcW w:w="2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882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85"/>
              </w:rPr>
              <w:t>34.0 years</w:t>
            </w:r>
          </w:p>
        </w:tc>
      </w:tr>
      <w:tr>
        <w:trPr>
          <w:trHeight w:val="241"/>
        </w:trPr>
        <w:tc>
          <w:tcPr>
            <w:tcW w:w="8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Finance leases</w:t>
            </w:r>
          </w:p>
        </w:tc>
        <w:tc>
          <w:tcPr>
            <w:tcW w:w="21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7"/>
              </w:rPr>
              <w:t>33.75 years</w:t>
            </w:r>
          </w:p>
        </w:tc>
      </w:tr>
      <w:tr>
        <w:trPr>
          <w:trHeight w:val="227"/>
        </w:trPr>
        <w:tc>
          <w:tcPr>
            <w:tcW w:w="88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8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leases(1)</w:t>
            </w:r>
          </w:p>
        </w:tc>
        <w:tc>
          <w:tcPr>
            <w:tcW w:w="2020" w:type="dxa"/>
            <w:vAlign w:val="bottom"/>
            <w:shd w:val="clear" w:color="auto" w:fill="CFF0FC"/>
          </w:tcPr>
          <w:p>
            <w:pPr>
              <w:jc w:val="right"/>
              <w:ind w:right="654"/>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9"/>
                <w:szCs w:val="19"/>
                <w:color w:val="auto"/>
              </w:rPr>
            </w:pPr>
          </w:p>
        </w:tc>
      </w:tr>
      <w:tr>
        <w:trPr>
          <w:trHeight w:val="239"/>
        </w:trPr>
        <w:tc>
          <w:tcPr>
            <w:tcW w:w="882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2020" w:type="dxa"/>
            <w:vAlign w:val="bottom"/>
          </w:tcPr>
          <w:p>
            <w:pPr>
              <w:jc w:val="right"/>
              <w:ind w:right="614"/>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r>
    </w:tbl>
    <w:p>
      <w:pPr>
        <w:spacing w:after="0" w:line="228" w:lineRule="exact"/>
        <w:rPr>
          <w:sz w:val="20"/>
          <w:szCs w:val="20"/>
          <w:color w:val="auto"/>
        </w:rPr>
      </w:pPr>
    </w:p>
    <w:p>
      <w:pPr>
        <w:ind w:left="560" w:right="1780" w:hanging="553"/>
        <w:spacing w:after="0" w:line="535" w:lineRule="auto"/>
        <w:tabs>
          <w:tab w:leader="none" w:pos="554"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Upon adoption of the new lease standard, discount rates used for existing operating leases were established on January 1, 2019. The components of lease expense are as follows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4"/>
                <w:szCs w:val="14"/>
                <w:b w:val="1"/>
                <w:bCs w:val="1"/>
                <w:color w:val="auto"/>
                <w:w w:val="97"/>
              </w:rPr>
              <w:t>Classification on the Income Statement</w:t>
            </w:r>
          </w:p>
        </w:tc>
        <w:tc>
          <w:tcPr>
            <w:tcW w:w="22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20" w:type="dxa"/>
            <w:vAlign w:val="bottom"/>
          </w:tcPr>
          <w:p>
            <w:pPr>
              <w:spacing w:after="0"/>
              <w:rPr>
                <w:sz w:val="19"/>
                <w:szCs w:val="19"/>
                <w:color w:val="auto"/>
              </w:rPr>
            </w:pPr>
          </w:p>
        </w:tc>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expense:</w:t>
            </w:r>
          </w:p>
        </w:tc>
        <w:tc>
          <w:tcPr>
            <w:tcW w:w="240" w:type="dxa"/>
            <w:vAlign w:val="bottom"/>
            <w:tcBorders>
              <w:top w:val="single" w:sz="8" w:color="CFF0FC"/>
            </w:tcBorders>
            <w:shd w:val="clear" w:color="auto" w:fill="CFF0FC"/>
          </w:tcPr>
          <w:p>
            <w:pPr>
              <w:spacing w:after="0"/>
              <w:rPr>
                <w:sz w:val="19"/>
                <w:szCs w:val="19"/>
                <w:color w:val="auto"/>
              </w:rPr>
            </w:pPr>
          </w:p>
        </w:tc>
        <w:tc>
          <w:tcPr>
            <w:tcW w:w="2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3200" w:type="dxa"/>
            <w:vAlign w:val="bottom"/>
          </w:tcPr>
          <w:p>
            <w:pPr>
              <w:ind w:left="240"/>
              <w:spacing w:after="0"/>
              <w:rPr>
                <w:sz w:val="20"/>
                <w:szCs w:val="20"/>
                <w:color w:val="auto"/>
              </w:rPr>
            </w:pPr>
            <w:r>
              <w:rPr>
                <w:rFonts w:ascii="Arial" w:cs="Arial" w:eastAsia="Arial" w:hAnsi="Arial"/>
                <w:sz w:val="18"/>
                <w:szCs w:val="18"/>
                <w:color w:val="auto"/>
              </w:rPr>
              <w:t>Operating lease expense</w:t>
            </w:r>
          </w:p>
        </w:tc>
        <w:tc>
          <w:tcPr>
            <w:tcW w:w="3020" w:type="dxa"/>
            <w:vAlign w:val="bottom"/>
            <w:gridSpan w:val="2"/>
          </w:tcPr>
          <w:p>
            <w:pPr>
              <w:ind w:left="2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20,436</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5"/>
              </w:rPr>
              <w:t>Short-term and variable lease expense</w:t>
            </w:r>
          </w:p>
        </w:tc>
        <w:tc>
          <w:tcPr>
            <w:tcW w:w="30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42,159</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Finance lease expense:</w:t>
            </w:r>
          </w:p>
        </w:tc>
        <w:tc>
          <w:tcPr>
            <w:tcW w:w="2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on lease liabilities</w:t>
            </w:r>
          </w:p>
        </w:tc>
        <w:tc>
          <w:tcPr>
            <w:tcW w:w="30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98,690</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7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02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32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Amortization of ROU assets</w:t>
            </w:r>
          </w:p>
        </w:tc>
        <w:tc>
          <w:tcPr>
            <w:tcW w:w="30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expense</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16,795</w:t>
            </w:r>
          </w:p>
        </w:tc>
        <w:tc>
          <w:tcPr>
            <w:tcW w:w="80" w:type="dxa"/>
            <w:vAlign w:val="bottom"/>
            <w:tcBorders>
              <w:bottom w:val="single" w:sz="8" w:color="CFF0FC"/>
            </w:tcBorders>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20" w:type="dxa"/>
            <w:vAlign w:val="bottom"/>
          </w:tcPr>
          <w:p>
            <w:pPr>
              <w:spacing w:after="0"/>
              <w:rPr>
                <w:sz w:val="19"/>
                <w:szCs w:val="19"/>
                <w:color w:val="auto"/>
              </w:rPr>
            </w:pPr>
          </w:p>
        </w:tc>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expense</w:t>
            </w:r>
          </w:p>
        </w:tc>
        <w:tc>
          <w:tcPr>
            <w:tcW w:w="240" w:type="dxa"/>
            <w:vAlign w:val="bottom"/>
            <w:tcBorders>
              <w:bottom w:val="single" w:sz="8" w:color="CFF0FC"/>
            </w:tcBorders>
            <w:shd w:val="clear" w:color="auto" w:fill="CFF0FC"/>
          </w:tcPr>
          <w:p>
            <w:pPr>
              <w:spacing w:after="0"/>
              <w:rPr>
                <w:sz w:val="19"/>
                <w:szCs w:val="19"/>
                <w:color w:val="auto"/>
              </w:rPr>
            </w:pPr>
          </w:p>
        </w:tc>
        <w:tc>
          <w:tcPr>
            <w:tcW w:w="27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178,080</w:t>
            </w:r>
          </w:p>
        </w:tc>
        <w:tc>
          <w:tcPr>
            <w:tcW w:w="80" w:type="dxa"/>
            <w:vAlign w:val="bottom"/>
            <w:tcBorders>
              <w:bottom w:val="single" w:sz="8" w:color="CFF0FC"/>
            </w:tcBorders>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20" w:type="dxa"/>
            <w:vAlign w:val="bottom"/>
            <w:gridSpan w:val="2"/>
            <w:vMerge w:val="restart"/>
          </w:tcPr>
          <w:p>
            <w:pPr>
              <w:ind w:left="660"/>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7231380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5" w:name="page106"/>
    <w:bookmarkEnd w:id="105"/>
    <w:p>
      <w:pPr>
        <w:ind w:left="560"/>
        <w:spacing w:after="0"/>
        <w:rPr>
          <w:sz w:val="20"/>
          <w:szCs w:val="20"/>
          <w:color w:val="auto"/>
        </w:rPr>
      </w:pPr>
      <w:r>
        <w:rPr>
          <w:rFonts w:ascii="Arial" w:cs="Arial" w:eastAsia="Arial" w:hAnsi="Arial"/>
          <w:sz w:val="18"/>
          <w:szCs w:val="18"/>
          <w:color w:val="auto"/>
        </w:rPr>
        <w:t>Supplemental cash flow information related to leases is as follows (in thousands):</w:t>
      </w:r>
    </w:p>
    <w:p>
      <w:pPr>
        <w:spacing w:after="0" w:line="21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r>
      <w:tr>
        <w:trPr>
          <w:trHeight w:val="161"/>
        </w:trPr>
        <w:tc>
          <w:tcPr>
            <w:tcW w:w="5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2019</w:t>
            </w:r>
          </w:p>
        </w:tc>
      </w:tr>
      <w:tr>
        <w:trPr>
          <w:trHeight w:val="147"/>
        </w:trPr>
        <w:tc>
          <w:tcPr>
            <w:tcW w:w="5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3"/>
              </w:rPr>
              <w:t>Year Ended</w:t>
            </w:r>
          </w:p>
        </w:tc>
      </w:tr>
      <w:tr>
        <w:trPr>
          <w:trHeight w:val="170"/>
        </w:trPr>
        <w:tc>
          <w:tcPr>
            <w:tcW w:w="5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2019</w:t>
            </w:r>
          </w:p>
        </w:tc>
      </w:tr>
      <w:tr>
        <w:trPr>
          <w:trHeight w:val="221"/>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Cash paid for amounts included in the measurement of lease liabilities:</w:t>
            </w:r>
          </w:p>
        </w:tc>
        <w:tc>
          <w:tcPr>
            <w:tcW w:w="5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5600" w:type="dxa"/>
            <w:vAlign w:val="bottom"/>
          </w:tcPr>
          <w:p>
            <w:pPr>
              <w:ind w:left="240"/>
              <w:spacing w:after="0"/>
              <w:rPr>
                <w:sz w:val="20"/>
                <w:szCs w:val="20"/>
                <w:color w:val="auto"/>
              </w:rPr>
            </w:pPr>
            <w:r>
              <w:rPr>
                <w:rFonts w:ascii="Arial" w:cs="Arial" w:eastAsia="Arial" w:hAnsi="Arial"/>
                <w:sz w:val="18"/>
                <w:szCs w:val="18"/>
                <w:color w:val="auto"/>
              </w:rPr>
              <w:t>Operating cash flows for operating leases</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24,372</w:t>
            </w:r>
          </w:p>
        </w:tc>
        <w:tc>
          <w:tcPr>
            <w:tcW w:w="80" w:type="dxa"/>
            <w:vAlign w:val="bottom"/>
          </w:tcPr>
          <w:p>
            <w:pPr>
              <w:spacing w:after="0"/>
              <w:rPr>
                <w:sz w:val="19"/>
                <w:szCs w:val="19"/>
                <w:color w:val="auto"/>
              </w:rPr>
            </w:pPr>
          </w:p>
        </w:tc>
      </w:tr>
      <w:tr>
        <w:trPr>
          <w:trHeight w:val="228"/>
        </w:trPr>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cash flows for finance leases</w:t>
            </w: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88,006</w:t>
            </w:r>
          </w:p>
        </w:tc>
        <w:tc>
          <w:tcPr>
            <w:tcW w:w="80" w:type="dxa"/>
            <w:vAlign w:val="bottom"/>
            <w:shd w:val="clear" w:color="auto" w:fill="CFF0FC"/>
          </w:tcPr>
          <w:p>
            <w:pPr>
              <w:spacing w:after="0"/>
              <w:rPr>
                <w:sz w:val="19"/>
                <w:szCs w:val="19"/>
                <w:color w:val="auto"/>
              </w:rPr>
            </w:pPr>
          </w:p>
        </w:tc>
      </w:tr>
    </w:tbl>
    <w:p>
      <w:pPr>
        <w:spacing w:after="0" w:line="2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to the payments made for operating leases noted above, the Company paid $42.2 million in short term and variable leases.</w:t>
      </w:r>
    </w:p>
    <w:p>
      <w:pPr>
        <w:spacing w:after="0" w:line="2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Maturities of lease liabilities are summarized as follows (in thousands):</w:t>
      </w:r>
    </w:p>
    <w:p>
      <w:pPr>
        <w:spacing w:after="0" w:line="200" w:lineRule="exact"/>
        <w:rPr>
          <w:sz w:val="20"/>
          <w:szCs w:val="20"/>
          <w:color w:val="auto"/>
        </w:rPr>
      </w:pPr>
    </w:p>
    <w:p>
      <w:pPr>
        <w:spacing w:after="0" w:line="240"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6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Operating Leases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Finance Leases</w:t>
            </w:r>
          </w:p>
        </w:tc>
      </w:tr>
      <w:tr>
        <w:trPr>
          <w:trHeight w:val="221"/>
        </w:trPr>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22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40"/>
        </w:trPr>
        <w:tc>
          <w:tcPr>
            <w:tcW w:w="688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19,991</w:t>
            </w:r>
          </w:p>
        </w:tc>
        <w:tc>
          <w:tcPr>
            <w:tcW w:w="180" w:type="dxa"/>
            <w:vAlign w:val="bottom"/>
          </w:tcPr>
          <w:p>
            <w:pPr>
              <w:spacing w:after="0"/>
              <w:rPr>
                <w:sz w:val="20"/>
                <w:szCs w:val="20"/>
                <w:color w:val="auto"/>
              </w:rPr>
            </w:pPr>
          </w:p>
        </w:tc>
        <w:tc>
          <w:tcPr>
            <w:tcW w:w="36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89,287</w:t>
            </w:r>
          </w:p>
        </w:tc>
        <w:tc>
          <w:tcPr>
            <w:tcW w:w="120" w:type="dxa"/>
            <w:vAlign w:val="bottom"/>
          </w:tcPr>
          <w:p>
            <w:pPr>
              <w:spacing w:after="0"/>
              <w:rPr>
                <w:sz w:val="20"/>
                <w:szCs w:val="20"/>
                <w:color w:val="auto"/>
              </w:rPr>
            </w:pPr>
          </w:p>
        </w:tc>
      </w:tr>
      <w:tr>
        <w:trPr>
          <w:trHeight w:val="228"/>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90,471</w:t>
            </w:r>
          </w:p>
        </w:tc>
        <w:tc>
          <w:tcPr>
            <w:tcW w:w="120" w:type="dxa"/>
            <w:vAlign w:val="bottom"/>
            <w:shd w:val="clear" w:color="auto" w:fill="CFF0FC"/>
          </w:tcPr>
          <w:p>
            <w:pPr>
              <w:spacing w:after="0"/>
              <w:rPr>
                <w:sz w:val="19"/>
                <w:szCs w:val="19"/>
                <w:color w:val="auto"/>
              </w:rPr>
            </w:pPr>
          </w:p>
        </w:tc>
      </w:tr>
      <w:tr>
        <w:trPr>
          <w:trHeight w:val="227"/>
        </w:trPr>
        <w:tc>
          <w:tcPr>
            <w:tcW w:w="688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17,814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91,729</w:t>
            </w:r>
          </w:p>
        </w:tc>
        <w:tc>
          <w:tcPr>
            <w:tcW w:w="120" w:type="dxa"/>
            <w:vAlign w:val="bottom"/>
          </w:tcPr>
          <w:p>
            <w:pPr>
              <w:spacing w:after="0"/>
              <w:rPr>
                <w:sz w:val="19"/>
                <w:szCs w:val="19"/>
                <w:color w:val="auto"/>
              </w:rPr>
            </w:pPr>
          </w:p>
        </w:tc>
      </w:tr>
      <w:tr>
        <w:trPr>
          <w:trHeight w:val="241"/>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17,635</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92,990</w:t>
            </w:r>
          </w:p>
        </w:tc>
        <w:tc>
          <w:tcPr>
            <w:tcW w:w="120" w:type="dxa"/>
            <w:vAlign w:val="bottom"/>
            <w:shd w:val="clear" w:color="auto" w:fill="CFF0FC"/>
          </w:tcPr>
          <w:p>
            <w:pPr>
              <w:spacing w:after="0"/>
              <w:rPr>
                <w:sz w:val="20"/>
                <w:szCs w:val="20"/>
                <w:color w:val="auto"/>
              </w:rPr>
            </w:pPr>
          </w:p>
        </w:tc>
      </w:tr>
      <w:tr>
        <w:trPr>
          <w:trHeight w:val="227"/>
        </w:trPr>
        <w:tc>
          <w:tcPr>
            <w:tcW w:w="688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15,470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94,315</w:t>
            </w:r>
          </w:p>
        </w:tc>
        <w:tc>
          <w:tcPr>
            <w:tcW w:w="120" w:type="dxa"/>
            <w:vAlign w:val="bottom"/>
          </w:tcPr>
          <w:p>
            <w:pPr>
              <w:spacing w:after="0"/>
              <w:rPr>
                <w:sz w:val="19"/>
                <w:szCs w:val="19"/>
                <w:color w:val="auto"/>
              </w:rPr>
            </w:pPr>
          </w:p>
        </w:tc>
      </w:tr>
      <w:tr>
        <w:trPr>
          <w:trHeight w:val="228"/>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561,602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3,412,357</w:t>
            </w:r>
          </w:p>
        </w:tc>
        <w:tc>
          <w:tcPr>
            <w:tcW w:w="120" w:type="dxa"/>
            <w:vAlign w:val="bottom"/>
            <w:shd w:val="clear" w:color="auto" w:fill="CFF0FC"/>
          </w:tcPr>
          <w:p>
            <w:pPr>
              <w:spacing w:after="0"/>
              <w:rPr>
                <w:sz w:val="19"/>
                <w:szCs w:val="19"/>
                <w:color w:val="auto"/>
              </w:rPr>
            </w:pPr>
          </w:p>
        </w:tc>
      </w:tr>
      <w:tr>
        <w:trPr>
          <w:trHeight w:val="221"/>
        </w:trPr>
        <w:tc>
          <w:tcPr>
            <w:tcW w:w="688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651,447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3,871,149</w:t>
            </w:r>
          </w:p>
        </w:tc>
        <w:tc>
          <w:tcPr>
            <w:tcW w:w="120" w:type="dxa"/>
            <w:vAlign w:val="bottom"/>
          </w:tcPr>
          <w:p>
            <w:pPr>
              <w:spacing w:after="0"/>
              <w:rPr>
                <w:sz w:val="19"/>
                <w:szCs w:val="19"/>
                <w:color w:val="auto"/>
              </w:rPr>
            </w:pPr>
          </w:p>
        </w:tc>
      </w:tr>
      <w:tr>
        <w:trPr>
          <w:trHeight w:val="228"/>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Less: amount representing interest</w:t>
            </w: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(454,524)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(3,320,519)</w:t>
            </w:r>
          </w:p>
        </w:tc>
      </w:tr>
      <w:tr>
        <w:trPr>
          <w:trHeight w:val="221"/>
        </w:trPr>
        <w:tc>
          <w:tcPr>
            <w:tcW w:w="6880" w:type="dxa"/>
            <w:vAlign w:val="bottom"/>
          </w:tcPr>
          <w:p>
            <w:pPr>
              <w:spacing w:after="0"/>
              <w:rPr>
                <w:sz w:val="20"/>
                <w:szCs w:val="20"/>
                <w:color w:val="auto"/>
              </w:rPr>
            </w:pPr>
            <w:r>
              <w:rPr>
                <w:rFonts w:ascii="Arial" w:cs="Arial" w:eastAsia="Arial" w:hAnsi="Arial"/>
                <w:sz w:val="18"/>
                <w:szCs w:val="18"/>
                <w:color w:val="auto"/>
              </w:rPr>
              <w:t>Present value of future minimum lease payments</w:t>
            </w:r>
          </w:p>
        </w:tc>
        <w:tc>
          <w:tcPr>
            <w:tcW w:w="2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196,923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550,630</w:t>
            </w:r>
          </w:p>
        </w:tc>
        <w:tc>
          <w:tcPr>
            <w:tcW w:w="120" w:type="dxa"/>
            <w:vAlign w:val="bottom"/>
          </w:tcPr>
          <w:p>
            <w:pPr>
              <w:spacing w:after="0"/>
              <w:rPr>
                <w:sz w:val="19"/>
                <w:szCs w:val="19"/>
                <w:color w:val="auto"/>
              </w:rPr>
            </w:pPr>
          </w:p>
        </w:tc>
      </w:tr>
      <w:tr>
        <w:trPr>
          <w:trHeight w:val="228"/>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Less: current lease obligations</w:t>
            </w: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(19,991)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w:t>
            </w:r>
          </w:p>
        </w:tc>
      </w:tr>
      <w:tr>
        <w:trPr>
          <w:trHeight w:val="240"/>
        </w:trPr>
        <w:tc>
          <w:tcPr>
            <w:tcW w:w="6880" w:type="dxa"/>
            <w:vAlign w:val="bottom"/>
          </w:tcPr>
          <w:p>
            <w:pPr>
              <w:spacing w:after="0"/>
              <w:rPr>
                <w:sz w:val="20"/>
                <w:szCs w:val="20"/>
                <w:color w:val="auto"/>
              </w:rPr>
            </w:pPr>
            <w:r>
              <w:rPr>
                <w:rFonts w:ascii="Arial" w:cs="Arial" w:eastAsia="Arial" w:hAnsi="Arial"/>
                <w:sz w:val="18"/>
                <w:szCs w:val="18"/>
                <w:color w:val="auto"/>
              </w:rPr>
              <w:t>Plus: residual values - GLPI</w:t>
            </w:r>
          </w:p>
        </w:tc>
        <w:tc>
          <w:tcPr>
            <w:tcW w:w="220" w:type="dxa"/>
            <w:vAlign w:val="bottom"/>
          </w:tcPr>
          <w:p>
            <w:pPr>
              <w:spacing w:after="0"/>
              <w:rPr>
                <w:sz w:val="20"/>
                <w:szCs w:val="20"/>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420,100</w:t>
            </w:r>
          </w:p>
        </w:tc>
        <w:tc>
          <w:tcPr>
            <w:tcW w:w="120" w:type="dxa"/>
            <w:vAlign w:val="bottom"/>
          </w:tcPr>
          <w:p>
            <w:pPr>
              <w:spacing w:after="0"/>
              <w:rPr>
                <w:sz w:val="20"/>
                <w:szCs w:val="20"/>
                <w:color w:val="auto"/>
              </w:rPr>
            </w:pPr>
          </w:p>
        </w:tc>
      </w:tr>
      <w:tr>
        <w:trPr>
          <w:trHeight w:val="221"/>
        </w:trPr>
        <w:tc>
          <w:tcPr>
            <w:tcW w:w="6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lease obligations</w:t>
            </w: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176,932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970,662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 Purchase Price Accounting and Pro forma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Tropicana</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Summary</w:t>
      </w:r>
    </w:p>
    <w:p>
      <w:pPr>
        <w:spacing w:after="0" w:line="114" w:lineRule="exact"/>
        <w:rPr>
          <w:sz w:val="20"/>
          <w:szCs w:val="20"/>
          <w:color w:val="auto"/>
        </w:rPr>
      </w:pPr>
    </w:p>
    <w:p>
      <w:pPr>
        <w:ind w:firstLine="555"/>
        <w:spacing w:after="0" w:line="267" w:lineRule="auto"/>
        <w:rPr>
          <w:sz w:val="20"/>
          <w:szCs w:val="20"/>
          <w:color w:val="auto"/>
        </w:rPr>
      </w:pPr>
      <w:r>
        <w:rPr>
          <w:rFonts w:ascii="Arial" w:cs="Arial" w:eastAsia="Arial" w:hAnsi="Arial"/>
          <w:sz w:val="17"/>
          <w:szCs w:val="17"/>
          <w:color w:val="auto"/>
        </w:rPr>
        <w:t>On April 15, 2018, the Company announced that it had entered into a definitive agreement to acquire Tropicana in a cash transaction valued at $1.9 billion. At the closing of the transaction on October 1, 2018, a subsidiary of the Company merged into Tropicana and Tropicana became a wholly-owned subsidiary of the Company. Immediately prior to the merger, Tropicana sold Tropicana Aruba Resort and Casino and Gaming and Leisure Properties, Inc. (“GLPI”) acquired substantially all of Tropicana’s real estate, other than the real estate underlying MontBleu and Lumière, for approximately $964 million. The Company acquired Tropicana’s operations and certain real estate for $927.3 million. Substantially concurrently with the acquisition of the real estate portfolio by GLPI, the Company also entered into a triple net master lease with GLPI (the “Master Lease”) (see Note 11). The Company funded the purchase of the real estate underlying Lumière with the proceeds of a $246 million loan (see Note 12) and funded the remaining consideration payable with cash on hand at the Company and Tropicana, borrowings under the Company’s revolving credit facility and proceeds from the Company’s offering of $600 million in aggregate principal amount of 6% senior notes due 2026.</w:t>
      </w:r>
    </w:p>
    <w:p>
      <w:pPr>
        <w:spacing w:after="0" w:line="184" w:lineRule="exact"/>
        <w:rPr>
          <w:sz w:val="20"/>
          <w:szCs w:val="20"/>
          <w:color w:val="auto"/>
        </w:rPr>
      </w:pPr>
    </w:p>
    <w:p>
      <w:pPr>
        <w:ind w:right="440" w:firstLine="555"/>
        <w:spacing w:after="0" w:line="271" w:lineRule="auto"/>
        <w:rPr>
          <w:sz w:val="20"/>
          <w:szCs w:val="20"/>
          <w:color w:val="auto"/>
        </w:rPr>
      </w:pPr>
      <w:r>
        <w:rPr>
          <w:rFonts w:ascii="Arial" w:cs="Arial" w:eastAsia="Arial" w:hAnsi="Arial"/>
          <w:sz w:val="18"/>
          <w:szCs w:val="18"/>
          <w:color w:val="auto"/>
        </w:rPr>
        <w:t>Transaction expenses related to the Tropicana Acquisition totaled $4.0 million and $18.3 million for the year ended December 31, 2019 and 2018, respectively.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5">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i w:val="1"/>
          <w:iCs w:val="1"/>
          <w:color w:val="auto"/>
        </w:rPr>
        <w:t>Final Purchase Price Accounting</w:t>
      </w:r>
    </w:p>
    <w:p>
      <w:pPr>
        <w:spacing w:after="0" w:line="114" w:lineRule="exact"/>
        <w:rPr>
          <w:sz w:val="20"/>
          <w:szCs w:val="20"/>
          <w:color w:val="auto"/>
        </w:rPr>
      </w:pPr>
    </w:p>
    <w:p>
      <w:pPr>
        <w:ind w:right="100" w:firstLine="555"/>
        <w:spacing w:after="0" w:line="271" w:lineRule="auto"/>
        <w:rPr>
          <w:sz w:val="20"/>
          <w:szCs w:val="20"/>
          <w:color w:val="auto"/>
        </w:rPr>
      </w:pPr>
      <w:r>
        <w:rPr>
          <w:rFonts w:ascii="Arial" w:cs="Arial" w:eastAsia="Arial" w:hAnsi="Arial"/>
          <w:sz w:val="18"/>
          <w:szCs w:val="18"/>
          <w:color w:val="auto"/>
        </w:rPr>
        <w:t>The total purchase consideration for the Tropicana Acquisition was $927.3 million. The purchase consideration in the acquisition was determined with reference to its acquisition date fair value.</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8600" w:type="dxa"/>
            <w:vAlign w:val="bottom"/>
            <w:gridSpan w:val="2"/>
          </w:tcPr>
          <w:p>
            <w:pPr>
              <w:spacing w:after="0"/>
              <w:rPr>
                <w:sz w:val="20"/>
                <w:szCs w:val="20"/>
                <w:color w:val="auto"/>
              </w:rPr>
            </w:pPr>
            <w:r>
              <w:rPr>
                <w:rFonts w:ascii="Arial" w:cs="Arial" w:eastAsia="Arial" w:hAnsi="Arial"/>
                <w:sz w:val="14"/>
                <w:szCs w:val="14"/>
                <w:b w:val="1"/>
                <w:bCs w:val="1"/>
                <w:color w:val="auto"/>
              </w:rPr>
              <w:t>Purchase consideration calculation (dollars in thousands)</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1"/>
        </w:trPr>
        <w:tc>
          <w:tcPr>
            <w:tcW w:w="8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consideration paid</w:t>
            </w: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CFF0FC"/>
            </w:tcBorders>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640,000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8600" w:type="dxa"/>
            <w:vAlign w:val="bottom"/>
            <w:gridSpan w:val="2"/>
          </w:tcPr>
          <w:p>
            <w:pPr>
              <w:spacing w:after="0"/>
              <w:rPr>
                <w:sz w:val="20"/>
                <w:szCs w:val="20"/>
                <w:color w:val="auto"/>
              </w:rPr>
            </w:pPr>
            <w:r>
              <w:rPr>
                <w:rFonts w:ascii="Arial" w:cs="Arial" w:eastAsia="Arial" w:hAnsi="Arial"/>
                <w:sz w:val="18"/>
                <w:szCs w:val="18"/>
                <w:color w:val="auto"/>
              </w:rPr>
              <w:t>Lumière Loan</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246,000</w:t>
            </w:r>
          </w:p>
        </w:tc>
        <w:tc>
          <w:tcPr>
            <w:tcW w:w="100" w:type="dxa"/>
            <w:vAlign w:val="bottom"/>
          </w:tcPr>
          <w:p>
            <w:pPr>
              <w:spacing w:after="0"/>
              <w:rPr>
                <w:sz w:val="19"/>
                <w:szCs w:val="19"/>
                <w:color w:val="auto"/>
              </w:rPr>
            </w:pPr>
          </w:p>
        </w:tc>
      </w:tr>
      <w:tr>
        <w:trPr>
          <w:trHeight w:val="228"/>
        </w:trPr>
        <w:tc>
          <w:tcPr>
            <w:tcW w:w="8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paid to retire Tropicana's long-term debt</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FF0FC"/>
          </w:tcPr>
          <w:p>
            <w:pPr>
              <w:spacing w:after="0"/>
              <w:rPr>
                <w:sz w:val="19"/>
                <w:szCs w:val="19"/>
                <w:color w:val="auto"/>
              </w:rPr>
            </w:pPr>
          </w:p>
        </w:tc>
      </w:tr>
      <w:tr>
        <w:trPr>
          <w:trHeight w:val="227"/>
        </w:trPr>
        <w:tc>
          <w:tcPr>
            <w:tcW w:w="86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ERI portion of taxes due</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6,333</w:t>
            </w:r>
          </w:p>
        </w:tc>
        <w:tc>
          <w:tcPr>
            <w:tcW w:w="100" w:type="dxa"/>
            <w:vAlign w:val="bottom"/>
            <w:tcBorders>
              <w:bottom w:val="single" w:sz="8" w:color="CFF0FC"/>
            </w:tcBorders>
          </w:tcPr>
          <w:p>
            <w:pPr>
              <w:spacing w:after="0"/>
              <w:rPr>
                <w:sz w:val="19"/>
                <w:szCs w:val="19"/>
                <w:color w:val="auto"/>
              </w:rPr>
            </w:pPr>
          </w:p>
        </w:tc>
      </w:tr>
      <w:tr>
        <w:trPr>
          <w:trHeight w:val="221"/>
        </w:trPr>
        <w:tc>
          <w:tcPr>
            <w:tcW w:w="860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Purchase consideration</w:t>
            </w:r>
          </w:p>
        </w:tc>
        <w:tc>
          <w:tcPr>
            <w:tcW w:w="520" w:type="dxa"/>
            <w:vAlign w:val="bottom"/>
            <w:tcBorders>
              <w:bottom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927,333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right="20" w:firstLine="555"/>
        <w:spacing w:after="0" w:line="259" w:lineRule="auto"/>
        <w:rPr>
          <w:sz w:val="20"/>
          <w:szCs w:val="20"/>
          <w:color w:val="auto"/>
        </w:rPr>
      </w:pPr>
      <w:r>
        <w:rPr>
          <w:rFonts w:ascii="Arial" w:cs="Arial" w:eastAsia="Arial" w:hAnsi="Arial"/>
          <w:sz w:val="18"/>
          <w:szCs w:val="18"/>
          <w:color w:val="auto"/>
        </w:rPr>
        <w:t>The fair values are based on management’s analysis including work performed by third party valuation specialists. The following table summarizes the final allocation of the purchase consideration to the identifiable assets acquired and liabilities assumed of Tropicana, with the excess recorded as goodwill as of December 31, 2019 (dollars in thousands):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227"/>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Current and other assets</w:t>
            </w: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178,581</w:t>
            </w:r>
          </w:p>
        </w:tc>
        <w:tc>
          <w:tcPr>
            <w:tcW w:w="100" w:type="dxa"/>
            <w:vAlign w:val="bottom"/>
            <w:shd w:val="clear" w:color="auto" w:fill="CFF0FC"/>
          </w:tcPr>
          <w:p>
            <w:pPr>
              <w:spacing w:after="0"/>
              <w:rPr>
                <w:sz w:val="19"/>
                <w:szCs w:val="19"/>
                <w:color w:val="auto"/>
              </w:rPr>
            </w:pPr>
          </w:p>
        </w:tc>
      </w:tr>
      <w:tr>
        <w:trPr>
          <w:trHeight w:val="227"/>
        </w:trPr>
        <w:tc>
          <w:tcPr>
            <w:tcW w:w="86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436,416</w:t>
            </w:r>
          </w:p>
        </w:tc>
        <w:tc>
          <w:tcPr>
            <w:tcW w:w="100" w:type="dxa"/>
            <w:vAlign w:val="bottom"/>
          </w:tcPr>
          <w:p>
            <w:pPr>
              <w:spacing w:after="0"/>
              <w:rPr>
                <w:sz w:val="19"/>
                <w:szCs w:val="19"/>
                <w:color w:val="auto"/>
              </w:rPr>
            </w:pPr>
          </w:p>
        </w:tc>
      </w:tr>
      <w:tr>
        <w:trPr>
          <w:trHeight w:val="228"/>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Property subject to the financing obligation</w:t>
            </w: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957,300</w:t>
            </w:r>
          </w:p>
        </w:tc>
        <w:tc>
          <w:tcPr>
            <w:tcW w:w="100" w:type="dxa"/>
            <w:vAlign w:val="bottom"/>
            <w:shd w:val="clear" w:color="auto" w:fill="CFF0FC"/>
          </w:tcPr>
          <w:p>
            <w:pPr>
              <w:spacing w:after="0"/>
              <w:rPr>
                <w:sz w:val="19"/>
                <w:szCs w:val="19"/>
                <w:color w:val="auto"/>
              </w:rPr>
            </w:pPr>
          </w:p>
        </w:tc>
      </w:tr>
      <w:tr>
        <w:trPr>
          <w:trHeight w:val="227"/>
        </w:trPr>
        <w:tc>
          <w:tcPr>
            <w:tcW w:w="8600" w:type="dxa"/>
            <w:vAlign w:val="bottom"/>
          </w:tcPr>
          <w:p>
            <w:pPr>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211,232</w:t>
            </w:r>
          </w:p>
        </w:tc>
        <w:tc>
          <w:tcPr>
            <w:tcW w:w="100" w:type="dxa"/>
            <w:vAlign w:val="bottom"/>
          </w:tcPr>
          <w:p>
            <w:pPr>
              <w:spacing w:after="0"/>
              <w:rPr>
                <w:sz w:val="19"/>
                <w:szCs w:val="19"/>
                <w:color w:val="auto"/>
              </w:rPr>
            </w:pPr>
          </w:p>
        </w:tc>
      </w:tr>
      <w:tr>
        <w:trPr>
          <w:trHeight w:val="228"/>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(i)</w:t>
            </w: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247,976</w:t>
            </w:r>
          </w:p>
        </w:tc>
        <w:tc>
          <w:tcPr>
            <w:tcW w:w="100" w:type="dxa"/>
            <w:vAlign w:val="bottom"/>
            <w:shd w:val="clear" w:color="auto" w:fill="CFF0FC"/>
          </w:tcPr>
          <w:p>
            <w:pPr>
              <w:spacing w:after="0"/>
              <w:rPr>
                <w:sz w:val="19"/>
                <w:szCs w:val="19"/>
                <w:color w:val="auto"/>
              </w:rPr>
            </w:pPr>
          </w:p>
        </w:tc>
      </w:tr>
      <w:tr>
        <w:trPr>
          <w:trHeight w:val="227"/>
        </w:trPr>
        <w:tc>
          <w:tcPr>
            <w:tcW w:w="8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54,570</w:t>
            </w:r>
          </w:p>
        </w:tc>
        <w:tc>
          <w:tcPr>
            <w:tcW w:w="100" w:type="dxa"/>
            <w:vAlign w:val="bottom"/>
            <w:tcBorders>
              <w:bottom w:val="single" w:sz="8" w:color="CFF0FC"/>
            </w:tcBorders>
          </w:tcPr>
          <w:p>
            <w:pPr>
              <w:spacing w:after="0"/>
              <w:rPr>
                <w:sz w:val="19"/>
                <w:szCs w:val="19"/>
                <w:color w:val="auto"/>
              </w:rPr>
            </w:pPr>
          </w:p>
        </w:tc>
      </w:tr>
      <w:tr>
        <w:trPr>
          <w:trHeight w:val="221"/>
        </w:trPr>
        <w:tc>
          <w:tcPr>
            <w:tcW w:w="8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2,086,075</w:t>
            </w:r>
          </w:p>
        </w:tc>
        <w:tc>
          <w:tcPr>
            <w:tcW w:w="100" w:type="dxa"/>
            <w:vAlign w:val="bottom"/>
            <w:shd w:val="clear" w:color="auto" w:fill="CFF0FC"/>
          </w:tcPr>
          <w:p>
            <w:pPr>
              <w:spacing w:after="0"/>
              <w:rPr>
                <w:sz w:val="19"/>
                <w:szCs w:val="19"/>
                <w:color w:val="auto"/>
              </w:rPr>
            </w:pPr>
          </w:p>
        </w:tc>
      </w:tr>
      <w:tr>
        <w:trPr>
          <w:trHeight w:val="227"/>
        </w:trPr>
        <w:tc>
          <w:tcPr>
            <w:tcW w:w="8600" w:type="dxa"/>
            <w:vAlign w:val="bottom"/>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(174,847)</w:t>
            </w:r>
          </w:p>
        </w:tc>
      </w:tr>
      <w:tr>
        <w:trPr>
          <w:trHeight w:val="228"/>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Financing obligation to GLPI</w:t>
            </w:r>
          </w:p>
        </w:tc>
        <w:tc>
          <w:tcPr>
            <w:tcW w:w="4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(957,300)</w:t>
            </w:r>
          </w:p>
        </w:tc>
      </w:tr>
      <w:tr>
        <w:trPr>
          <w:trHeight w:val="227"/>
        </w:trPr>
        <w:tc>
          <w:tcPr>
            <w:tcW w:w="86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4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(26,595)</w:t>
            </w:r>
          </w:p>
        </w:tc>
      </w:tr>
      <w:tr>
        <w:trPr>
          <w:trHeight w:val="221"/>
        </w:trPr>
        <w:tc>
          <w:tcPr>
            <w:tcW w:w="86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(1,158,742)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1"/>
        </w:trPr>
        <w:tc>
          <w:tcPr>
            <w:tcW w:w="8600" w:type="dxa"/>
            <w:vAlign w:val="bottom"/>
          </w:tcPr>
          <w:p>
            <w:pPr>
              <w:spacing w:after="0"/>
              <w:rPr>
                <w:sz w:val="20"/>
                <w:szCs w:val="20"/>
                <w:color w:val="auto"/>
              </w:rPr>
            </w:pPr>
            <w:r>
              <w:rPr>
                <w:rFonts w:ascii="Arial" w:cs="Arial" w:eastAsia="Arial" w:hAnsi="Arial"/>
                <w:sz w:val="18"/>
                <w:szCs w:val="18"/>
                <w:color w:val="auto"/>
              </w:rPr>
              <w:t>Net assets acquired</w:t>
            </w: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927,333</w:t>
            </w:r>
          </w:p>
        </w:tc>
        <w:tc>
          <w:tcPr>
            <w:tcW w:w="100" w:type="dxa"/>
            <w:vAlign w:val="bottom"/>
          </w:tcPr>
          <w:p>
            <w:pPr>
              <w:spacing w:after="0"/>
              <w:rPr>
                <w:sz w:val="19"/>
                <w:szCs w:val="19"/>
                <w:color w:val="auto"/>
              </w:rPr>
            </w:pPr>
          </w:p>
        </w:tc>
      </w:tr>
      <w:tr>
        <w:trPr>
          <w:trHeight w:val="20"/>
        </w:trPr>
        <w:tc>
          <w:tcPr>
            <w:tcW w:w="8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ind w:left="560" w:right="120" w:hanging="553"/>
        <w:spacing w:after="0" w:line="271" w:lineRule="auto"/>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Intangible assets consist of gaming licenses valued at $124.9 million, trade names valued at $67.1 million and player loyalty programs valued at $55.9 million.</w:t>
      </w:r>
    </w:p>
    <w:p>
      <w:pPr>
        <w:spacing w:after="0" w:line="215" w:lineRule="exact"/>
        <w:rPr>
          <w:sz w:val="20"/>
          <w:szCs w:val="20"/>
          <w:color w:val="auto"/>
        </w:rPr>
      </w:pPr>
    </w:p>
    <w:p>
      <w:pPr>
        <w:ind w:right="120" w:firstLine="555"/>
        <w:spacing w:after="0" w:line="255" w:lineRule="auto"/>
        <w:rPr>
          <w:sz w:val="20"/>
          <w:szCs w:val="20"/>
          <w:color w:val="auto"/>
        </w:rPr>
      </w:pPr>
      <w:r>
        <w:rPr>
          <w:rFonts w:ascii="Arial" w:cs="Arial" w:eastAsia="Arial" w:hAnsi="Arial"/>
          <w:sz w:val="18"/>
          <w:szCs w:val="18"/>
          <w:color w:val="auto"/>
        </w:rPr>
        <w:t>As of September 30, 2019, the Company finalized its valuation procedures and adjusted the Tropicana preliminary purchase price accounting, as disclosed in the Annual Report on Form 10-K for the year ended December 31, 2018, to their final values. The net impact of these changes was a $9.3 million decrease to goodwill. Changes included a $16.3 million increase to other noncurrent assets primarily related to certain long-term receivables offset by $7.0 million of other changes to liabilities.</w:t>
      </w:r>
    </w:p>
    <w:p>
      <w:pPr>
        <w:spacing w:after="0" w:line="191" w:lineRule="exact"/>
        <w:rPr>
          <w:sz w:val="20"/>
          <w:szCs w:val="20"/>
          <w:color w:val="auto"/>
        </w:rPr>
      </w:pPr>
    </w:p>
    <w:p>
      <w:pPr>
        <w:ind w:right="100" w:firstLine="555"/>
        <w:spacing w:after="0" w:line="271" w:lineRule="auto"/>
        <w:rPr>
          <w:sz w:val="20"/>
          <w:szCs w:val="20"/>
          <w:color w:val="auto"/>
        </w:rPr>
      </w:pPr>
      <w:r>
        <w:rPr>
          <w:rFonts w:ascii="Arial" w:cs="Arial" w:eastAsia="Arial" w:hAnsi="Arial"/>
          <w:sz w:val="18"/>
          <w:szCs w:val="18"/>
          <w:color w:val="auto"/>
        </w:rPr>
        <w:t>Valuation methodologies under both a market and income approach used for the identifiable net assets acquired in the Tropicana Acquisition make use of Level 3 inputs including discounted cash flows.</w:t>
      </w:r>
    </w:p>
    <w:p>
      <w:pPr>
        <w:spacing w:after="0" w:line="175" w:lineRule="exact"/>
        <w:rPr>
          <w:sz w:val="20"/>
          <w:szCs w:val="20"/>
          <w:color w:val="auto"/>
        </w:rPr>
      </w:pPr>
    </w:p>
    <w:p>
      <w:pPr>
        <w:ind w:right="240" w:firstLine="555"/>
        <w:spacing w:after="0" w:line="271" w:lineRule="auto"/>
        <w:rPr>
          <w:sz w:val="20"/>
          <w:szCs w:val="20"/>
          <w:color w:val="auto"/>
        </w:rPr>
      </w:pPr>
      <w:r>
        <w:rPr>
          <w:rFonts w:ascii="Arial" w:cs="Arial" w:eastAsia="Arial" w:hAnsi="Arial"/>
          <w:sz w:val="18"/>
          <w:szCs w:val="18"/>
          <w:color w:val="auto"/>
        </w:rPr>
        <w:t>Trade receivables and payables, inventories and other current and noncurrent assets and liabilities were valued at the existing carrying values as they represented the estimated fair value of those items at the Tropicana Acquisition date.</w:t>
      </w:r>
    </w:p>
    <w:p>
      <w:pPr>
        <w:spacing w:after="0" w:line="175" w:lineRule="exact"/>
        <w:rPr>
          <w:sz w:val="20"/>
          <w:szCs w:val="20"/>
          <w:color w:val="auto"/>
        </w:rPr>
      </w:pPr>
    </w:p>
    <w:p>
      <w:pPr>
        <w:ind w:firstLine="555"/>
        <w:spacing w:after="0" w:line="284" w:lineRule="auto"/>
        <w:rPr>
          <w:sz w:val="20"/>
          <w:szCs w:val="20"/>
          <w:color w:val="auto"/>
        </w:rPr>
      </w:pPr>
      <w:r>
        <w:rPr>
          <w:rFonts w:ascii="Arial" w:cs="Arial" w:eastAsia="Arial" w:hAnsi="Arial"/>
          <w:sz w:val="16"/>
          <w:szCs w:val="16"/>
          <w:color w:val="auto"/>
        </w:rPr>
        <w:t>The fair value of land (excluding the real property acquired by GLPI) was determined using the market approach, which arrives at an indication of value by comparing the site being valued to sites that have been recently acquired in arm’s-length transactions. The market data is then adjusted for any significant differences, to the extent known, between the identified comparable sites and the site being valued. Building and site improvements were valued under the cost approach using a direct cost model built on estimates of replacement cost. Personal property assets with an active and identifiable secondary market such as riverboats, gaming equipment, computer equipment and vehicles were valued using the market approach. Other personal property assets such as furniture, fixtures, computer software, and restaurant equipment were valued using the cost approach which is based on replacement or reproduction costs of the asset. The cost approach is an estimation of fair value developed by computing the current cost of replacing a property and subtracting any depreciation resulting from one or more of the following factors: physical deterioration, functional obsolescence, and/or economic obsolescence. The income approach incorporates all tangible and intangible property and served as a ceiling for the fair values of the acquired assets of the ongoing business enterprise, while still taking into account the premise of highest and best use. In the instance where the business enterprise value developed via the income approach was exceeded by the initial fair values of the underlying assets, an adjustment to reflect economic obsolescence was made to the tangible assets on a pro rata basis to reflect the contributory value of each individual asset to the enterprise as a whole.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6">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107" w:name="page108"/>
    <w:bookmarkEnd w:id="107"/>
    <w:p>
      <w:pPr>
        <w:ind w:firstLine="555"/>
        <w:spacing w:after="0" w:line="252" w:lineRule="auto"/>
        <w:rPr>
          <w:sz w:val="20"/>
          <w:szCs w:val="20"/>
          <w:color w:val="auto"/>
        </w:rPr>
      </w:pPr>
      <w:r>
        <w:rPr>
          <w:rFonts w:ascii="Arial" w:cs="Arial" w:eastAsia="Arial" w:hAnsi="Arial"/>
          <w:sz w:val="18"/>
          <w:szCs w:val="18"/>
          <w:color w:val="auto"/>
        </w:rPr>
        <w:t>The real estate assets that were sold to GLPI and leased back by the Company were adjusted to fair value concurrently with the acquisition of Tropicana. The fair value of the properties was determined utilizing the direct capitalization method of the income approach. In allocating the fair value to the underlying acquired assets, a fair value for the buildings and improvements was determined using the above mentioned cost approach method. To determine the underlying land value, the extraction method was applied wherein the fair value of the building and improvements was deducted from the fair value of the property as derived from the direct capitalization approach to determine the fair value of the land. The fair value of GLPI’s real estate assets was determined to be $957.3 million.</w:t>
      </w:r>
    </w:p>
    <w:p>
      <w:pPr>
        <w:spacing w:after="0" w:line="195"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The fair value of the gaming licenses was determined using the multi period excess earnings or replacement cost methodology, based on whether the license resides in gaming jurisdictions where competition is limited to a specified number of licensed gaming operators. The excess earnings methodology is an income approach methodology that estimates the projected cash flows of the business attributable to the gaming license intangible asset, which is net of charges for the use of other identifiable assets of the business including working capital, fixed assets and other intangible assets. Under the respective state’s gaming legislation, the property specific licenses can only be acquired if a theoretical buyer were to acquire each existing facility. The existing licenses could not be acquired and used for a different facility. The properties’ estimated future cash flows were the primary assumption in the respective valuations. Cash flow estimates included net gaming revenue, gaming operating expenses, general and administrative expenses, and tax expense. The replacement cost methodology is a cost approach methodology based on replacement or reproduction cost of the gaming license as an indicator of fair value.</w:t>
      </w:r>
    </w:p>
    <w:p>
      <w:pPr>
        <w:spacing w:after="0" w:line="167" w:lineRule="exact"/>
        <w:rPr>
          <w:sz w:val="20"/>
          <w:szCs w:val="20"/>
          <w:color w:val="auto"/>
        </w:rPr>
      </w:pPr>
    </w:p>
    <w:p>
      <w:pPr>
        <w:ind w:firstLine="555"/>
        <w:spacing w:after="0" w:line="267" w:lineRule="auto"/>
        <w:rPr>
          <w:sz w:val="20"/>
          <w:szCs w:val="20"/>
          <w:color w:val="auto"/>
        </w:rPr>
      </w:pPr>
      <w:r>
        <w:rPr>
          <w:rFonts w:ascii="Arial" w:cs="Arial" w:eastAsia="Arial" w:hAnsi="Arial"/>
          <w:sz w:val="17"/>
          <w:szCs w:val="17"/>
          <w:color w:val="auto"/>
        </w:rPr>
        <w:t>The Company has assigned an indefinite useful life to the gaming licenses. The Company considered, among other things, the expected use of the asset, the expected useful life of other related assets or asset groups, any legal, regulatory, or contractual provisions that may limit the useful life, the Company’s own historical experience in renewing similar arrangements, the effects of obsolescence, demand and other economic factors, and the maintenance expenditures required to obtain the expected cash flows. The Company determined that no legal, regulatory, contractual, competitive, economic or other factors limit the useful lives of these intangible assets. Tropicana had licenses in New Jersey, Missouri, Mississippi, Nevada, Indiana, and Louisiana. The renewal of each state’s gaming license depends on a number of factors, including payment of certain fees and taxes, providing certain information to the state’s gaming regulator, and meeting certain inspection requirements. However, the Company’s historical experience has not indicated, nor does the Company expect, any limitations regarding its ability to continue to renew each license. No other competitive, contractual, or economic factor limits the useful lives of these assets. Accordingly, the Company has concluded that the useful lives of these licenses are indefinite.</w:t>
      </w:r>
    </w:p>
    <w:p>
      <w:pPr>
        <w:spacing w:after="0" w:line="184" w:lineRule="exact"/>
        <w:rPr>
          <w:sz w:val="20"/>
          <w:szCs w:val="20"/>
          <w:color w:val="auto"/>
        </w:rPr>
      </w:pPr>
    </w:p>
    <w:p>
      <w:pPr>
        <w:ind w:right="20" w:firstLine="555"/>
        <w:spacing w:after="0" w:line="268" w:lineRule="auto"/>
        <w:rPr>
          <w:sz w:val="20"/>
          <w:szCs w:val="20"/>
          <w:color w:val="auto"/>
        </w:rPr>
      </w:pPr>
      <w:r>
        <w:rPr>
          <w:rFonts w:ascii="Arial" w:cs="Arial" w:eastAsia="Arial" w:hAnsi="Arial"/>
          <w:sz w:val="17"/>
          <w:szCs w:val="17"/>
          <w:color w:val="auto"/>
        </w:rPr>
        <w:t>Trade names were valued using the relief from royalty method, which presumes that without ownership of such trademarks, the Company would have to make a stream of payments to a brand or franchise owner in return for the right to use their name. By virtue of this asset, the Company avoids any such payments and records the related intangible value of the Company’s ownership of the brand name. The primary assumptions in the valuation included revenue, pre-tax royalty rate, and tax expense. The Company has assigned an indefinite useful life to the trade names after considering, among other things, the expected use of the asset, the expected useful life of other related assets or asset groups, any legal, regulatory, or contractual provisions that may limit the useful life, the Company’s own historical experience in renewing similar arrangements, the effects of obsolescence, demand and other economic factors, and the maintenance expenditures required to obtain the expected cash flows. In that analysis, the Company determined that no legal, regulatory, contractual, competitive, economic or other factors limit the useful lives of these intangible assets.</w:t>
      </w:r>
    </w:p>
    <w:p>
      <w:pPr>
        <w:spacing w:after="0" w:line="181" w:lineRule="exact"/>
        <w:rPr>
          <w:sz w:val="20"/>
          <w:szCs w:val="20"/>
          <w:color w:val="auto"/>
        </w:rPr>
      </w:pPr>
    </w:p>
    <w:p>
      <w:pPr>
        <w:ind w:right="40" w:firstLine="555"/>
        <w:spacing w:after="0" w:line="254" w:lineRule="auto"/>
        <w:rPr>
          <w:sz w:val="20"/>
          <w:szCs w:val="20"/>
          <w:color w:val="auto"/>
        </w:rPr>
      </w:pPr>
      <w:r>
        <w:rPr>
          <w:rFonts w:ascii="Arial" w:cs="Arial" w:eastAsia="Arial" w:hAnsi="Arial"/>
          <w:sz w:val="18"/>
          <w:szCs w:val="18"/>
          <w:color w:val="auto"/>
        </w:rPr>
        <w:t>Player loyalty programs were valued using the cost approach and the incremental cash flow method under the income approach. The incremental cash flow method is used to estimate the fair value of an intangible asset based on a residual cash flow notion. This method measures the benefits (e.g., cash flows) derived from ownership of an acquired intangible asset as if it were in place, as compared to the acquirer’s expected cash flows as if the intangible asset were not in place (i.e., with-and-without). The residual or net cash flows of the two models is ascribable to the intangible asset. The Company has estimated a 3-year useful life on the player loyalty programs.</w:t>
      </w:r>
    </w:p>
    <w:p>
      <w:pPr>
        <w:spacing w:after="0" w:line="189" w:lineRule="exact"/>
        <w:rPr>
          <w:sz w:val="20"/>
          <w:szCs w:val="20"/>
          <w:color w:val="auto"/>
        </w:rPr>
      </w:pPr>
    </w:p>
    <w:p>
      <w:pPr>
        <w:ind w:right="60" w:firstLine="555"/>
        <w:spacing w:after="0" w:line="271" w:lineRule="auto"/>
        <w:rPr>
          <w:sz w:val="20"/>
          <w:szCs w:val="20"/>
          <w:color w:val="auto"/>
        </w:rPr>
      </w:pPr>
      <w:r>
        <w:rPr>
          <w:rFonts w:ascii="Arial" w:cs="Arial" w:eastAsia="Arial" w:hAnsi="Arial"/>
          <w:sz w:val="18"/>
          <w:szCs w:val="18"/>
          <w:color w:val="auto"/>
        </w:rPr>
        <w:t>Goodwill is the result of expected synergies from combining operations of the acquired and acquirer. The goodwill acquired is fully amortizable for tax purposes.</w:t>
      </w:r>
    </w:p>
    <w:p>
      <w:pPr>
        <w:spacing w:after="0" w:line="175" w:lineRule="exact"/>
        <w:rPr>
          <w:sz w:val="20"/>
          <w:szCs w:val="20"/>
          <w:color w:val="auto"/>
        </w:rPr>
      </w:pPr>
    </w:p>
    <w:p>
      <w:pPr>
        <w:ind w:right="60" w:firstLine="555"/>
        <w:spacing w:after="0" w:line="271" w:lineRule="auto"/>
        <w:rPr>
          <w:sz w:val="20"/>
          <w:szCs w:val="20"/>
          <w:color w:val="auto"/>
        </w:rPr>
      </w:pPr>
      <w:r>
        <w:rPr>
          <w:rFonts w:ascii="Arial" w:cs="Arial" w:eastAsia="Arial" w:hAnsi="Arial"/>
          <w:sz w:val="18"/>
          <w:szCs w:val="18"/>
          <w:color w:val="auto"/>
        </w:rPr>
        <w:t>For the period from the Tropicana acquisition date of October 1, 2018 through December 31, 2018, Tropicana generated net revenues of $205.1 million and net loss of $8.7 million.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7">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i w:val="1"/>
          <w:iCs w:val="1"/>
          <w:color w:val="auto"/>
        </w:rPr>
        <w:t>Elgin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Final Purchase Price Accounting</w:t>
      </w:r>
    </w:p>
    <w:p>
      <w:pPr>
        <w:spacing w:after="0" w:line="114" w:lineRule="exact"/>
        <w:rPr>
          <w:sz w:val="20"/>
          <w:szCs w:val="20"/>
          <w:color w:val="auto"/>
        </w:rPr>
      </w:pPr>
    </w:p>
    <w:p>
      <w:pPr>
        <w:ind w:firstLine="555"/>
        <w:spacing w:after="0" w:line="282" w:lineRule="auto"/>
        <w:rPr>
          <w:sz w:val="20"/>
          <w:szCs w:val="20"/>
          <w:color w:val="auto"/>
        </w:rPr>
      </w:pPr>
      <w:r>
        <w:rPr>
          <w:rFonts w:ascii="Arial" w:cs="Arial" w:eastAsia="Arial" w:hAnsi="Arial"/>
          <w:sz w:val="17"/>
          <w:szCs w:val="17"/>
          <w:color w:val="auto"/>
        </w:rPr>
        <w:t>On August 7, 2018, the Company completed its acquisition of one hundred percent of the partnership interests in Elgin. As a result of the Elgin Acquisition, Elgin became an indirect wholly-owned subsidiary of the Company. The Company purchased Elgin for $327.5 million plus a $1.3 million working capital adjustment. The Elgin Acquisition was financed using cash on hand and borrowings under the Company’s revolving credit facility.</w:t>
      </w:r>
    </w:p>
    <w:p>
      <w:pPr>
        <w:spacing w:after="0" w:line="167" w:lineRule="exact"/>
        <w:rPr>
          <w:sz w:val="20"/>
          <w:szCs w:val="20"/>
          <w:color w:val="auto"/>
        </w:rPr>
      </w:pPr>
    </w:p>
    <w:p>
      <w:pPr>
        <w:ind w:right="860" w:firstLine="555"/>
        <w:spacing w:after="0" w:line="271" w:lineRule="auto"/>
        <w:rPr>
          <w:sz w:val="20"/>
          <w:szCs w:val="20"/>
          <w:color w:val="auto"/>
        </w:rPr>
      </w:pPr>
      <w:r>
        <w:rPr>
          <w:rFonts w:ascii="Arial" w:cs="Arial" w:eastAsia="Arial" w:hAnsi="Arial"/>
          <w:sz w:val="18"/>
          <w:szCs w:val="18"/>
          <w:color w:val="auto"/>
        </w:rPr>
        <w:t>Transaction expenses related to the Elgin Acquisition totaled $0.2 million and $3.9 million for the year ended December 31, 2019 and 2018, respectively.</w:t>
      </w:r>
    </w:p>
    <w:p>
      <w:pPr>
        <w:spacing w:after="0" w:line="175" w:lineRule="exact"/>
        <w:rPr>
          <w:sz w:val="20"/>
          <w:szCs w:val="20"/>
          <w:color w:val="auto"/>
        </w:rPr>
      </w:pPr>
    </w:p>
    <w:p>
      <w:pPr>
        <w:ind w:right="440" w:firstLine="555"/>
        <w:spacing w:after="0" w:line="271" w:lineRule="auto"/>
        <w:rPr>
          <w:sz w:val="20"/>
          <w:szCs w:val="20"/>
          <w:color w:val="auto"/>
        </w:rPr>
      </w:pPr>
      <w:r>
        <w:rPr>
          <w:rFonts w:ascii="Arial" w:cs="Arial" w:eastAsia="Arial" w:hAnsi="Arial"/>
          <w:sz w:val="18"/>
          <w:szCs w:val="18"/>
          <w:color w:val="auto"/>
        </w:rPr>
        <w:t>The total purchase consideration for the Elgin Acquisition was $328.8 million. The purchase consideration in the acquisition was determined with reference to its acquisition date fair value.</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8600" w:type="dxa"/>
            <w:vAlign w:val="bottom"/>
            <w:gridSpan w:val="2"/>
          </w:tcPr>
          <w:p>
            <w:pPr>
              <w:spacing w:after="0"/>
              <w:rPr>
                <w:sz w:val="20"/>
                <w:szCs w:val="20"/>
                <w:color w:val="auto"/>
              </w:rPr>
            </w:pPr>
            <w:r>
              <w:rPr>
                <w:rFonts w:ascii="Arial" w:cs="Arial" w:eastAsia="Arial" w:hAnsi="Arial"/>
                <w:sz w:val="14"/>
                <w:szCs w:val="14"/>
                <w:b w:val="1"/>
                <w:bCs w:val="1"/>
                <w:color w:val="auto"/>
              </w:rPr>
              <w:t>Purchase consideration calculation (dollars in thousands)</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1"/>
        </w:trPr>
        <w:tc>
          <w:tcPr>
            <w:tcW w:w="8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consideration paid</w:t>
            </w: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CFF0FC"/>
            </w:tcBorders>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327,500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86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Working capital and other adjustments</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FF0FC"/>
            </w:tcBorders>
          </w:tcPr>
          <w:p>
            <w:pPr>
              <w:spacing w:after="0"/>
              <w:rPr>
                <w:sz w:val="19"/>
                <w:szCs w:val="19"/>
                <w:color w:val="auto"/>
              </w:rPr>
            </w:pPr>
          </w:p>
        </w:tc>
      </w:tr>
      <w:tr>
        <w:trPr>
          <w:trHeight w:val="221"/>
        </w:trPr>
        <w:tc>
          <w:tcPr>
            <w:tcW w:w="860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Purchase consideration</w:t>
            </w:r>
          </w:p>
        </w:tc>
        <w:tc>
          <w:tcPr>
            <w:tcW w:w="520" w:type="dxa"/>
            <w:vAlign w:val="bottom"/>
            <w:tcBorders>
              <w:bottom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328,804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ind w:right="180" w:firstLine="555"/>
        <w:spacing w:after="0" w:line="275" w:lineRule="auto"/>
        <w:rPr>
          <w:sz w:val="20"/>
          <w:szCs w:val="20"/>
          <w:color w:val="auto"/>
        </w:rPr>
      </w:pPr>
      <w:r>
        <w:rPr>
          <w:rFonts w:ascii="Arial" w:cs="Arial" w:eastAsia="Arial" w:hAnsi="Arial"/>
          <w:sz w:val="17"/>
          <w:szCs w:val="17"/>
          <w:color w:val="auto"/>
        </w:rPr>
        <w:t>The fair values are based on management’s analysis including work performed by third party valuation specialists. As of September 30, 2019, the Company finalized its valuation procedures and no changes were recorded to the acquisition date fair values as disclosed in the Annual Report on Form 10-K for the year ended December 31, 2018. The following table summarizes the allocation of the purchase consideration to the identifiable assets acquired and liabilities assumed of Elgin, with the excess recorded as goodwill as of December 31, 2019 (dollars in thousands):</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27"/>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Current and other</w:t>
            </w:r>
          </w:p>
        </w:tc>
        <w:tc>
          <w:tcPr>
            <w:tcW w:w="52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25,349</w:t>
            </w:r>
          </w:p>
        </w:tc>
        <w:tc>
          <w:tcPr>
            <w:tcW w:w="100" w:type="dxa"/>
            <w:vAlign w:val="bottom"/>
            <w:shd w:val="clear" w:color="auto" w:fill="CFF0FC"/>
          </w:tcPr>
          <w:p>
            <w:pPr>
              <w:spacing w:after="0"/>
              <w:rPr>
                <w:sz w:val="19"/>
                <w:szCs w:val="19"/>
                <w:color w:val="auto"/>
              </w:rPr>
            </w:pPr>
          </w:p>
        </w:tc>
      </w:tr>
      <w:tr>
        <w:trPr>
          <w:trHeight w:val="227"/>
        </w:trPr>
        <w:tc>
          <w:tcPr>
            <w:tcW w:w="86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60,792</w:t>
            </w:r>
          </w:p>
        </w:tc>
        <w:tc>
          <w:tcPr>
            <w:tcW w:w="100" w:type="dxa"/>
            <w:vAlign w:val="bottom"/>
          </w:tcPr>
          <w:p>
            <w:pPr>
              <w:spacing w:after="0"/>
              <w:rPr>
                <w:sz w:val="19"/>
                <w:szCs w:val="19"/>
                <w:color w:val="auto"/>
              </w:rPr>
            </w:pPr>
          </w:p>
        </w:tc>
      </w:tr>
      <w:tr>
        <w:trPr>
          <w:trHeight w:val="228"/>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59,774</w:t>
            </w:r>
          </w:p>
        </w:tc>
        <w:tc>
          <w:tcPr>
            <w:tcW w:w="100" w:type="dxa"/>
            <w:vAlign w:val="bottom"/>
            <w:shd w:val="clear" w:color="auto" w:fill="CFF0FC"/>
          </w:tcPr>
          <w:p>
            <w:pPr>
              <w:spacing w:after="0"/>
              <w:rPr>
                <w:sz w:val="19"/>
                <w:szCs w:val="19"/>
                <w:color w:val="auto"/>
              </w:rPr>
            </w:pPr>
          </w:p>
        </w:tc>
      </w:tr>
      <w:tr>
        <w:trPr>
          <w:trHeight w:val="227"/>
        </w:trPr>
        <w:tc>
          <w:tcPr>
            <w:tcW w:w="8600" w:type="dxa"/>
            <w:vAlign w:val="bottom"/>
          </w:tcPr>
          <w:p>
            <w:pPr>
              <w:spacing w:after="0"/>
              <w:rPr>
                <w:sz w:val="20"/>
                <w:szCs w:val="20"/>
                <w:color w:val="auto"/>
              </w:rPr>
            </w:pPr>
            <w:r>
              <w:rPr>
                <w:rFonts w:ascii="Arial" w:cs="Arial" w:eastAsia="Arial" w:hAnsi="Arial"/>
                <w:sz w:val="18"/>
                <w:szCs w:val="18"/>
                <w:color w:val="auto"/>
              </w:rPr>
              <w:t>Intangible assets (i)</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205,296</w:t>
            </w:r>
          </w:p>
        </w:tc>
        <w:tc>
          <w:tcPr>
            <w:tcW w:w="100" w:type="dxa"/>
            <w:vAlign w:val="bottom"/>
          </w:tcPr>
          <w:p>
            <w:pPr>
              <w:spacing w:after="0"/>
              <w:rPr>
                <w:sz w:val="19"/>
                <w:szCs w:val="19"/>
                <w:color w:val="auto"/>
              </w:rPr>
            </w:pPr>
          </w:p>
        </w:tc>
      </w:tr>
      <w:tr>
        <w:trPr>
          <w:trHeight w:val="228"/>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5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FF0FC"/>
          </w:tcPr>
          <w:p>
            <w:pPr>
              <w:spacing w:after="0"/>
              <w:rPr>
                <w:sz w:val="19"/>
                <w:szCs w:val="19"/>
                <w:color w:val="auto"/>
              </w:rPr>
            </w:pPr>
          </w:p>
        </w:tc>
      </w:tr>
      <w:tr>
        <w:trPr>
          <w:trHeight w:val="220"/>
        </w:trPr>
        <w:tc>
          <w:tcPr>
            <w:tcW w:w="860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352,126</w:t>
            </w:r>
          </w:p>
        </w:tc>
        <w:tc>
          <w:tcPr>
            <w:tcW w:w="100" w:type="dxa"/>
            <w:vAlign w:val="bottom"/>
          </w:tcPr>
          <w:p>
            <w:pPr>
              <w:spacing w:after="0"/>
              <w:rPr>
                <w:sz w:val="19"/>
                <w:szCs w:val="19"/>
                <w:color w:val="auto"/>
              </w:rPr>
            </w:pPr>
          </w:p>
        </w:tc>
      </w:tr>
      <w:tr>
        <w:trPr>
          <w:trHeight w:val="228"/>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5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(21,572)</w:t>
            </w:r>
          </w:p>
        </w:tc>
      </w:tr>
      <w:tr>
        <w:trPr>
          <w:trHeight w:val="227"/>
        </w:trPr>
        <w:tc>
          <w:tcPr>
            <w:tcW w:w="86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5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(1,750)</w:t>
            </w:r>
          </w:p>
        </w:tc>
      </w:tr>
      <w:tr>
        <w:trPr>
          <w:trHeight w:val="221"/>
        </w:trPr>
        <w:tc>
          <w:tcPr>
            <w:tcW w:w="86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1"/>
        </w:trPr>
        <w:tc>
          <w:tcPr>
            <w:tcW w:w="8600" w:type="dxa"/>
            <w:vAlign w:val="bottom"/>
          </w:tcPr>
          <w:p>
            <w:pPr>
              <w:spacing w:after="0"/>
              <w:rPr>
                <w:sz w:val="20"/>
                <w:szCs w:val="20"/>
                <w:color w:val="auto"/>
              </w:rPr>
            </w:pPr>
            <w:r>
              <w:rPr>
                <w:rFonts w:ascii="Arial" w:cs="Arial" w:eastAsia="Arial" w:hAnsi="Arial"/>
                <w:sz w:val="18"/>
                <w:szCs w:val="18"/>
                <w:color w:val="auto"/>
              </w:rPr>
              <w:t>Net assets acquired</w:t>
            </w:r>
          </w:p>
        </w:tc>
        <w:tc>
          <w:tcPr>
            <w:tcW w:w="5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328,804</w:t>
            </w:r>
          </w:p>
        </w:tc>
        <w:tc>
          <w:tcPr>
            <w:tcW w:w="100" w:type="dxa"/>
            <w:vAlign w:val="bottom"/>
          </w:tcPr>
          <w:p>
            <w:pPr>
              <w:spacing w:after="0"/>
              <w:rPr>
                <w:sz w:val="19"/>
                <w:szCs w:val="19"/>
                <w:color w:val="auto"/>
              </w:rPr>
            </w:pPr>
          </w:p>
        </w:tc>
      </w:tr>
      <w:tr>
        <w:trPr>
          <w:trHeight w:val="20"/>
        </w:trPr>
        <w:tc>
          <w:tcPr>
            <w:tcW w:w="8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7" w:lineRule="exact"/>
        <w:rPr>
          <w:sz w:val="20"/>
          <w:szCs w:val="20"/>
          <w:color w:val="auto"/>
        </w:rPr>
      </w:pPr>
    </w:p>
    <w:p>
      <w:pPr>
        <w:ind w:left="560" w:right="140" w:hanging="553"/>
        <w:spacing w:after="0" w:line="271" w:lineRule="auto"/>
        <w:tabs>
          <w:tab w:leader="none" w:pos="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Intangible assets consist of gaming licenses valued at $163.9 million, trade names valued at $12.6 million and player loyalty programs valued at $28.8 million.</w:t>
      </w:r>
    </w:p>
    <w:p>
      <w:pPr>
        <w:spacing w:after="0" w:line="188" w:lineRule="exact"/>
        <w:rPr>
          <w:sz w:val="20"/>
          <w:szCs w:val="20"/>
          <w:color w:val="auto"/>
        </w:rPr>
      </w:pPr>
    </w:p>
    <w:p>
      <w:pPr>
        <w:ind w:right="240" w:firstLine="555"/>
        <w:spacing w:after="0" w:line="271" w:lineRule="auto"/>
        <w:rPr>
          <w:sz w:val="20"/>
          <w:szCs w:val="20"/>
          <w:color w:val="auto"/>
        </w:rPr>
      </w:pPr>
      <w:r>
        <w:rPr>
          <w:rFonts w:ascii="Arial" w:cs="Arial" w:eastAsia="Arial" w:hAnsi="Arial"/>
          <w:sz w:val="18"/>
          <w:szCs w:val="18"/>
          <w:color w:val="auto"/>
        </w:rPr>
        <w:t>Valuation methodologies under both a market and income approach used for the identifiable net assets acquired in the Elgin Acquisition made use of Level 3 inputs including discounted cash flows.</w:t>
      </w:r>
    </w:p>
    <w:p>
      <w:pPr>
        <w:spacing w:after="0" w:line="175" w:lineRule="exact"/>
        <w:rPr>
          <w:sz w:val="20"/>
          <w:szCs w:val="20"/>
          <w:color w:val="auto"/>
        </w:rPr>
      </w:pPr>
    </w:p>
    <w:p>
      <w:pPr>
        <w:ind w:right="260" w:firstLine="555"/>
        <w:spacing w:after="0" w:line="271" w:lineRule="auto"/>
        <w:rPr>
          <w:sz w:val="20"/>
          <w:szCs w:val="20"/>
          <w:color w:val="auto"/>
        </w:rPr>
      </w:pPr>
      <w:r>
        <w:rPr>
          <w:rFonts w:ascii="Arial" w:cs="Arial" w:eastAsia="Arial" w:hAnsi="Arial"/>
          <w:sz w:val="18"/>
          <w:szCs w:val="18"/>
          <w:color w:val="auto"/>
        </w:rPr>
        <w:t>Trade receivables and payables, inventories and other current and noncurrent assets and liabilities were valued at the existing carrying values as they represented the estimated fair value of those items at the Elgin Acquisition date.</w:t>
      </w:r>
    </w:p>
    <w:p>
      <w:pPr>
        <w:spacing w:after="0" w:line="175"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The fair value of land was determined using the market approach, which arrives at an indication of value by comparing the site being valued to sites that have been recently acquired in arm’s-length transactions. The market data is then adjusted for any significant differences, to the extent known, between the identified comparable sites and the site being valued. Building and site improvements were valued under the cost approach using a direct cost model built on estimates of replacement cost. Personal property assets with an active and identifiable secondary market such as riverboats, gaming equipment, computer equipment and vehicles were valued using the market approach. Other personal property assets such as furniture, fixtures, computer software, and restaurant equipment were valued using the cost approach which is based on replacement or reproduction costs of the asset.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8">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109" w:name="page110"/>
    <w:bookmarkEnd w:id="109"/>
    <w:p>
      <w:pPr>
        <w:ind w:right="160" w:firstLine="555"/>
        <w:spacing w:after="0" w:line="255" w:lineRule="auto"/>
        <w:rPr>
          <w:sz w:val="20"/>
          <w:szCs w:val="20"/>
          <w:color w:val="auto"/>
        </w:rPr>
      </w:pPr>
      <w:r>
        <w:rPr>
          <w:rFonts w:ascii="Arial" w:cs="Arial" w:eastAsia="Arial" w:hAnsi="Arial"/>
          <w:sz w:val="18"/>
          <w:szCs w:val="18"/>
          <w:color w:val="auto"/>
        </w:rPr>
        <w:t>The cost approach is an estimation of fair value developed by computing the current cost of replacing a property and subtracting any depreciation resulting from one or more of the following factors: physical deterioration, functional obsolescence, and/or economic obsolescence. The income approach incorporates all tangible and intangible property and served as a ceiling for the fair values of the acquired assets of the ongoing business enterprise, while still taking into account the premise of highest and best use.</w:t>
      </w:r>
    </w:p>
    <w:p>
      <w:pPr>
        <w:spacing w:after="0" w:line="191" w:lineRule="exact"/>
        <w:rPr>
          <w:sz w:val="20"/>
          <w:szCs w:val="20"/>
          <w:color w:val="auto"/>
        </w:rPr>
      </w:pPr>
    </w:p>
    <w:p>
      <w:pPr>
        <w:ind w:right="20" w:firstLine="555"/>
        <w:spacing w:after="0" w:line="286" w:lineRule="auto"/>
        <w:rPr>
          <w:sz w:val="20"/>
          <w:szCs w:val="20"/>
          <w:color w:val="auto"/>
        </w:rPr>
      </w:pPr>
      <w:r>
        <w:rPr>
          <w:rFonts w:ascii="Arial" w:cs="Arial" w:eastAsia="Arial" w:hAnsi="Arial"/>
          <w:sz w:val="16"/>
          <w:szCs w:val="16"/>
          <w:color w:val="auto"/>
        </w:rPr>
        <w:t>The Company has assigned an indefinite useful life to the gaming licenses. The fair value of the gaming license was determined using the multi period excess earnings method. The excess earnings methodology, which is an income approach methodology that allocates the projected cash flows of the business to the gaming license intangible assets less charges for the use of other identifiable assets of Elgin including working capital, fixed assets and other intangible assets. This methodology was considered appropriate as the gaming license is the primary asset of Elgin. The property’s estimated future cash flows were the primary assumption in the respective valuations. Cash flow estimates included net gaming revenue, gaming operating expenses, general and administrative expenses, and tax expense. The renewal of the gaming license depends on a number of factors, including payment of certain fees and taxes, providing certain information to the state’s gaming regulator, and meeting certain inspection requirements. However, the Company’s historical experience has not indicated, nor does the Company expect, any limitations regarding its ability to continue to renew the license. No other competitive, contractual, or economic factor limits the useful lives of this asset. Accordingly, the Company has concluded that the useful life of this license is indefinite.</w:t>
      </w:r>
    </w:p>
    <w:p>
      <w:pPr>
        <w:spacing w:after="0" w:line="168" w:lineRule="exact"/>
        <w:rPr>
          <w:sz w:val="20"/>
          <w:szCs w:val="20"/>
          <w:color w:val="auto"/>
        </w:rPr>
      </w:pPr>
    </w:p>
    <w:p>
      <w:pPr>
        <w:ind w:right="80" w:firstLine="555"/>
        <w:spacing w:after="0" w:line="254" w:lineRule="auto"/>
        <w:rPr>
          <w:sz w:val="20"/>
          <w:szCs w:val="20"/>
          <w:color w:val="auto"/>
        </w:rPr>
      </w:pPr>
      <w:r>
        <w:rPr>
          <w:rFonts w:ascii="Arial" w:cs="Arial" w:eastAsia="Arial" w:hAnsi="Arial"/>
          <w:sz w:val="18"/>
          <w:szCs w:val="18"/>
          <w:color w:val="auto"/>
        </w:rPr>
        <w:t>The player loyalty program was valued using the cost approach and the incremental cash flow method under the income approach. The incremental cash flow method is used to estimate the fair value of an intangible asset based on a residual cash flow notion. This method measures the benefits (e.g., cash flows) derived from ownership of an acquired intangible asset as if it were in place, as compared to the acquirer’s expected cash flows as if the intangible asset were not in place (i.e., with-and-without). The residual or net cash flows of the two models is ascribable to the intangible asset. The Company has estimated a 4-year useful life on the player loyalty programs.</w:t>
      </w:r>
    </w:p>
    <w:p>
      <w:pPr>
        <w:spacing w:after="0" w:line="189" w:lineRule="exact"/>
        <w:rPr>
          <w:sz w:val="20"/>
          <w:szCs w:val="20"/>
          <w:color w:val="auto"/>
        </w:rPr>
      </w:pPr>
    </w:p>
    <w:p>
      <w:pPr>
        <w:ind w:right="120" w:firstLine="555"/>
        <w:spacing w:after="0" w:line="216" w:lineRule="exact"/>
        <w:rPr>
          <w:sz w:val="20"/>
          <w:szCs w:val="20"/>
          <w:color w:val="auto"/>
        </w:rPr>
      </w:pPr>
      <w:r>
        <w:rPr>
          <w:rFonts w:ascii="Arial" w:cs="Arial" w:eastAsia="Arial" w:hAnsi="Arial"/>
          <w:sz w:val="18"/>
          <w:szCs w:val="18"/>
          <w:color w:val="auto"/>
        </w:rPr>
        <w:t>The trade name was valued using the relief</w:t>
      </w:r>
      <w:r>
        <w:rPr>
          <w:rFonts w:ascii="MS PGothic" w:cs="MS PGothic" w:eastAsia="MS PGothic" w:hAnsi="MS PGothic"/>
          <w:sz w:val="18"/>
          <w:szCs w:val="18"/>
          <w:color w:val="auto"/>
        </w:rPr>
        <w:t>‑</w:t>
      </w:r>
      <w:r>
        <w:rPr>
          <w:rFonts w:ascii="Arial" w:cs="Arial" w:eastAsia="Arial" w:hAnsi="Arial"/>
          <w:sz w:val="18"/>
          <w:szCs w:val="18"/>
          <w:color w:val="auto"/>
        </w:rPr>
        <w:t>from</w:t>
      </w:r>
      <w:r>
        <w:rPr>
          <w:rFonts w:ascii="MS PGothic" w:cs="MS PGothic" w:eastAsia="MS PGothic" w:hAnsi="MS PGothic"/>
          <w:sz w:val="18"/>
          <w:szCs w:val="18"/>
          <w:color w:val="auto"/>
        </w:rPr>
        <w:t>‑</w:t>
      </w:r>
      <w:r>
        <w:rPr>
          <w:rFonts w:ascii="Arial" w:cs="Arial" w:eastAsia="Arial" w:hAnsi="Arial"/>
          <w:sz w:val="18"/>
          <w:szCs w:val="18"/>
          <w:color w:val="auto"/>
        </w:rPr>
        <w:t>royalty method. The primary assumptions in the valuation included revenue, pre-tax royalty rate, and tax expense. The Company has assigned the trade name an indefinite useful life after considering, among other things, the expected use of the asset, the expected useful life of other related assets or asset groups, any legal, regulatory, or contractual provisions that may limit the useful life, the Company’s own historical experience in renewing similar arrangements, the effects of obsolescence, demand and other economic factors, and the maintenance expenditures required to obtain the expected cash flows. In that analysis, the Company determined that no legal, regulatory, contractual, competitive, economic or other factors limit the useful lives of these intangible assets.</w:t>
      </w:r>
    </w:p>
    <w:p>
      <w:pPr>
        <w:spacing w:after="0" w:line="205" w:lineRule="exact"/>
        <w:rPr>
          <w:sz w:val="20"/>
          <w:szCs w:val="20"/>
          <w:color w:val="auto"/>
        </w:rPr>
      </w:pPr>
    </w:p>
    <w:p>
      <w:pPr>
        <w:ind w:right="60" w:firstLine="555"/>
        <w:spacing w:after="0" w:line="271" w:lineRule="auto"/>
        <w:rPr>
          <w:sz w:val="20"/>
          <w:szCs w:val="20"/>
          <w:color w:val="auto"/>
        </w:rPr>
      </w:pPr>
      <w:r>
        <w:rPr>
          <w:rFonts w:ascii="Arial" w:cs="Arial" w:eastAsia="Arial" w:hAnsi="Arial"/>
          <w:sz w:val="18"/>
          <w:szCs w:val="18"/>
          <w:color w:val="auto"/>
        </w:rPr>
        <w:t>Goodwill is the result of expected synergies from combining operations of the acquired and acquirer. The goodwill acquired is fully amortizable for tax purposes.</w:t>
      </w:r>
    </w:p>
    <w:p>
      <w:pPr>
        <w:spacing w:after="0" w:line="175" w:lineRule="exact"/>
        <w:rPr>
          <w:sz w:val="20"/>
          <w:szCs w:val="20"/>
          <w:color w:val="auto"/>
        </w:rPr>
      </w:pPr>
    </w:p>
    <w:p>
      <w:pPr>
        <w:ind w:right="300" w:firstLine="555"/>
        <w:spacing w:after="0" w:line="271" w:lineRule="auto"/>
        <w:rPr>
          <w:sz w:val="20"/>
          <w:szCs w:val="20"/>
          <w:color w:val="auto"/>
        </w:rPr>
      </w:pPr>
      <w:r>
        <w:rPr>
          <w:rFonts w:ascii="Arial" w:cs="Arial" w:eastAsia="Arial" w:hAnsi="Arial"/>
          <w:sz w:val="18"/>
          <w:szCs w:val="18"/>
          <w:color w:val="auto"/>
        </w:rPr>
        <w:t>For the period from the Elgin acquisition date of August 7, 2018 through December 31, 2018, Elgin generated net revenues of $63.0 million and net income of $7.6 million.</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Isle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Final Purchase Price Accounting</w:t>
      </w:r>
    </w:p>
    <w:p>
      <w:pPr>
        <w:spacing w:after="0" w:line="114" w:lineRule="exact"/>
        <w:rPr>
          <w:sz w:val="20"/>
          <w:szCs w:val="20"/>
          <w:color w:val="auto"/>
        </w:rPr>
      </w:pPr>
    </w:p>
    <w:p>
      <w:pPr>
        <w:ind w:right="60" w:firstLine="555"/>
        <w:spacing w:after="0" w:line="271" w:lineRule="auto"/>
        <w:rPr>
          <w:sz w:val="20"/>
          <w:szCs w:val="20"/>
          <w:color w:val="auto"/>
        </w:rPr>
      </w:pPr>
      <w:r>
        <w:rPr>
          <w:rFonts w:ascii="Arial" w:cs="Arial" w:eastAsia="Arial" w:hAnsi="Arial"/>
          <w:sz w:val="18"/>
          <w:szCs w:val="18"/>
          <w:color w:val="auto"/>
        </w:rPr>
        <w:t>The total purchase consideration in the Isle Acquisition was determined with reference to the fair value on the date of the Merger Agreement relating to the Isle Acquisition (the “Isle Merger Agreement”)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gridSpan w:val="3"/>
          </w:tcPr>
          <w:p>
            <w:pPr>
              <w:ind w:left="1700"/>
              <w:spacing w:after="0"/>
              <w:rPr>
                <w:sz w:val="20"/>
                <w:szCs w:val="20"/>
                <w:color w:val="auto"/>
              </w:rPr>
            </w:pPr>
            <w:r>
              <w:rPr>
                <w:rFonts w:ascii="Arial" w:cs="Arial" w:eastAsia="Arial" w:hAnsi="Arial"/>
                <w:sz w:val="14"/>
                <w:szCs w:val="14"/>
                <w:b w:val="1"/>
                <w:bCs w:val="1"/>
                <w:color w:val="auto"/>
                <w:w w:val="94"/>
              </w:rPr>
              <w:t>Purchase consideration calculation (dollars in thousands, except shares</w:t>
            </w:r>
          </w:p>
        </w:tc>
        <w:tc>
          <w:tcPr>
            <w:tcW w:w="11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vMerge w:val="restart"/>
          </w:tcPr>
          <w:p>
            <w:pPr>
              <w:jc w:val="right"/>
              <w:ind w:right="448"/>
              <w:spacing w:after="0"/>
              <w:rPr>
                <w:sz w:val="20"/>
                <w:szCs w:val="20"/>
                <w:color w:val="auto"/>
              </w:rPr>
            </w:pPr>
            <w:r>
              <w:rPr>
                <w:rFonts w:ascii="Arial" w:cs="Arial" w:eastAsia="Arial" w:hAnsi="Arial"/>
                <w:sz w:val="14"/>
                <w:szCs w:val="14"/>
                <w:b w:val="1"/>
                <w:bCs w:val="1"/>
                <w:color w:val="auto"/>
                <w:w w:val="87"/>
              </w:rPr>
              <w:t>Per share</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60" w:type="dxa"/>
            <w:vAlign w:val="bottom"/>
            <w:gridSpan w:val="3"/>
          </w:tcPr>
          <w:p>
            <w:pPr>
              <w:ind w:left="1700"/>
              <w:spacing w:after="0"/>
              <w:rPr>
                <w:sz w:val="20"/>
                <w:szCs w:val="20"/>
                <w:color w:val="auto"/>
              </w:rPr>
            </w:pPr>
            <w:r>
              <w:rPr>
                <w:rFonts w:ascii="Arial" w:cs="Arial" w:eastAsia="Arial" w:hAnsi="Arial"/>
                <w:sz w:val="14"/>
                <w:szCs w:val="14"/>
                <w:b w:val="1"/>
                <w:bCs w:val="1"/>
                <w:color w:val="auto"/>
              </w:rPr>
              <w:t>and stock price)</w:t>
            </w:r>
          </w:p>
        </w:tc>
        <w:tc>
          <w:tcPr>
            <w:tcW w:w="11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paid for outstanding Isle common stock</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552,050</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w w:val="96"/>
              </w:rPr>
              <w:t>Shares of ERI common stock issued for Isle common stock</w:t>
            </w:r>
          </w:p>
        </w:tc>
        <w:tc>
          <w:tcPr>
            <w:tcW w:w="1160" w:type="dxa"/>
            <w:vAlign w:val="bottom"/>
          </w:tcPr>
          <w:p>
            <w:pPr>
              <w:jc w:val="right"/>
              <w:spacing w:after="0"/>
              <w:rPr>
                <w:sz w:val="20"/>
                <w:szCs w:val="20"/>
                <w:color w:val="auto"/>
              </w:rPr>
            </w:pPr>
            <w:r>
              <w:rPr>
                <w:rFonts w:ascii="Arial" w:cs="Arial" w:eastAsia="Arial" w:hAnsi="Arial"/>
                <w:sz w:val="18"/>
                <w:szCs w:val="18"/>
                <w:color w:val="auto"/>
              </w:rPr>
              <w:t>28,468,182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19.12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544,312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paid by ERI to retire Isle's long-term debt</w:t>
            </w: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828,000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45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Shares of ERI common stock for Isle equity awards</w:t>
            </w:r>
          </w:p>
        </w:tc>
        <w:tc>
          <w:tcPr>
            <w:tcW w:w="11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10,383</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5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Purchase consideration</w:t>
            </w:r>
          </w:p>
        </w:tc>
        <w:tc>
          <w:tcPr>
            <w:tcW w:w="1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1,934,745</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jc w:val="right"/>
              <w:ind w:right="251"/>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61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7231380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10" w:name="page111"/>
    <w:bookmarkEnd w:id="110"/>
    <w:p>
      <w:pPr>
        <w:ind w:right="120" w:firstLine="555"/>
        <w:spacing w:after="0" w:line="255" w:lineRule="auto"/>
        <w:rPr>
          <w:sz w:val="20"/>
          <w:szCs w:val="20"/>
          <w:color w:val="auto"/>
        </w:rPr>
      </w:pPr>
      <w:r>
        <w:rPr>
          <w:rFonts w:ascii="Arial" w:cs="Arial" w:eastAsia="Arial" w:hAnsi="Arial"/>
          <w:sz w:val="18"/>
          <w:szCs w:val="18"/>
          <w:color w:val="auto"/>
        </w:rPr>
        <w:t>The following table summarizes the purchase accounting of the purchase consideration to the identifiable assets acquired and liabilities assumed in the Isle Acquisition as of the Isle Acquisition Date, with the excess recorded as goodwill. The fair values were based on management’s analysis, including work performed by third-party valuation specialists. The following table summarizes our final purchase price accounting of the acquired assets and liabilities as of December 31, 2018 (dollars in thousands):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227"/>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Current and other assets, net</w:t>
            </w:r>
          </w:p>
        </w:tc>
        <w:tc>
          <w:tcPr>
            <w:tcW w:w="46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135,925</w:t>
            </w:r>
          </w:p>
        </w:tc>
        <w:tc>
          <w:tcPr>
            <w:tcW w:w="100" w:type="dxa"/>
            <w:vAlign w:val="bottom"/>
            <w:shd w:val="clear" w:color="auto" w:fill="CFF0FC"/>
          </w:tcPr>
          <w:p>
            <w:pPr>
              <w:spacing w:after="0"/>
              <w:rPr>
                <w:sz w:val="19"/>
                <w:szCs w:val="19"/>
                <w:color w:val="auto"/>
              </w:rPr>
            </w:pPr>
          </w:p>
        </w:tc>
      </w:tr>
      <w:tr>
        <w:trPr>
          <w:trHeight w:val="227"/>
        </w:trPr>
        <w:tc>
          <w:tcPr>
            <w:tcW w:w="86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908,816</w:t>
            </w:r>
          </w:p>
        </w:tc>
        <w:tc>
          <w:tcPr>
            <w:tcW w:w="100" w:type="dxa"/>
            <w:vAlign w:val="bottom"/>
          </w:tcPr>
          <w:p>
            <w:pPr>
              <w:spacing w:after="0"/>
              <w:rPr>
                <w:sz w:val="19"/>
                <w:szCs w:val="19"/>
                <w:color w:val="auto"/>
              </w:rPr>
            </w:pPr>
          </w:p>
        </w:tc>
      </w:tr>
      <w:tr>
        <w:trPr>
          <w:trHeight w:val="228"/>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709,087</w:t>
            </w:r>
          </w:p>
        </w:tc>
        <w:tc>
          <w:tcPr>
            <w:tcW w:w="100" w:type="dxa"/>
            <w:vAlign w:val="bottom"/>
            <w:shd w:val="clear" w:color="auto" w:fill="CFF0FC"/>
          </w:tcPr>
          <w:p>
            <w:pPr>
              <w:spacing w:after="0"/>
              <w:rPr>
                <w:sz w:val="19"/>
                <w:szCs w:val="19"/>
                <w:color w:val="auto"/>
              </w:rPr>
            </w:pPr>
          </w:p>
        </w:tc>
      </w:tr>
      <w:tr>
        <w:trPr>
          <w:trHeight w:val="227"/>
        </w:trPr>
        <w:tc>
          <w:tcPr>
            <w:tcW w:w="8600" w:type="dxa"/>
            <w:vAlign w:val="bottom"/>
          </w:tcPr>
          <w:p>
            <w:pPr>
              <w:spacing w:after="0"/>
              <w:rPr>
                <w:sz w:val="20"/>
                <w:szCs w:val="20"/>
                <w:color w:val="auto"/>
              </w:rPr>
            </w:pPr>
            <w:r>
              <w:rPr>
                <w:rFonts w:ascii="Arial" w:cs="Arial" w:eastAsia="Arial" w:hAnsi="Arial"/>
                <w:sz w:val="18"/>
                <w:szCs w:val="18"/>
                <w:color w:val="auto"/>
              </w:rPr>
              <w:t>Intangible assets (i)</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517,470</w:t>
            </w:r>
          </w:p>
        </w:tc>
        <w:tc>
          <w:tcPr>
            <w:tcW w:w="100" w:type="dxa"/>
            <w:vAlign w:val="bottom"/>
          </w:tcPr>
          <w:p>
            <w:pPr>
              <w:spacing w:after="0"/>
              <w:rPr>
                <w:sz w:val="19"/>
                <w:szCs w:val="19"/>
                <w:color w:val="auto"/>
              </w:rPr>
            </w:pPr>
          </w:p>
        </w:tc>
      </w:tr>
      <w:tr>
        <w:trPr>
          <w:trHeight w:val="228"/>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15,082</w:t>
            </w:r>
          </w:p>
        </w:tc>
        <w:tc>
          <w:tcPr>
            <w:tcW w:w="100" w:type="dxa"/>
            <w:vAlign w:val="bottom"/>
            <w:shd w:val="clear" w:color="auto" w:fill="CFF0FC"/>
          </w:tcPr>
          <w:p>
            <w:pPr>
              <w:spacing w:after="0"/>
              <w:rPr>
                <w:sz w:val="19"/>
                <w:szCs w:val="19"/>
                <w:color w:val="auto"/>
              </w:rPr>
            </w:pPr>
          </w:p>
        </w:tc>
      </w:tr>
      <w:tr>
        <w:trPr>
          <w:trHeight w:val="221"/>
        </w:trPr>
        <w:tc>
          <w:tcPr>
            <w:tcW w:w="8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2,286,380</w:t>
            </w:r>
          </w:p>
        </w:tc>
        <w:tc>
          <w:tcPr>
            <w:tcW w:w="100" w:type="dxa"/>
            <w:vAlign w:val="bottom"/>
            <w:tcBorders>
              <w:bottom w:val="single" w:sz="8" w:color="CFF0FC"/>
            </w:tcBorders>
          </w:tcPr>
          <w:p>
            <w:pPr>
              <w:spacing w:after="0"/>
              <w:rPr>
                <w:sz w:val="19"/>
                <w:szCs w:val="19"/>
                <w:color w:val="auto"/>
              </w:rPr>
            </w:pPr>
          </w:p>
        </w:tc>
      </w:tr>
      <w:tr>
        <w:trPr>
          <w:trHeight w:val="221"/>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(144,306)</w:t>
            </w:r>
          </w:p>
        </w:tc>
        <w:tc>
          <w:tcPr>
            <w:tcW w:w="100" w:type="dxa"/>
            <w:vAlign w:val="bottom"/>
            <w:shd w:val="clear" w:color="auto" w:fill="CFF0FC"/>
          </w:tcPr>
          <w:p>
            <w:pPr>
              <w:spacing w:after="0"/>
              <w:rPr>
                <w:sz w:val="19"/>
                <w:szCs w:val="19"/>
                <w:color w:val="auto"/>
              </w:rPr>
            </w:pPr>
          </w:p>
        </w:tc>
      </w:tr>
      <w:tr>
        <w:trPr>
          <w:trHeight w:val="227"/>
        </w:trPr>
        <w:tc>
          <w:tcPr>
            <w:tcW w:w="8600" w:type="dxa"/>
            <w:vAlign w:val="bottom"/>
          </w:tcPr>
          <w:p>
            <w:pPr>
              <w:spacing w:after="0"/>
              <w:rPr>
                <w:sz w:val="20"/>
                <w:szCs w:val="20"/>
                <w:color w:val="auto"/>
              </w:rPr>
            </w:pPr>
            <w:r>
              <w:rPr>
                <w:rFonts w:ascii="Arial" w:cs="Arial" w:eastAsia="Arial" w:hAnsi="Arial"/>
                <w:sz w:val="18"/>
                <w:szCs w:val="18"/>
                <w:color w:val="auto"/>
              </w:rPr>
              <w:t>Deferred income taxes (ii)</w:t>
            </w:r>
          </w:p>
        </w:tc>
        <w:tc>
          <w:tcPr>
            <w:tcW w:w="4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(189,952)</w:t>
            </w:r>
          </w:p>
        </w:tc>
      </w:tr>
      <w:tr>
        <w:trPr>
          <w:trHeight w:val="228"/>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4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(17,377)</w:t>
            </w:r>
          </w:p>
        </w:tc>
      </w:tr>
      <w:tr>
        <w:trPr>
          <w:trHeight w:val="221"/>
        </w:trPr>
        <w:tc>
          <w:tcPr>
            <w:tcW w:w="8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(351,635)</w:t>
            </w:r>
          </w:p>
        </w:tc>
        <w:tc>
          <w:tcPr>
            <w:tcW w:w="100" w:type="dxa"/>
            <w:vAlign w:val="bottom"/>
            <w:tcBorders>
              <w:bottom w:val="single" w:sz="8" w:color="CFF0FC"/>
            </w:tcBorders>
          </w:tcPr>
          <w:p>
            <w:pPr>
              <w:spacing w:after="0"/>
              <w:rPr>
                <w:sz w:val="19"/>
                <w:szCs w:val="19"/>
                <w:color w:val="auto"/>
              </w:rPr>
            </w:pPr>
          </w:p>
        </w:tc>
      </w:tr>
      <w:tr>
        <w:trPr>
          <w:trHeight w:val="221"/>
        </w:trPr>
        <w:tc>
          <w:tcPr>
            <w:tcW w:w="8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460" w:type="dxa"/>
            <w:vAlign w:val="bottom"/>
            <w:tcBorders>
              <w:bottom w:val="single" w:sz="8" w:color="auto"/>
            </w:tcBorders>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1,934,745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7" w:lineRule="exact"/>
        <w:rPr>
          <w:sz w:val="20"/>
          <w:szCs w:val="20"/>
          <w:color w:val="auto"/>
        </w:rPr>
      </w:pPr>
    </w:p>
    <w:p>
      <w:pPr>
        <w:ind w:left="560" w:hanging="553"/>
        <w:spacing w:after="0" w:line="256" w:lineRule="auto"/>
        <w:tabs>
          <w:tab w:leader="none" w:pos="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Intangible assets consist of gaming licenses valued at $395.1 million, trade names valued at $108.3 million, and player loyalty programs valued at $14.1 million.</w:t>
      </w:r>
    </w:p>
    <w:p>
      <w:pPr>
        <w:ind w:left="560" w:hanging="553"/>
        <w:spacing w:after="0"/>
        <w:tabs>
          <w:tab w:leader="none" w:pos="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Deferred tax liabilities were derived based on fair value adjustments for property and equipment and identified intangibles.</w:t>
      </w:r>
    </w:p>
    <w:p>
      <w:pPr>
        <w:spacing w:after="0" w:line="221" w:lineRule="exact"/>
        <w:rPr>
          <w:sz w:val="20"/>
          <w:szCs w:val="20"/>
          <w:color w:val="auto"/>
        </w:rPr>
      </w:pPr>
    </w:p>
    <w:p>
      <w:pPr>
        <w:ind w:right="40" w:firstLine="555"/>
        <w:spacing w:after="0" w:line="275" w:lineRule="auto"/>
        <w:rPr>
          <w:sz w:val="20"/>
          <w:szCs w:val="20"/>
          <w:color w:val="auto"/>
        </w:rPr>
      </w:pPr>
      <w:r>
        <w:rPr>
          <w:rFonts w:ascii="Arial" w:cs="Arial" w:eastAsia="Arial" w:hAnsi="Arial"/>
          <w:sz w:val="17"/>
          <w:szCs w:val="17"/>
          <w:color w:val="auto"/>
        </w:rPr>
        <w:t>During the three months ended March 31, 2018, the Company finalized its valuation procedures and adjusted the Isle of Capri preliminary purchase price accounting, as disclosed in the Annual Report on Form 10-K for the year ended December 31, 2017, to their updated values. Except for other long-term liabilities related to Bettendorf and Nemacolin and a corresponding goodwill adjustment totaling $6.1 million (net of tax), the finalization of our purchase price accounting resulted in minimal changes and refinements by management as of, and for the three months ended, March 31, 2018.</w:t>
      </w:r>
    </w:p>
    <w:p>
      <w:pPr>
        <w:spacing w:after="0" w:line="175" w:lineRule="exact"/>
        <w:rPr>
          <w:sz w:val="20"/>
          <w:szCs w:val="20"/>
          <w:color w:val="auto"/>
        </w:rPr>
      </w:pPr>
    </w:p>
    <w:p>
      <w:pPr>
        <w:ind w:right="380" w:firstLine="555"/>
        <w:spacing w:after="0" w:line="271" w:lineRule="auto"/>
        <w:rPr>
          <w:sz w:val="20"/>
          <w:szCs w:val="20"/>
          <w:color w:val="auto"/>
        </w:rPr>
      </w:pPr>
      <w:r>
        <w:rPr>
          <w:rFonts w:ascii="Arial" w:cs="Arial" w:eastAsia="Arial" w:hAnsi="Arial"/>
          <w:sz w:val="18"/>
          <w:szCs w:val="18"/>
          <w:color w:val="auto"/>
        </w:rPr>
        <w:t>Valuation methodologies under both a market and income approach used for the identifiable net assets acquired in the Isle Acquisition make use of Level 3 inputs.</w:t>
      </w:r>
    </w:p>
    <w:p>
      <w:pPr>
        <w:spacing w:after="0" w:line="175" w:lineRule="exact"/>
        <w:rPr>
          <w:sz w:val="20"/>
          <w:szCs w:val="20"/>
          <w:color w:val="auto"/>
        </w:rPr>
      </w:pPr>
    </w:p>
    <w:p>
      <w:pPr>
        <w:ind w:right="360" w:firstLine="555"/>
        <w:spacing w:after="0" w:line="301" w:lineRule="auto"/>
        <w:rPr>
          <w:sz w:val="20"/>
          <w:szCs w:val="20"/>
          <w:color w:val="auto"/>
        </w:rPr>
      </w:pPr>
      <w:r>
        <w:rPr>
          <w:rFonts w:ascii="Arial" w:cs="Arial" w:eastAsia="Arial" w:hAnsi="Arial"/>
          <w:sz w:val="17"/>
          <w:szCs w:val="17"/>
          <w:color w:val="auto"/>
        </w:rPr>
        <w:t>Trade receivables and payables, inventory and other current and noncurrent assets and liabilities were valued at the existing carrying values as they represented the estimated fair value of those items at the Isle Acquisition Date, based on management’s judgment and estimates.</w:t>
      </w:r>
    </w:p>
    <w:p>
      <w:pPr>
        <w:spacing w:after="0" w:line="152" w:lineRule="exact"/>
        <w:rPr>
          <w:sz w:val="20"/>
          <w:szCs w:val="20"/>
          <w:color w:val="auto"/>
        </w:rPr>
      </w:pPr>
    </w:p>
    <w:p>
      <w:pPr>
        <w:ind w:right="20" w:firstLine="555"/>
        <w:spacing w:after="0" w:line="252" w:lineRule="auto"/>
        <w:rPr>
          <w:sz w:val="20"/>
          <w:szCs w:val="20"/>
          <w:color w:val="auto"/>
        </w:rPr>
      </w:pPr>
      <w:r>
        <w:rPr>
          <w:rFonts w:ascii="Arial" w:cs="Arial" w:eastAsia="Arial" w:hAnsi="Arial"/>
          <w:sz w:val="18"/>
          <w:szCs w:val="18"/>
          <w:color w:val="auto"/>
        </w:rPr>
        <w:t>The fair value of land was determined using the market approach, which arrives at an indication of value by comparing the site being valued to sites that have been recently acquired in arm’s-length transactions. The market data is then adjusted for any significant differences, to the extent known, between the identified comparable sites and the site being valued. Building and site improvements were valued using the cost approach using a direct cost model built on estimates of replacement cost. With respect to personal property components of the assets, personal property assets with an active and identifiable secondary market such as riverboats, gaming equipment, computer equipment and vehicles were valued using the market approach. Other personal property assets such as furniture, fixtures, computer software, and restaurant equipment were valued using the cost approach which is based on replacement or reproduction costs of the asset.</w:t>
      </w:r>
    </w:p>
    <w:p>
      <w:pPr>
        <w:spacing w:after="0" w:line="191" w:lineRule="exact"/>
        <w:rPr>
          <w:sz w:val="20"/>
          <w:szCs w:val="20"/>
          <w:color w:val="auto"/>
        </w:rPr>
      </w:pPr>
    </w:p>
    <w:p>
      <w:pPr>
        <w:ind w:right="160" w:firstLine="555"/>
        <w:spacing w:after="0" w:line="270" w:lineRule="auto"/>
        <w:rPr>
          <w:sz w:val="20"/>
          <w:szCs w:val="20"/>
          <w:color w:val="auto"/>
        </w:rPr>
      </w:pPr>
      <w:r>
        <w:rPr>
          <w:rFonts w:ascii="Arial" w:cs="Arial" w:eastAsia="Arial" w:hAnsi="Arial"/>
          <w:sz w:val="17"/>
          <w:szCs w:val="17"/>
          <w:color w:val="auto"/>
        </w:rPr>
        <w:t>The cost approach is an estimation of fair value developed by computing the current cost of replacing a property and subtracting any depreciation resulting from one or more of the following factors: physical deterioration, functional obsolescence, and/or economic obsolescence. The income approach incorporates all tangible and intangible property and served as a ceiling for the fair values of the acquired assets of the ongoing business enterprise, while still taking into account the premise of highest and best use. In the instance where the business enterprise value developed via the income approach was exceeded by the initial fair values of the underlying assets, an adjustment to reflect economic obsolescence was made to the tangible assets on a pro rata basis to reflect the contributory value of each individual asset to the enterprise as a whole.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1">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111" w:name="page112"/>
    <w:bookmarkEnd w:id="111"/>
    <w:p>
      <w:pPr>
        <w:ind w:right="140" w:firstLine="555"/>
        <w:spacing w:after="0" w:line="251" w:lineRule="auto"/>
        <w:rPr>
          <w:sz w:val="20"/>
          <w:szCs w:val="20"/>
          <w:color w:val="auto"/>
        </w:rPr>
      </w:pPr>
      <w:r>
        <w:rPr>
          <w:rFonts w:ascii="Arial" w:cs="Arial" w:eastAsia="Arial" w:hAnsi="Arial"/>
          <w:sz w:val="18"/>
          <w:szCs w:val="18"/>
          <w:color w:val="auto"/>
        </w:rPr>
        <w:t>The fair value of the gaming licenses was determined using the excess earnings or replacement cost methodology based on the respective states’ legislation. The excess earnings methodology, which is an income approach methodology that allocates the projected cash flows of the business to the gaming license intangible assets less charges for the use of other identifiable assets of Isle including working capital, fixed assets and other intangible assets. This methodology was considered appropriate as the gaming licenses are the primary asset of Isle and the licenses are linked to each respective facility. Under the respective state’s gaming legislation, the property specific licenses can only be acquired if a theoretical buyer were to acquire each existing facility. The existing licenses could not be acquired and used for a different facility. The properties’ estimated future cash flows were the primary assumption in the respective valuations. Cash flow estimates included net gaming revenue, gaming operating expenses, general and administrative expenses, and tax expense. The replacement cost methodology is a cost approach methodology based on replacement or reproduction cost of the gaming license as an indicator of fair value.</w:t>
      </w:r>
    </w:p>
    <w:p>
      <w:pPr>
        <w:spacing w:after="0" w:line="193" w:lineRule="exact"/>
        <w:rPr>
          <w:sz w:val="20"/>
          <w:szCs w:val="20"/>
          <w:color w:val="auto"/>
        </w:rPr>
      </w:pPr>
    </w:p>
    <w:p>
      <w:pPr>
        <w:ind w:right="40" w:firstLine="555"/>
        <w:spacing w:after="0" w:line="254" w:lineRule="auto"/>
        <w:rPr>
          <w:sz w:val="20"/>
          <w:szCs w:val="20"/>
          <w:color w:val="auto"/>
        </w:rPr>
      </w:pPr>
      <w:r>
        <w:rPr>
          <w:rFonts w:ascii="Arial" w:cs="Arial" w:eastAsia="Arial" w:hAnsi="Arial"/>
          <w:sz w:val="18"/>
          <w:szCs w:val="18"/>
          <w:color w:val="auto"/>
        </w:rPr>
        <w:t>Player loyalty programs were valued using the cost approach and the incremental cash flow method under the income approach. The incremental cash flow method is used to estimate the fair value of an intangible asset based on a residual cash flow notion. This method measures the benefits (e.g., cash flows) derived from ownership of an acquired intangible asset as if it were in place, as compared to the acquirer’s expected cash flows as if the intangible asset were not in place (i.e., with-and-without). The residual or net cash flows of the two models is ascribable to the intangible asset. The Company has estimated a 3-year useful life on the player loyalty programs.</w:t>
      </w:r>
    </w:p>
    <w:p>
      <w:pPr>
        <w:spacing w:after="0" w:line="189" w:lineRule="exact"/>
        <w:rPr>
          <w:sz w:val="20"/>
          <w:szCs w:val="20"/>
          <w:color w:val="auto"/>
        </w:rPr>
      </w:pPr>
    </w:p>
    <w:p>
      <w:pPr>
        <w:ind w:firstLine="555"/>
        <w:spacing w:after="0" w:line="251" w:lineRule="auto"/>
        <w:rPr>
          <w:sz w:val="20"/>
          <w:szCs w:val="20"/>
          <w:color w:val="auto"/>
        </w:rPr>
      </w:pPr>
      <w:r>
        <w:rPr>
          <w:rFonts w:ascii="Arial" w:cs="Arial" w:eastAsia="Arial" w:hAnsi="Arial"/>
          <w:sz w:val="18"/>
          <w:szCs w:val="18"/>
          <w:color w:val="auto"/>
        </w:rPr>
        <w:t>Trademarks are valued using the relief from royalty method, which presumes that without ownership of such trademarks, ERI would have to make a stream of payments to a brand or franchise owner in return for the right to use their name. By virtue of this asset, ERI avoids any such payments and record the related intangible value of ERI’s ownership of the brand name. The primary assumptions in the valuation included revenue, pre-tax royalty rate, and tax expense. ERI has assigned the trade name an indefinite useful life after considering, among other things, the expected use of the asset, the expected useful life of other related assets or asset groups, any legal, regulatory, or contractual provisions that may limit the useful life, ERI’s own historical experience in renewing similar arrangements, the effects of obsolescence, demand and other economic factors, and the maintenance expenditures required to obtain the expected cash flows. In that analysis, ERI determined that no legal, regulatory, contractual, competitive, economic or other factors limit the useful lives of these intangible assets.</w:t>
      </w:r>
    </w:p>
    <w:p>
      <w:pPr>
        <w:spacing w:after="0" w:line="195" w:lineRule="exact"/>
        <w:rPr>
          <w:sz w:val="20"/>
          <w:szCs w:val="20"/>
          <w:color w:val="auto"/>
        </w:rPr>
      </w:pPr>
    </w:p>
    <w:p>
      <w:pPr>
        <w:ind w:right="100" w:firstLine="555"/>
        <w:spacing w:after="0" w:line="287" w:lineRule="auto"/>
        <w:rPr>
          <w:sz w:val="20"/>
          <w:szCs w:val="20"/>
          <w:color w:val="auto"/>
        </w:rPr>
      </w:pPr>
      <w:r>
        <w:rPr>
          <w:rFonts w:ascii="Arial" w:cs="Arial" w:eastAsia="Arial" w:hAnsi="Arial"/>
          <w:sz w:val="16"/>
          <w:szCs w:val="16"/>
          <w:color w:val="auto"/>
        </w:rPr>
        <w:t>ERI has assigned an indefinite useful life to the gaming licenses. The standard required ERI to consider, among other things, the expected use of the asset, the expected useful life of other related assets or asset groups, any legal, regulatory, or contractual provisions that may limit the useful life, ERI’s own historical experience in renewing similar arrangements, the effects of obsolescence, demand and other economic factors, and the maintenance expenditures required to obtain the expected cash flows. In that analysis, ERI determined that no legal, regulatory, contractual, competitive, economic or other factors limit the useful lives of these intangible assets. The renewal of each state’s gaming license depends on a number of factors, including payment of certain fees and taxes, providing certain information to the state’s gaming regulator, and meeting certain inspection requirements. However, ERI’s historical experience has not indicated, nor does ERI expect, any limitations regarding its ability to continue to renew each license. No other competitive, contractual, or economic factor limits the useful lives of these assets. Accordingly, ERI has concluded that the useful lives of these licenses are indefinite.</w:t>
      </w:r>
    </w:p>
    <w:p>
      <w:pPr>
        <w:spacing w:after="0" w:line="167" w:lineRule="exact"/>
        <w:rPr>
          <w:sz w:val="20"/>
          <w:szCs w:val="20"/>
          <w:color w:val="auto"/>
        </w:rPr>
      </w:pPr>
    </w:p>
    <w:p>
      <w:pPr>
        <w:ind w:right="400" w:firstLine="555"/>
        <w:spacing w:after="0" w:line="271" w:lineRule="auto"/>
        <w:rPr>
          <w:sz w:val="20"/>
          <w:szCs w:val="20"/>
          <w:color w:val="auto"/>
        </w:rPr>
      </w:pPr>
      <w:r>
        <w:rPr>
          <w:rFonts w:ascii="Arial" w:cs="Arial" w:eastAsia="Arial" w:hAnsi="Arial"/>
          <w:sz w:val="18"/>
          <w:szCs w:val="18"/>
          <w:color w:val="auto"/>
        </w:rPr>
        <w:t>For the period from the Isle Acquisition date of May 1, 2017 through December 31, 2017, Isle and its subsidiaries generated net revenue of $600.1 million and net income of $102.5 million.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w:t>
      </w:r>
    </w:p>
    <w:p>
      <w:pPr>
        <w:spacing w:after="0" w:line="114" w:lineRule="exact"/>
        <w:rPr>
          <w:sz w:val="20"/>
          <w:szCs w:val="20"/>
          <w:color w:val="auto"/>
        </w:rPr>
      </w:pPr>
    </w:p>
    <w:p>
      <w:pPr>
        <w:ind w:firstLine="555"/>
        <w:spacing w:after="0" w:line="271" w:lineRule="auto"/>
        <w:rPr>
          <w:sz w:val="20"/>
          <w:szCs w:val="20"/>
          <w:color w:val="auto"/>
        </w:rPr>
      </w:pPr>
      <w:r>
        <w:rPr>
          <w:rFonts w:ascii="Arial" w:cs="Arial" w:eastAsia="Arial" w:hAnsi="Arial"/>
          <w:sz w:val="18"/>
          <w:szCs w:val="18"/>
          <w:color w:val="auto"/>
        </w:rPr>
        <w:t>The following unaudited pro forma information presents the results of operations of the Company for the year ended December 31, 2018 and 2017, as if the Tropicana Acquisition had occurred on January 1, 2017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1120" w:type="dxa"/>
            <w:vAlign w:val="bottom"/>
          </w:tcPr>
          <w:p>
            <w:pPr>
              <w:jc w:val="right"/>
              <w:ind w:right="197"/>
              <w:spacing w:after="0"/>
              <w:rPr>
                <w:sz w:val="20"/>
                <w:szCs w:val="20"/>
                <w:color w:val="auto"/>
              </w:rPr>
            </w:pPr>
            <w:r>
              <w:rPr>
                <w:rFonts w:ascii="Arial" w:cs="Arial" w:eastAsia="Arial" w:hAnsi="Arial"/>
                <w:sz w:val="14"/>
                <w:szCs w:val="14"/>
                <w:b w:val="1"/>
                <w:bCs w:val="1"/>
                <w:color w:val="auto"/>
              </w:rPr>
              <w:t>Year Ended</w:t>
            </w:r>
          </w:p>
        </w:tc>
        <w:tc>
          <w:tcPr>
            <w:tcW w:w="1720" w:type="dxa"/>
            <w:vAlign w:val="bottom"/>
          </w:tcPr>
          <w:p>
            <w:pPr>
              <w:spacing w:after="0"/>
              <w:rPr>
                <w:sz w:val="14"/>
                <w:szCs w:val="14"/>
                <w:color w:val="auto"/>
              </w:rPr>
            </w:pPr>
          </w:p>
        </w:tc>
      </w:tr>
      <w:tr>
        <w:trPr>
          <w:trHeight w:val="170"/>
        </w:trPr>
        <w:tc>
          <w:tcPr>
            <w:tcW w:w="17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December 31, 2018</w:t>
            </w:r>
          </w:p>
        </w:tc>
        <w:tc>
          <w:tcPr>
            <w:tcW w:w="132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w w:val="93"/>
              </w:rPr>
              <w:t>December 31, 2017</w:t>
            </w:r>
          </w:p>
        </w:tc>
        <w:tc>
          <w:tcPr>
            <w:tcW w:w="1720" w:type="dxa"/>
            <w:vAlign w:val="bottom"/>
          </w:tcPr>
          <w:p>
            <w:pPr>
              <w:spacing w:after="0"/>
              <w:rPr>
                <w:sz w:val="14"/>
                <w:szCs w:val="14"/>
                <w:color w:val="auto"/>
              </w:rPr>
            </w:pPr>
          </w:p>
        </w:tc>
      </w:tr>
      <w:tr>
        <w:trPr>
          <w:trHeight w:val="221"/>
        </w:trPr>
        <w:tc>
          <w:tcPr>
            <w:tcW w:w="1720" w:type="dxa"/>
            <w:vAlign w:val="bottom"/>
          </w:tcPr>
          <w:p>
            <w:pPr>
              <w:spacing w:after="0"/>
              <w:rPr>
                <w:sz w:val="19"/>
                <w:szCs w:val="19"/>
                <w:color w:val="auto"/>
              </w:rPr>
            </w:pPr>
          </w:p>
        </w:tc>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operating revenues</w:t>
            </w:r>
          </w:p>
        </w:tc>
        <w:tc>
          <w:tcPr>
            <w:tcW w:w="24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2,735,760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2,361,372</w:t>
            </w:r>
          </w:p>
        </w:tc>
        <w:tc>
          <w:tcPr>
            <w:tcW w:w="1720" w:type="dxa"/>
            <w:vAlign w:val="bottom"/>
          </w:tcPr>
          <w:p>
            <w:pPr>
              <w:spacing w:after="0"/>
              <w:rPr>
                <w:sz w:val="19"/>
                <w:szCs w:val="19"/>
                <w:color w:val="auto"/>
              </w:rPr>
            </w:pPr>
          </w:p>
        </w:tc>
      </w:tr>
      <w:tr>
        <w:trPr>
          <w:trHeight w:val="227"/>
        </w:trPr>
        <w:tc>
          <w:tcPr>
            <w:tcW w:w="17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Net income</w:t>
            </w: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92,556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16,651</w:t>
            </w:r>
          </w:p>
        </w:tc>
        <w:tc>
          <w:tcPr>
            <w:tcW w:w="1720" w:type="dxa"/>
            <w:vAlign w:val="bottom"/>
          </w:tcPr>
          <w:p>
            <w:pPr>
              <w:spacing w:after="0"/>
              <w:rPr>
                <w:sz w:val="19"/>
                <w:szCs w:val="19"/>
                <w:color w:val="auto"/>
              </w:rPr>
            </w:pPr>
          </w:p>
        </w:tc>
      </w:tr>
      <w:tr>
        <w:trPr>
          <w:trHeight w:val="641"/>
        </w:trPr>
        <w:tc>
          <w:tcPr>
            <w:tcW w:w="17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420" w:type="dxa"/>
            <w:vAlign w:val="bottom"/>
          </w:tcPr>
          <w:p>
            <w:pPr>
              <w:jc w:val="right"/>
              <w:ind w:right="971"/>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7231380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12" w:name="page113"/>
    <w:bookmarkEnd w:id="112"/>
    <w:p>
      <w:pPr>
        <w:ind w:right="360" w:firstLine="555"/>
        <w:spacing w:after="0" w:line="307" w:lineRule="auto"/>
        <w:rPr>
          <w:sz w:val="20"/>
          <w:szCs w:val="20"/>
          <w:color w:val="auto"/>
        </w:rPr>
      </w:pPr>
      <w:r>
        <w:rPr>
          <w:rFonts w:ascii="Arial" w:cs="Arial" w:eastAsia="Arial" w:hAnsi="Arial"/>
          <w:sz w:val="16"/>
          <w:szCs w:val="16"/>
          <w:color w:val="auto"/>
        </w:rPr>
        <w:t>These pro forma results do not necessarily represent the results of operations that would have been achieved if the acquisition had taken place on January 1, 2017, nor are they indicative of the results of operations for future periods. The pro forma amounts include the historical operating results of the Company and Tropicana prior to the Tropicana Acquisition with adjustments directly attributable to the Tropicana Acquisition.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Elgin</w:t>
      </w:r>
    </w:p>
    <w:p>
      <w:pPr>
        <w:spacing w:after="0" w:line="114" w:lineRule="exact"/>
        <w:rPr>
          <w:sz w:val="20"/>
          <w:szCs w:val="20"/>
          <w:color w:val="auto"/>
        </w:rPr>
      </w:pPr>
    </w:p>
    <w:p>
      <w:pPr>
        <w:ind w:firstLine="555"/>
        <w:spacing w:after="0" w:line="271" w:lineRule="auto"/>
        <w:rPr>
          <w:sz w:val="20"/>
          <w:szCs w:val="20"/>
          <w:color w:val="auto"/>
        </w:rPr>
      </w:pPr>
      <w:r>
        <w:rPr>
          <w:rFonts w:ascii="Arial" w:cs="Arial" w:eastAsia="Arial" w:hAnsi="Arial"/>
          <w:sz w:val="18"/>
          <w:szCs w:val="18"/>
          <w:color w:val="auto"/>
        </w:rPr>
        <w:t>The following unaudited pro forma information presents the results of operations of the Company for the year ended December 31, 2018 and 2017, as if the Elgin Acquisition had occurred on January 1, 2017 (in thousands).</w:t>
      </w:r>
    </w:p>
    <w:p>
      <w:pPr>
        <w:spacing w:after="0" w:line="24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 Ended</w:t>
            </w:r>
          </w:p>
        </w:tc>
      </w:tr>
      <w:tr>
        <w:trPr>
          <w:trHeight w:val="170"/>
        </w:trPr>
        <w:tc>
          <w:tcPr>
            <w:tcW w:w="5180" w:type="dxa"/>
            <w:vAlign w:val="bottom"/>
          </w:tcPr>
          <w:p>
            <w:pPr>
              <w:spacing w:after="0"/>
              <w:rPr>
                <w:sz w:val="14"/>
                <w:szCs w:val="14"/>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December 31, 2018</w:t>
            </w: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December 31, 2017</w:t>
            </w:r>
          </w:p>
        </w:tc>
      </w:tr>
      <w:tr>
        <w:trPr>
          <w:trHeight w:val="221"/>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operating revenues</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2,152,948</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1,644,907</w:t>
            </w:r>
          </w:p>
        </w:tc>
        <w:tc>
          <w:tcPr>
            <w:tcW w:w="60" w:type="dxa"/>
            <w:vAlign w:val="bottom"/>
            <w:tcBorders>
              <w:top w:val="single" w:sz="8" w:color="CFF0FC"/>
            </w:tcBorders>
            <w:shd w:val="clear" w:color="auto" w:fill="CFF0FC"/>
          </w:tcPr>
          <w:p>
            <w:pPr>
              <w:spacing w:after="0"/>
              <w:rPr>
                <w:sz w:val="19"/>
                <w:szCs w:val="19"/>
                <w:color w:val="auto"/>
              </w:rPr>
            </w:pPr>
          </w:p>
        </w:tc>
      </w:tr>
      <w:tr>
        <w:trPr>
          <w:trHeight w:val="227"/>
        </w:trPr>
        <w:tc>
          <w:tcPr>
            <w:tcW w:w="518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105,689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79,158</w:t>
            </w:r>
          </w:p>
        </w:tc>
        <w:tc>
          <w:tcPr>
            <w:tcW w:w="60" w:type="dxa"/>
            <w:vAlign w:val="bottom"/>
          </w:tcPr>
          <w:p>
            <w:pPr>
              <w:spacing w:after="0"/>
              <w:rPr>
                <w:sz w:val="19"/>
                <w:szCs w:val="19"/>
                <w:color w:val="auto"/>
              </w:rPr>
            </w:pPr>
          </w:p>
        </w:tc>
      </w:tr>
    </w:tbl>
    <w:p>
      <w:pPr>
        <w:spacing w:after="0" w:line="227" w:lineRule="exact"/>
        <w:rPr>
          <w:sz w:val="20"/>
          <w:szCs w:val="20"/>
          <w:color w:val="auto"/>
        </w:rPr>
      </w:pPr>
    </w:p>
    <w:p>
      <w:pPr>
        <w:ind w:right="360" w:firstLine="555"/>
        <w:spacing w:after="0" w:line="282" w:lineRule="auto"/>
        <w:rPr>
          <w:sz w:val="20"/>
          <w:szCs w:val="20"/>
          <w:color w:val="auto"/>
        </w:rPr>
      </w:pPr>
      <w:r>
        <w:rPr>
          <w:rFonts w:ascii="Arial" w:cs="Arial" w:eastAsia="Arial" w:hAnsi="Arial"/>
          <w:sz w:val="17"/>
          <w:szCs w:val="17"/>
          <w:color w:val="auto"/>
        </w:rPr>
        <w:t>These pro forma results do not necessarily represent the results of operations that would have been achieved if the acquisition had taken place on January 1, 2017, nor are they indicative of the results of operations for future periods. The pro forma amounts include the historical operating results of the Company and Elgin prior to the Elgin Acquisition with adjustments directly attributable to the Elgin Acquisition.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Isle</w:t>
      </w:r>
    </w:p>
    <w:p>
      <w:pPr>
        <w:spacing w:after="0" w:line="114" w:lineRule="exact"/>
        <w:rPr>
          <w:sz w:val="20"/>
          <w:szCs w:val="20"/>
          <w:color w:val="auto"/>
        </w:rPr>
      </w:pPr>
    </w:p>
    <w:p>
      <w:pPr>
        <w:ind w:right="180" w:firstLine="555"/>
        <w:spacing w:after="0" w:line="271" w:lineRule="auto"/>
        <w:rPr>
          <w:sz w:val="20"/>
          <w:szCs w:val="20"/>
          <w:color w:val="auto"/>
        </w:rPr>
      </w:pPr>
      <w:r>
        <w:rPr>
          <w:rFonts w:ascii="Arial" w:cs="Arial" w:eastAsia="Arial" w:hAnsi="Arial"/>
          <w:sz w:val="18"/>
          <w:szCs w:val="18"/>
          <w:color w:val="auto"/>
        </w:rPr>
        <w:t>The following unaudited pro forma information presents the results of operations of the Company for the year ended December 31, 2017 as if the Isle Acquisition, which closed on May 1, 2017, had occurred on January 1, 2016 (in thousands).</w:t>
      </w:r>
    </w:p>
    <w:p>
      <w:pPr>
        <w:spacing w:after="0" w:line="24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r>
      <w:tr>
        <w:trPr>
          <w:trHeight w:val="170"/>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December 31, 2017</w:t>
            </w:r>
          </w:p>
        </w:tc>
      </w:tr>
      <w:tr>
        <w:trPr>
          <w:trHeight w:val="221"/>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operating revenues</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1,810,815</w:t>
            </w:r>
          </w:p>
        </w:tc>
        <w:tc>
          <w:tcPr>
            <w:tcW w:w="60" w:type="dxa"/>
            <w:vAlign w:val="bottom"/>
            <w:tcBorders>
              <w:top w:val="single" w:sz="8" w:color="CFF0FC"/>
            </w:tcBorders>
            <w:shd w:val="clear" w:color="auto" w:fill="CFF0FC"/>
          </w:tcPr>
          <w:p>
            <w:pPr>
              <w:spacing w:after="0"/>
              <w:rPr>
                <w:sz w:val="19"/>
                <w:szCs w:val="19"/>
                <w:color w:val="auto"/>
              </w:rPr>
            </w:pPr>
          </w:p>
        </w:tc>
      </w:tr>
      <w:tr>
        <w:trPr>
          <w:trHeight w:val="227"/>
        </w:trPr>
        <w:tc>
          <w:tcPr>
            <w:tcW w:w="624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173,027</w:t>
            </w:r>
          </w:p>
        </w:tc>
        <w:tc>
          <w:tcPr>
            <w:tcW w:w="60" w:type="dxa"/>
            <w:vAlign w:val="bottom"/>
          </w:tcPr>
          <w:p>
            <w:pPr>
              <w:spacing w:after="0"/>
              <w:rPr>
                <w:sz w:val="19"/>
                <w:szCs w:val="19"/>
                <w:color w:val="auto"/>
              </w:rPr>
            </w:pPr>
          </w:p>
        </w:tc>
      </w:tr>
    </w:tbl>
    <w:p>
      <w:pPr>
        <w:spacing w:after="0" w:line="240" w:lineRule="exact"/>
        <w:rPr>
          <w:sz w:val="20"/>
          <w:szCs w:val="20"/>
          <w:color w:val="auto"/>
        </w:rPr>
      </w:pPr>
    </w:p>
    <w:p>
      <w:pPr>
        <w:ind w:right="360" w:firstLine="555"/>
        <w:spacing w:after="0" w:line="259" w:lineRule="auto"/>
        <w:rPr>
          <w:sz w:val="20"/>
          <w:szCs w:val="20"/>
          <w:color w:val="auto"/>
        </w:rPr>
      </w:pPr>
      <w:r>
        <w:rPr>
          <w:rFonts w:ascii="Arial" w:cs="Arial" w:eastAsia="Arial" w:hAnsi="Arial"/>
          <w:sz w:val="18"/>
          <w:szCs w:val="18"/>
          <w:color w:val="auto"/>
        </w:rPr>
        <w:t>These pro forma results do not necessarily represent the results of operations that would have been achieved if the acquisition had taken place on January 1, 2016, nor are they indicative of the results of operations for future periods. The pro forma amounts include the historical operating results of the Company and Isle prior to the Isle Acquisition with adjustments directly attributable to the Isle Acquisition.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Accounts Receivable</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Components of accounts receivable, net are as follows (in thousands):</w:t>
      </w:r>
    </w:p>
    <w:p>
      <w:pPr>
        <w:spacing w:after="0" w:line="226"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4"/>
        </w:trPr>
        <w:tc>
          <w:tcPr>
            <w:tcW w:w="54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8"/>
              <w:spacing w:after="0" w:line="154"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5"/>
              <w:spacing w:after="0" w:line="154"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1"/>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58,527</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63,843</w:t>
            </w:r>
          </w:p>
        </w:tc>
        <w:tc>
          <w:tcPr>
            <w:tcW w:w="80" w:type="dxa"/>
            <w:vAlign w:val="bottom"/>
            <w:shd w:val="clear" w:color="auto" w:fill="CFF0FC"/>
          </w:tcPr>
          <w:p>
            <w:pPr>
              <w:spacing w:after="0"/>
              <w:rPr>
                <w:sz w:val="19"/>
                <w:szCs w:val="19"/>
                <w:color w:val="auto"/>
              </w:rPr>
            </w:pPr>
          </w:p>
        </w:tc>
      </w:tr>
      <w:tr>
        <w:trPr>
          <w:trHeight w:val="227"/>
        </w:trPr>
        <w:tc>
          <w:tcPr>
            <w:tcW w:w="54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(4,628)</w:t>
            </w:r>
          </w:p>
        </w:tc>
        <w:tc>
          <w:tcPr>
            <w:tcW w:w="3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(3,674)</w:t>
            </w:r>
          </w:p>
        </w:tc>
      </w:tr>
      <w:tr>
        <w:trPr>
          <w:trHeight w:val="221"/>
        </w:trPr>
        <w:tc>
          <w:tcPr>
            <w:tcW w:w="54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53,899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60,169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Uncollectible Accounts Receivable</w:t>
      </w:r>
    </w:p>
    <w:p>
      <w:pPr>
        <w:spacing w:after="0" w:line="114" w:lineRule="exact"/>
        <w:rPr>
          <w:sz w:val="20"/>
          <w:szCs w:val="20"/>
          <w:color w:val="auto"/>
        </w:rPr>
      </w:pPr>
    </w:p>
    <w:p>
      <w:pPr>
        <w:ind w:right="40" w:firstLine="555"/>
        <w:spacing w:after="0" w:line="297" w:lineRule="auto"/>
        <w:rPr>
          <w:sz w:val="20"/>
          <w:szCs w:val="20"/>
          <w:color w:val="auto"/>
        </w:rPr>
      </w:pPr>
      <w:r>
        <w:rPr>
          <w:rFonts w:ascii="Arial" w:cs="Arial" w:eastAsia="Arial" w:hAnsi="Arial"/>
          <w:sz w:val="16"/>
          <w:szCs w:val="16"/>
          <w:color w:val="auto"/>
        </w:rPr>
        <w:t>We reserve an estimated amount for receivables that may not be collected. Methodologies for estimating bad debt reserves range from specific reserves to various percentages applied to aged receivables. Historical collection rates are considered, as are customer relationships, in determining specific reserves. As with many estimates, management must make judgments about potential actions by third parties in establishing and evaluating our reserves for bad debts. In the years ended December 31, 2019 and 2018, the Company’s bad debt expense totaled $1.5 million and $1.6 million, respectively.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4">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Note 6. Assets Held for Sale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Twin River Worldwide Holdings, Inc.</w:t>
      </w:r>
    </w:p>
    <w:p>
      <w:pPr>
        <w:spacing w:after="0" w:line="128" w:lineRule="exact"/>
        <w:rPr>
          <w:sz w:val="20"/>
          <w:szCs w:val="20"/>
          <w:color w:val="auto"/>
        </w:rPr>
      </w:pPr>
    </w:p>
    <w:p>
      <w:pPr>
        <w:ind w:right="260" w:firstLine="555"/>
        <w:spacing w:after="0" w:line="271" w:lineRule="auto"/>
        <w:rPr>
          <w:sz w:val="20"/>
          <w:szCs w:val="20"/>
          <w:color w:val="auto"/>
        </w:rPr>
      </w:pPr>
      <w:r>
        <w:rPr>
          <w:rFonts w:ascii="Arial" w:cs="Arial" w:eastAsia="Arial" w:hAnsi="Arial"/>
          <w:sz w:val="18"/>
          <w:szCs w:val="18"/>
          <w:color w:val="auto"/>
        </w:rPr>
        <w:t>On July 10, 2019, the Company entered into a definitive agreement to sell the equity interests of the entities that hold Vicksburg and Kansas City, to Twin River Worldwide Holdings, Inc. for approximately $230 million, subject to a working capital adjustment.</w:t>
      </w:r>
    </w:p>
    <w:p>
      <w:pPr>
        <w:spacing w:after="0" w:line="215" w:lineRule="exact"/>
        <w:rPr>
          <w:sz w:val="20"/>
          <w:szCs w:val="20"/>
          <w:color w:val="auto"/>
        </w:rPr>
      </w:pPr>
    </w:p>
    <w:p>
      <w:pPr>
        <w:jc w:val="both"/>
        <w:ind w:right="20" w:firstLine="555"/>
        <w:spacing w:after="0" w:line="417" w:lineRule="auto"/>
        <w:rPr>
          <w:sz w:val="20"/>
          <w:szCs w:val="20"/>
          <w:color w:val="auto"/>
        </w:rPr>
      </w:pPr>
      <w:r>
        <w:rPr>
          <w:rFonts w:ascii="Arial" w:cs="Arial" w:eastAsia="Arial" w:hAnsi="Arial"/>
          <w:sz w:val="14"/>
          <w:szCs w:val="14"/>
          <w:color w:val="auto"/>
        </w:rPr>
        <w:t>Kansas City and Vicksburg met the requirements for presentation as assets held for sale under generally accepted accounting principles as of December 31, 2019. However, they did not meet the requirements for presentation as discontinued operations and are included in income from continuing operations.</w:t>
      </w:r>
    </w:p>
    <w:p>
      <w:pPr>
        <w:spacing w:after="0" w:line="110" w:lineRule="exact"/>
        <w:rPr>
          <w:sz w:val="20"/>
          <w:szCs w:val="20"/>
          <w:color w:val="auto"/>
        </w:rPr>
      </w:pPr>
    </w:p>
    <w:p>
      <w:pPr>
        <w:ind w:right="280" w:firstLine="555"/>
        <w:spacing w:after="0" w:line="271" w:lineRule="auto"/>
        <w:rPr>
          <w:sz w:val="20"/>
          <w:szCs w:val="20"/>
          <w:color w:val="auto"/>
        </w:rPr>
      </w:pPr>
      <w:r>
        <w:rPr>
          <w:rFonts w:ascii="Arial" w:cs="Arial" w:eastAsia="Arial" w:hAnsi="Arial"/>
          <w:sz w:val="18"/>
          <w:szCs w:val="18"/>
          <w:color w:val="auto"/>
        </w:rPr>
        <w:t>The definitive agreement provides that the consummation of the sale is subject to satisfaction of customary conditions, including receipt of required regulatory approvals. The transaction is expected to close in the first half of 2020.</w:t>
      </w:r>
    </w:p>
    <w:p>
      <w:pPr>
        <w:spacing w:after="0" w:line="215" w:lineRule="exact"/>
        <w:rPr>
          <w:sz w:val="20"/>
          <w:szCs w:val="20"/>
          <w:color w:val="auto"/>
        </w:rPr>
      </w:pPr>
    </w:p>
    <w:p>
      <w:pPr>
        <w:ind w:right="360" w:firstLine="555"/>
        <w:spacing w:after="0" w:line="271" w:lineRule="auto"/>
        <w:rPr>
          <w:sz w:val="20"/>
          <w:szCs w:val="20"/>
          <w:color w:val="auto"/>
        </w:rPr>
      </w:pPr>
      <w:r>
        <w:rPr>
          <w:rFonts w:ascii="Arial" w:cs="Arial" w:eastAsia="Arial" w:hAnsi="Arial"/>
          <w:sz w:val="18"/>
          <w:szCs w:val="18"/>
          <w:color w:val="auto"/>
        </w:rPr>
        <w:t>The assets and liabilities held for sale, accounted for at carrying value as it was lower than fair value, were as follows as of December 31, 2019 (in thousands):</w:t>
      </w:r>
    </w:p>
    <w:p>
      <w:pPr>
        <w:spacing w:after="0" w:line="260"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Kansas City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Vicksburg</w:t>
            </w:r>
          </w:p>
        </w:tc>
        <w:tc>
          <w:tcPr>
            <w:tcW w:w="20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9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0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Right-of-use assets</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36,135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00" w:type="dxa"/>
            <w:vAlign w:val="bottom"/>
          </w:tcPr>
          <w:p>
            <w:pPr>
              <w:ind w:left="10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4,168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39,126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31,493</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70,619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00" w:type="dxa"/>
            <w:vAlign w:val="bottom"/>
          </w:tcPr>
          <w:p>
            <w:pPr>
              <w:ind w:left="10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39,623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8,806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48,429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Other intangibles, net</w:t>
            </w: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90,329</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2,708</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93,037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90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Assets held for sale</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205,766</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47,369</w:t>
            </w:r>
          </w:p>
        </w:tc>
        <w:tc>
          <w:tcPr>
            <w:tcW w:w="1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253,135</w:t>
            </w:r>
          </w:p>
        </w:tc>
        <w:tc>
          <w:tcPr>
            <w:tcW w:w="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00" w:type="dxa"/>
            <w:vAlign w:val="bottom"/>
          </w:tcPr>
          <w:p>
            <w:pPr>
              <w:ind w:left="100"/>
              <w:spacing w:after="0"/>
              <w:rPr>
                <w:sz w:val="20"/>
                <w:szCs w:val="20"/>
                <w:color w:val="auto"/>
              </w:rPr>
            </w:pPr>
            <w:r>
              <w:rPr>
                <w:rFonts w:ascii="Arial" w:cs="Arial" w:eastAsia="Arial" w:hAnsi="Arial"/>
                <w:sz w:val="18"/>
                <w:szCs w:val="18"/>
                <w:color w:val="auto"/>
              </w:rPr>
              <w:t>Accrued payroll and related</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Accrued property and other taxes</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00" w:type="dxa"/>
            <w:vAlign w:val="bottom"/>
          </w:tcPr>
          <w:p>
            <w:pPr>
              <w:ind w:left="100"/>
              <w:spacing w:after="0"/>
              <w:rPr>
                <w:sz w:val="20"/>
                <w:szCs w:val="20"/>
                <w:color w:val="auto"/>
              </w:rPr>
            </w:pPr>
            <w:r>
              <w:rPr>
                <w:rFonts w:ascii="Arial" w:cs="Arial" w:eastAsia="Arial" w:hAnsi="Arial"/>
                <w:sz w:val="18"/>
                <w:szCs w:val="18"/>
                <w:color w:val="auto"/>
              </w:rPr>
              <w:t>Short-term lease obligation</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Long-term lease obligations</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0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Accrued other liabilities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Liabilities related to assets held for sale</w:t>
            </w:r>
          </w:p>
        </w:tc>
        <w:tc>
          <w:tcPr>
            <w:tcW w:w="2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35,799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1,686</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37,485</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information presents the net operating revenues and net income for the Company’s properties that are held for sale (in thousands):</w:t>
      </w:r>
    </w:p>
    <w:p>
      <w:pPr>
        <w:spacing w:after="0" w:line="330"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336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Year Ended December 31, 2019</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4"/>
        </w:trPr>
        <w:tc>
          <w:tcPr>
            <w:tcW w:w="69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Kansas City</w:t>
            </w:r>
          </w:p>
        </w:tc>
        <w:tc>
          <w:tcPr>
            <w:tcW w:w="520" w:type="dxa"/>
            <w:vAlign w:val="bottom"/>
            <w:tcBorders>
              <w:bottom w:val="single" w:sz="8" w:color="auto"/>
            </w:tcBorders>
          </w:tcPr>
          <w:p>
            <w:pPr>
              <w:spacing w:after="0"/>
              <w:rPr>
                <w:sz w:val="16"/>
                <w:szCs w:val="16"/>
                <w:color w:val="auto"/>
              </w:rPr>
            </w:pPr>
          </w:p>
        </w:tc>
        <w:tc>
          <w:tcPr>
            <w:tcW w:w="280" w:type="dxa"/>
            <w:vAlign w:val="bottom"/>
            <w:tcBorders>
              <w:bottom w:val="single" w:sz="8" w:color="CFF0FC"/>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Vicksburg</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r>
      <w:tr>
        <w:trPr>
          <w:trHeight w:val="221"/>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Net operating revenues</w:t>
            </w:r>
          </w:p>
        </w:tc>
        <w:tc>
          <w:tcPr>
            <w:tcW w:w="1300" w:type="dxa"/>
            <w:vAlign w:val="bottom"/>
            <w:shd w:val="clear" w:color="auto" w:fill="CFF0FC"/>
          </w:tcPr>
          <w:p>
            <w:pPr>
              <w:jc w:val="right"/>
              <w:ind w:right="114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63,238</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10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20,578</w:t>
            </w:r>
          </w:p>
        </w:tc>
        <w:tc>
          <w:tcPr>
            <w:tcW w:w="120" w:type="dxa"/>
            <w:vAlign w:val="bottom"/>
            <w:shd w:val="clear" w:color="auto" w:fill="CFF0FC"/>
          </w:tcPr>
          <w:p>
            <w:pPr>
              <w:spacing w:after="0"/>
              <w:rPr>
                <w:sz w:val="19"/>
                <w:szCs w:val="19"/>
                <w:color w:val="auto"/>
              </w:rPr>
            </w:pPr>
          </w:p>
        </w:tc>
      </w:tr>
      <w:tr>
        <w:trPr>
          <w:trHeight w:val="239"/>
        </w:trPr>
        <w:tc>
          <w:tcPr>
            <w:tcW w:w="6920" w:type="dxa"/>
            <w:vAlign w:val="bottom"/>
          </w:tcPr>
          <w:p>
            <w:pPr>
              <w:spacing w:after="0"/>
              <w:rPr>
                <w:sz w:val="20"/>
                <w:szCs w:val="20"/>
                <w:color w:val="auto"/>
              </w:rPr>
            </w:pPr>
            <w:r>
              <w:rPr>
                <w:rFonts w:ascii="Arial" w:cs="Arial" w:eastAsia="Arial" w:hAnsi="Arial"/>
                <w:sz w:val="18"/>
                <w:szCs w:val="18"/>
                <w:color w:val="auto"/>
              </w:rPr>
              <w:t>Net income (loss)</w:t>
            </w:r>
          </w:p>
        </w:tc>
        <w:tc>
          <w:tcPr>
            <w:tcW w:w="1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11,290</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(1,448)</w:t>
            </w:r>
          </w:p>
        </w:tc>
      </w:tr>
    </w:tbl>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Casinos, Inc.</w:t>
      </w:r>
    </w:p>
    <w:p>
      <w:pPr>
        <w:spacing w:after="0" w:line="128"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On June 17, 2019, the Company entered into definitive agreements to sell the real property relating to Mountaineer, Cape Girardeau, and Caruthersville to VICI for approximately $278 million and, immediately following the consummation of the sale such real property, sell all of the outstanding equity interests of Mountaineer, Caruthersville, and Cape Girardeau to Century Casinos, Inc. for approximately $107 million, subject to a finalized working capital adjustment. The sales were consummated on December 6, 2019.</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5">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380"/>
          </w:cols>
          <w:pgMar w:left="240" w:top="656" w:right="279" w:bottom="1440" w:gutter="0" w:footer="0" w:header="0"/>
        </w:sectPr>
      </w:pPr>
    </w:p>
    <w:bookmarkStart w:id="114" w:name="page115"/>
    <w:bookmarkEnd w:id="114"/>
    <w:p>
      <w:pPr>
        <w:jc w:val="both"/>
        <w:ind w:right="20" w:firstLine="555"/>
        <w:spacing w:after="0" w:line="259" w:lineRule="auto"/>
        <w:rPr>
          <w:sz w:val="20"/>
          <w:szCs w:val="20"/>
          <w:color w:val="auto"/>
        </w:rPr>
      </w:pPr>
      <w:r>
        <w:rPr>
          <w:rFonts w:ascii="Arial" w:cs="Arial" w:eastAsia="Arial" w:hAnsi="Arial"/>
          <w:sz w:val="18"/>
          <w:szCs w:val="18"/>
          <w:color w:val="auto"/>
        </w:rPr>
        <w:t>Prior to the closing date, Mountaineer, Cape Girardeau and Caruthersville met the requirements for presentation as assets held for sale under generally accepted accounting principles. However, they did not meet the requirements for presentation as discontinued operations. Mountaineer was reported in the East segment and Cape Girardeau and Caruthersville were reported in Midwest segment.</w:t>
      </w:r>
    </w:p>
    <w:p>
      <w:pPr>
        <w:spacing w:after="0" w:line="213" w:lineRule="exact"/>
        <w:rPr>
          <w:sz w:val="20"/>
          <w:szCs w:val="20"/>
          <w:color w:val="auto"/>
        </w:rPr>
      </w:pPr>
    </w:p>
    <w:p>
      <w:pPr>
        <w:ind w:right="700" w:firstLine="555"/>
        <w:spacing w:after="0" w:line="271" w:lineRule="auto"/>
        <w:rPr>
          <w:sz w:val="20"/>
          <w:szCs w:val="20"/>
          <w:color w:val="auto"/>
        </w:rPr>
      </w:pPr>
      <w:r>
        <w:rPr>
          <w:rFonts w:ascii="Arial" w:cs="Arial" w:eastAsia="Arial" w:hAnsi="Arial"/>
          <w:sz w:val="18"/>
          <w:szCs w:val="18"/>
          <w:color w:val="auto"/>
        </w:rPr>
        <w:t>The following information presents the net operating revenues and net income of Mountaineer, Cape Girardeau and Caruthersville prior to the respective divestitures (in thousands):</w:t>
      </w: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1"/>
              </w:rPr>
              <w:t>Year Ended December 31, 2019</w:t>
            </w:r>
          </w:p>
        </w:tc>
      </w:tr>
      <w:tr>
        <w:trPr>
          <w:trHeight w:val="154"/>
        </w:trPr>
        <w:tc>
          <w:tcPr>
            <w:tcW w:w="4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Mountaineer</w:t>
            </w:r>
          </w:p>
        </w:tc>
        <w:tc>
          <w:tcPr>
            <w:tcW w:w="1180" w:type="dxa"/>
            <w:vAlign w:val="bottom"/>
            <w:tcBorders>
              <w:top w:val="single" w:sz="8" w:color="auto"/>
            </w:tcBorders>
            <w:gridSpan w:val="3"/>
          </w:tcPr>
          <w:p>
            <w:pPr>
              <w:jc w:val="center"/>
              <w:ind w:right="60"/>
              <w:spacing w:after="0" w:line="154" w:lineRule="exact"/>
              <w:rPr>
                <w:sz w:val="20"/>
                <w:szCs w:val="20"/>
                <w:color w:val="auto"/>
              </w:rPr>
            </w:pPr>
            <w:r>
              <w:rPr>
                <w:rFonts w:ascii="Arial" w:cs="Arial" w:eastAsia="Arial" w:hAnsi="Arial"/>
                <w:sz w:val="14"/>
                <w:szCs w:val="14"/>
                <w:b w:val="1"/>
                <w:bCs w:val="1"/>
                <w:color w:val="auto"/>
                <w:w w:val="95"/>
              </w:rPr>
              <w:t>Cape Girardeau</w:t>
            </w: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7"/>
              <w:spacing w:after="0" w:line="154" w:lineRule="exact"/>
              <w:rPr>
                <w:sz w:val="20"/>
                <w:szCs w:val="20"/>
                <w:color w:val="auto"/>
              </w:rPr>
            </w:pPr>
            <w:r>
              <w:rPr>
                <w:rFonts w:ascii="Arial" w:cs="Arial" w:eastAsia="Arial" w:hAnsi="Arial"/>
                <w:sz w:val="14"/>
                <w:szCs w:val="14"/>
                <w:b w:val="1"/>
                <w:bCs w:val="1"/>
                <w:color w:val="auto"/>
                <w:w w:val="92"/>
              </w:rPr>
              <w:t>Caruthersville</w:t>
            </w:r>
          </w:p>
        </w:tc>
        <w:tc>
          <w:tcPr>
            <w:tcW w:w="80" w:type="dxa"/>
            <w:vAlign w:val="bottom"/>
          </w:tcPr>
          <w:p>
            <w:pPr>
              <w:spacing w:after="0"/>
              <w:rPr>
                <w:sz w:val="13"/>
                <w:szCs w:val="13"/>
                <w:color w:val="auto"/>
              </w:rPr>
            </w:pPr>
          </w:p>
        </w:tc>
      </w:tr>
      <w:tr>
        <w:trPr>
          <w:trHeight w:val="221"/>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operating revenues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117,632</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54,202</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32,645</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10,821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8,156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5,312</w:t>
            </w:r>
          </w:p>
        </w:tc>
        <w:tc>
          <w:tcPr>
            <w:tcW w:w="80" w:type="dxa"/>
            <w:vAlign w:val="bottom"/>
          </w:tcPr>
          <w:p>
            <w:pPr>
              <w:spacing w:after="0"/>
              <w:rPr>
                <w:sz w:val="19"/>
                <w:szCs w:val="19"/>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Churchill Downs Incorporated</w:t>
      </w:r>
    </w:p>
    <w:p>
      <w:pPr>
        <w:spacing w:after="0" w:line="114" w:lineRule="exact"/>
        <w:rPr>
          <w:sz w:val="20"/>
          <w:szCs w:val="20"/>
          <w:color w:val="auto"/>
        </w:rPr>
      </w:pPr>
    </w:p>
    <w:p>
      <w:pPr>
        <w:ind w:right="100" w:firstLine="555"/>
        <w:spacing w:after="0" w:line="254" w:lineRule="auto"/>
        <w:rPr>
          <w:sz w:val="20"/>
          <w:szCs w:val="20"/>
          <w:color w:val="auto"/>
        </w:rPr>
      </w:pPr>
      <w:r>
        <w:rPr>
          <w:rFonts w:ascii="Arial" w:cs="Arial" w:eastAsia="Arial" w:hAnsi="Arial"/>
          <w:sz w:val="18"/>
          <w:szCs w:val="18"/>
          <w:color w:val="auto"/>
        </w:rPr>
        <w:t>On February 28, 2018, the Company entered into definitive agreements to sell substantially all of the assets and liabilities of Presque and Vicksburg to Churchill Downs Incorporated (“CDI”). Under the terms of the agreements, CDI agreed to purchase Presque for approximately $178.9 million and Vicksburg for approximately $50.6 million, in each case subject to a customary working capital adjustment. In conjunction with the classification of Vicksburg’s operations as assets held for sale at March 31, 2018 as a result of the announced sale to CDI, an impairment charge totaling $9.8 million was recorded due to the carrying value exceeding the estimated net sales proceeds.</w:t>
      </w:r>
    </w:p>
    <w:p>
      <w:pPr>
        <w:spacing w:after="0" w:line="189" w:lineRule="exact"/>
        <w:rPr>
          <w:sz w:val="20"/>
          <w:szCs w:val="20"/>
          <w:color w:val="auto"/>
        </w:rPr>
      </w:pPr>
    </w:p>
    <w:p>
      <w:pPr>
        <w:ind w:right="100" w:firstLine="555"/>
        <w:spacing w:after="0" w:line="254" w:lineRule="auto"/>
        <w:rPr>
          <w:sz w:val="20"/>
          <w:szCs w:val="20"/>
          <w:color w:val="auto"/>
        </w:rPr>
      </w:pPr>
      <w:r>
        <w:rPr>
          <w:rFonts w:ascii="Arial" w:cs="Arial" w:eastAsia="Arial" w:hAnsi="Arial"/>
          <w:sz w:val="18"/>
          <w:szCs w:val="18"/>
          <w:color w:val="auto"/>
        </w:rPr>
        <w:t>The definitive agreements provided that the divestitures were subject to receipt of required regulatory approvals, termination of the waiting period under the Hart-Scott-Rodino Antitrust Improvements Act of 1976, as amended (the “HSR Act”) and other customary closing conditions, including, in the case of Presque, the prior closing of the sale of Vicksburg or the entry into an agreement to acquire another asset of the Company. On May 7, 2018, the Company and CDI each received a Request for Additional Information and Documentary Materials, often referred to as a “Second Request,” from the Federal Trade Commission in connection with its review of the Vicksburg acquisition.</w:t>
      </w:r>
    </w:p>
    <w:p>
      <w:pPr>
        <w:spacing w:after="0" w:line="189"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color w:val="auto"/>
        </w:rPr>
        <w:t>On July 6, 2018, in consideration of the time and expense needed to reply to the Second Request, the Company and CDI entered into a termination agreement and release pursuant to which the parties agreed to terminate the asset purchase agreement with respect to Vicksburg and to enter into an asset purchase agreement pursuant to which CDI would acquire and assume the rights and obligations to operate Nemacolin (the “Vicksburg Termination Agreement”). The Vicksburg Termination Agreement also provided that CDI would pay the Company a $5.0 million termination fee upon execution of a definitive agreement with respect to the Nemacolin transaction, which was recorded as proceeds from terminated sale on the Consolidated Statements of Income. On August 10, 2018, the Company entered into a definitive agreement to sell substantially all of the assets and liabilities of Nemacolin to CDI. Under the terms of the agreement, CDI agreed to purchase Nemacolin for cash consideration of approximately $0.1 million, subject to a customary working capital adjustment. As a result of the agreement to sell Nemacolin, an impairment charge of $3.8 million was recorded in the third quarter of 2018 due to the carrying value of the net property and equipment being sold exceeding the estimated net sales proceeds.</w:t>
      </w:r>
    </w:p>
    <w:p>
      <w:pPr>
        <w:spacing w:after="0" w:line="168"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sale of Presque closed on January 11, 2019 resulting in a gain on sale of $22.1 million, net of final working capital adjustments, for the year ended December 31, 2019. The sale of Nemacolin closed on March 8, 2019 resulting in a gain on sale of $0.1 million, net of final working capital adjustments, for the year ended December 31, 2019.</w:t>
      </w:r>
    </w:p>
    <w:p>
      <w:pPr>
        <w:spacing w:after="0" w:line="186" w:lineRule="exact"/>
        <w:rPr>
          <w:sz w:val="20"/>
          <w:szCs w:val="20"/>
          <w:color w:val="auto"/>
        </w:rPr>
      </w:pPr>
    </w:p>
    <w:p>
      <w:pPr>
        <w:ind w:right="60" w:firstLine="555"/>
        <w:spacing w:after="0" w:line="307" w:lineRule="auto"/>
        <w:rPr>
          <w:sz w:val="20"/>
          <w:szCs w:val="20"/>
          <w:color w:val="auto"/>
        </w:rPr>
      </w:pPr>
      <w:r>
        <w:rPr>
          <w:rFonts w:ascii="Arial" w:cs="Arial" w:eastAsia="Arial" w:hAnsi="Arial"/>
          <w:sz w:val="16"/>
          <w:szCs w:val="16"/>
          <w:color w:val="auto"/>
        </w:rPr>
        <w:t>Prior to the respective closing dates, the divestitures of Nemacolin and Presque, both of which were reported in the East segment, met the requirements for presentation as assets held for sale under generally accepted accounting principles. However, they did not meet the requirements for presentation as discontinued operations. Due to the termination of the Vicksburg sale, Vicksburg was no longer presented as an asset held for sale as of December 31, 2018.</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6">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379" w:right="259" w:bottom="1440" w:gutter="0" w:footer="0" w:header="0"/>
        </w:sectPr>
      </w:pPr>
    </w:p>
    <w:bookmarkStart w:id="115" w:name="page116"/>
    <w:bookmarkEnd w:id="115"/>
    <w:p>
      <w:pPr>
        <w:ind w:right="400" w:firstLine="555"/>
        <w:spacing w:after="0" w:line="271" w:lineRule="auto"/>
        <w:rPr>
          <w:sz w:val="20"/>
          <w:szCs w:val="20"/>
          <w:color w:val="auto"/>
        </w:rPr>
      </w:pPr>
      <w:r>
        <w:rPr>
          <w:rFonts w:ascii="Arial" w:cs="Arial" w:eastAsia="Arial" w:hAnsi="Arial"/>
          <w:sz w:val="18"/>
          <w:szCs w:val="18"/>
          <w:color w:val="auto"/>
        </w:rPr>
        <w:t>The assets and liabilities held for sale, accounted for at carrying value as it was lower than fair value, were as follows as of December 31, 2018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0"/>
              </w:rPr>
              <w:t>December 31, 2018</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12"/>
              <w:spacing w:after="0"/>
              <w:rPr>
                <w:sz w:val="20"/>
                <w:szCs w:val="20"/>
                <w:color w:val="auto"/>
              </w:rPr>
            </w:pPr>
            <w:r>
              <w:rPr>
                <w:rFonts w:ascii="Arial" w:cs="Arial" w:eastAsia="Arial" w:hAnsi="Arial"/>
                <w:sz w:val="14"/>
                <w:szCs w:val="14"/>
                <w:b w:val="1"/>
                <w:bCs w:val="1"/>
                <w:color w:val="auto"/>
              </w:rPr>
              <w:t>Nemacolin</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Presque</w:t>
            </w:r>
          </w:p>
        </w:tc>
        <w:tc>
          <w:tcPr>
            <w:tcW w:w="28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5060" w:type="dxa"/>
            <w:vAlign w:val="bottom"/>
            <w:gridSpan w:val="2"/>
          </w:tcPr>
          <w:p>
            <w:pPr>
              <w:spacing w:after="0"/>
              <w:rPr>
                <w:sz w:val="2"/>
                <w:szCs w:val="2"/>
                <w:color w:val="auto"/>
              </w:rPr>
            </w:pPr>
          </w:p>
        </w:tc>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9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04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21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272</w:t>
            </w:r>
          </w:p>
        </w:tc>
        <w:tc>
          <w:tcPr>
            <w:tcW w:w="4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2,208</w:t>
            </w:r>
          </w:p>
        </w:tc>
        <w:tc>
          <w:tcPr>
            <w:tcW w:w="24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Inventories</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040" w:type="dxa"/>
            <w:vAlign w:val="bottom"/>
          </w:tcPr>
          <w:p>
            <w:pPr>
              <w:ind w:left="100"/>
              <w:spacing w:after="0"/>
              <w:rPr>
                <w:sz w:val="20"/>
                <w:szCs w:val="20"/>
                <w:color w:val="auto"/>
              </w:rPr>
            </w:pPr>
            <w:r>
              <w:rPr>
                <w:rFonts w:ascii="Arial" w:cs="Arial" w:eastAsia="Arial" w:hAnsi="Arial"/>
                <w:sz w:val="18"/>
                <w:szCs w:val="18"/>
                <w:color w:val="auto"/>
              </w:rPr>
              <w:t>Prepaid expenses and other</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Property and equipment, net</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70,134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040" w:type="dxa"/>
            <w:vAlign w:val="bottom"/>
          </w:tcPr>
          <w:p>
            <w:pPr>
              <w:ind w:left="100"/>
              <w:spacing w:after="0"/>
              <w:rPr>
                <w:sz w:val="20"/>
                <w:szCs w:val="20"/>
                <w:color w:val="auto"/>
              </w:rPr>
            </w:pPr>
            <w:r>
              <w:rPr>
                <w:rFonts w:ascii="Arial" w:cs="Arial" w:eastAsia="Arial" w:hAnsi="Arial"/>
                <w:sz w:val="18"/>
                <w:szCs w:val="18"/>
                <w:color w:val="auto"/>
              </w:rPr>
              <w:t>Goodwill</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Other intangibles, net</w:t>
            </w:r>
          </w:p>
        </w:tc>
        <w:tc>
          <w:tcPr>
            <w:tcW w:w="19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75,422</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Assets held for sale</w:t>
            </w:r>
          </w:p>
        </w:tc>
        <w:tc>
          <w:tcPr>
            <w:tcW w:w="19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w:t>
            </w:r>
          </w:p>
        </w:tc>
        <w:tc>
          <w:tcPr>
            <w:tcW w:w="2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153,266</w:t>
            </w:r>
          </w:p>
        </w:tc>
        <w:tc>
          <w:tcPr>
            <w:tcW w:w="2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155,771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04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Liabilities:</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Accounts payable</w:t>
            </w:r>
          </w:p>
        </w:tc>
        <w:tc>
          <w:tcPr>
            <w:tcW w:w="216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48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040" w:type="dxa"/>
            <w:vAlign w:val="bottom"/>
          </w:tcPr>
          <w:p>
            <w:pPr>
              <w:ind w:left="100"/>
              <w:spacing w:after="0"/>
              <w:rPr>
                <w:sz w:val="20"/>
                <w:szCs w:val="20"/>
                <w:color w:val="auto"/>
              </w:rPr>
            </w:pPr>
            <w:r>
              <w:rPr>
                <w:rFonts w:ascii="Arial" w:cs="Arial" w:eastAsia="Arial" w:hAnsi="Arial"/>
                <w:sz w:val="18"/>
                <w:szCs w:val="18"/>
                <w:color w:val="auto"/>
              </w:rPr>
              <w:t>Accrued payroll and related</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Accrued property and other taxes</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040" w:type="dxa"/>
            <w:vAlign w:val="bottom"/>
          </w:tcPr>
          <w:p>
            <w:pPr>
              <w:ind w:left="100"/>
              <w:spacing w:after="0"/>
              <w:rPr>
                <w:sz w:val="20"/>
                <w:szCs w:val="20"/>
                <w:color w:val="auto"/>
              </w:rPr>
            </w:pPr>
            <w:r>
              <w:rPr>
                <w:rFonts w:ascii="Arial" w:cs="Arial" w:eastAsia="Arial" w:hAnsi="Arial"/>
                <w:sz w:val="18"/>
                <w:szCs w:val="18"/>
                <w:color w:val="auto"/>
              </w:rPr>
              <w:t>Accrued other liabilities</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Other long-term liabilities</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040" w:type="dxa"/>
            <w:vAlign w:val="bottom"/>
          </w:tcPr>
          <w:p>
            <w:pPr>
              <w:ind w:left="100"/>
              <w:spacing w:after="0"/>
              <w:rPr>
                <w:sz w:val="20"/>
                <w:szCs w:val="20"/>
                <w:color w:val="auto"/>
              </w:rPr>
            </w:pPr>
            <w:r>
              <w:rPr>
                <w:rFonts w:ascii="Arial" w:cs="Arial" w:eastAsia="Arial" w:hAnsi="Arial"/>
                <w:sz w:val="18"/>
                <w:szCs w:val="18"/>
                <w:color w:val="auto"/>
              </w:rPr>
              <w:t>Long term obligation</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Liabilities related to assets held for sale</w:t>
            </w:r>
          </w:p>
        </w:tc>
        <w:tc>
          <w:tcPr>
            <w:tcW w:w="19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180" w:firstLine="555"/>
        <w:spacing w:after="0" w:line="271" w:lineRule="auto"/>
        <w:rPr>
          <w:sz w:val="20"/>
          <w:szCs w:val="20"/>
          <w:color w:val="auto"/>
        </w:rPr>
      </w:pPr>
      <w:r>
        <w:rPr>
          <w:rFonts w:ascii="Arial" w:cs="Arial" w:eastAsia="Arial" w:hAnsi="Arial"/>
          <w:sz w:val="18"/>
          <w:szCs w:val="18"/>
          <w:color w:val="auto"/>
        </w:rPr>
        <w:t>The following information presents the net operating revenues and net income (loss) of Presque and Nemacolin prior to the respective divestitures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40" w:type="dxa"/>
            <w:vAlign w:val="bottom"/>
          </w:tcPr>
          <w:p>
            <w:pPr>
              <w:spacing w:after="0"/>
              <w:rPr>
                <w:sz w:val="14"/>
                <w:szCs w:val="14"/>
                <w:color w:val="auto"/>
              </w:rPr>
            </w:pPr>
          </w:p>
        </w:tc>
        <w:tc>
          <w:tcPr>
            <w:tcW w:w="342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Year Ended December 31, 2018</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54"/>
        </w:trPr>
        <w:tc>
          <w:tcPr>
            <w:tcW w:w="724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Nemacolin</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Presque</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221"/>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Net operating revenues</w:t>
            </w:r>
          </w:p>
        </w:tc>
        <w:tc>
          <w:tcPr>
            <w:tcW w:w="1340" w:type="dxa"/>
            <w:vAlign w:val="bottom"/>
            <w:shd w:val="clear" w:color="auto" w:fill="CFF0FC"/>
          </w:tcPr>
          <w:p>
            <w:pPr>
              <w:jc w:val="right"/>
              <w:ind w:right="116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33,461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8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139,993</w:t>
            </w:r>
          </w:p>
        </w:tc>
        <w:tc>
          <w:tcPr>
            <w:tcW w:w="100" w:type="dxa"/>
            <w:vAlign w:val="bottom"/>
            <w:shd w:val="clear" w:color="auto" w:fill="CFF0FC"/>
          </w:tcPr>
          <w:p>
            <w:pPr>
              <w:spacing w:after="0"/>
              <w:rPr>
                <w:sz w:val="19"/>
                <w:szCs w:val="19"/>
                <w:color w:val="auto"/>
              </w:rPr>
            </w:pPr>
          </w:p>
        </w:tc>
      </w:tr>
      <w:tr>
        <w:trPr>
          <w:trHeight w:val="227"/>
        </w:trPr>
        <w:tc>
          <w:tcPr>
            <w:tcW w:w="7240" w:type="dxa"/>
            <w:vAlign w:val="bottom"/>
          </w:tcPr>
          <w:p>
            <w:pPr>
              <w:spacing w:after="0"/>
              <w:rPr>
                <w:sz w:val="20"/>
                <w:szCs w:val="20"/>
                <w:color w:val="auto"/>
              </w:rPr>
            </w:pPr>
            <w:r>
              <w:rPr>
                <w:rFonts w:ascii="Arial" w:cs="Arial" w:eastAsia="Arial" w:hAnsi="Arial"/>
                <w:sz w:val="18"/>
                <w:szCs w:val="18"/>
                <w:color w:val="auto"/>
              </w:rPr>
              <w:t>Net (loss) income</w:t>
            </w:r>
          </w:p>
        </w:tc>
        <w:tc>
          <w:tcPr>
            <w:tcW w:w="13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(3,571)</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13,935</w:t>
            </w:r>
          </w:p>
        </w:tc>
        <w:tc>
          <w:tcPr>
            <w:tcW w:w="100" w:type="dxa"/>
            <w:vAlign w:val="bottom"/>
          </w:tcPr>
          <w:p>
            <w:pPr>
              <w:spacing w:after="0"/>
              <w:rPr>
                <w:sz w:val="19"/>
                <w:szCs w:val="19"/>
                <w:color w:val="auto"/>
              </w:rPr>
            </w:pPr>
          </w:p>
        </w:tc>
      </w:tr>
      <w:tr>
        <w:trPr>
          <w:trHeight w:val="442"/>
        </w:trPr>
        <w:tc>
          <w:tcPr>
            <w:tcW w:w="7240" w:type="dxa"/>
            <w:vAlign w:val="bottom"/>
          </w:tcPr>
          <w:p>
            <w:pPr>
              <w:spacing w:after="0"/>
              <w:rPr>
                <w:sz w:val="24"/>
                <w:szCs w:val="24"/>
                <w:color w:val="auto"/>
              </w:rPr>
            </w:pPr>
          </w:p>
        </w:tc>
        <w:tc>
          <w:tcPr>
            <w:tcW w:w="342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Year Ended December 31, 2019</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4"/>
        </w:trPr>
        <w:tc>
          <w:tcPr>
            <w:tcW w:w="724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Nemacolin</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Presque</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1"/>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Net operating revenues</w:t>
            </w:r>
          </w:p>
        </w:tc>
        <w:tc>
          <w:tcPr>
            <w:tcW w:w="1340" w:type="dxa"/>
            <w:vAlign w:val="bottom"/>
            <w:shd w:val="clear" w:color="auto" w:fill="CFF0FC"/>
          </w:tcPr>
          <w:p>
            <w:pPr>
              <w:jc w:val="right"/>
              <w:ind w:right="116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8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3,235</w:t>
            </w:r>
          </w:p>
        </w:tc>
        <w:tc>
          <w:tcPr>
            <w:tcW w:w="100" w:type="dxa"/>
            <w:vAlign w:val="bottom"/>
            <w:shd w:val="clear" w:color="auto" w:fill="CFF0FC"/>
          </w:tcPr>
          <w:p>
            <w:pPr>
              <w:spacing w:after="0"/>
              <w:rPr>
                <w:sz w:val="19"/>
                <w:szCs w:val="19"/>
                <w:color w:val="auto"/>
              </w:rPr>
            </w:pPr>
          </w:p>
        </w:tc>
      </w:tr>
      <w:tr>
        <w:trPr>
          <w:trHeight w:val="227"/>
        </w:trPr>
        <w:tc>
          <w:tcPr>
            <w:tcW w:w="7240" w:type="dxa"/>
            <w:vAlign w:val="bottom"/>
          </w:tcPr>
          <w:p>
            <w:pPr>
              <w:spacing w:after="0"/>
              <w:rPr>
                <w:sz w:val="20"/>
                <w:szCs w:val="20"/>
                <w:color w:val="auto"/>
              </w:rPr>
            </w:pPr>
            <w:r>
              <w:rPr>
                <w:rFonts w:ascii="Arial" w:cs="Arial" w:eastAsia="Arial" w:hAnsi="Arial"/>
                <w:sz w:val="18"/>
                <w:szCs w:val="18"/>
                <w:color w:val="auto"/>
              </w:rPr>
              <w:t>Net loss</w:t>
            </w:r>
          </w:p>
        </w:tc>
        <w:tc>
          <w:tcPr>
            <w:tcW w:w="13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(754)</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bl>
    <w:p>
      <w:pPr>
        <w:spacing w:after="0" w:line="2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These amounts include historical operating results, adjusted to eliminate the internal allocation of interest expense that will not be assumed by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buyer.</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 in and Advances to Unconsolidated Affiliates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Pompano Joint Venture</w:t>
      </w:r>
    </w:p>
    <w:p>
      <w:pPr>
        <w:spacing w:after="0" w:line="114" w:lineRule="exact"/>
        <w:rPr>
          <w:sz w:val="20"/>
          <w:szCs w:val="20"/>
          <w:color w:val="auto"/>
        </w:rPr>
      </w:pPr>
    </w:p>
    <w:p>
      <w:pPr>
        <w:ind w:right="20" w:firstLine="555"/>
        <w:spacing w:after="0" w:line="284" w:lineRule="auto"/>
        <w:rPr>
          <w:sz w:val="20"/>
          <w:szCs w:val="20"/>
          <w:color w:val="auto"/>
        </w:rPr>
      </w:pPr>
      <w:r>
        <w:rPr>
          <w:rFonts w:ascii="Arial" w:cs="Arial" w:eastAsia="Arial" w:hAnsi="Arial"/>
          <w:sz w:val="16"/>
          <w:szCs w:val="16"/>
          <w:color w:val="auto"/>
        </w:rPr>
        <w:t>In April 2018, the Company entered into a joint venture with Cordish Companies (“Cordish”) to master plan and develop a mixed-use entertainment and hospitality destination expected to be located on unused land adjacent to the casino and racetrack at the Company’s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the Company’s input and will submit it for the Company’s review and approval. The Company and Cordish have made cash contributions of $500,000 each and could be required to make additional contributions to a maximum of $2.0 million ($1.0 million per member) at the request of the managing member. The Company has agreed to contribute approximately 130 to 200 acres of land to the joint venture for the project. As of December 31, 2019, we have contributed approximately 20 acres to the joint venture at an approximate fair value of $6.6 million. While the Company holds a 50% variable interest in the joint venture, it is not the primary beneficiary; as such the investment in the joint venture is accounted for using the equity method. The Company participates evenly with Cordish in the profits and losses of the joint venture, which is included in income (loss) from unconsolidated affiliates on the Consolidated Statements of Income. At December 31, 2019 and 2018, the Company’s investment in the joint venture including contributions and capitalized professional costs totaled $7.6 million and $0.6 million, respectively, recorded in investment in and advances to unconsolidated affiliates on the Consolidated Balance Sheets.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7">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i w:val="1"/>
          <w:iCs w:val="1"/>
          <w:color w:val="auto"/>
        </w:rPr>
        <w:t>William Hill</w:t>
      </w:r>
    </w:p>
    <w:p>
      <w:pPr>
        <w:spacing w:after="0" w:line="114" w:lineRule="exact"/>
        <w:rPr>
          <w:sz w:val="20"/>
          <w:szCs w:val="20"/>
          <w:color w:val="auto"/>
        </w:rPr>
      </w:pPr>
    </w:p>
    <w:p>
      <w:pPr>
        <w:ind w:right="40" w:firstLine="555"/>
        <w:spacing w:after="0" w:line="282" w:lineRule="auto"/>
        <w:rPr>
          <w:sz w:val="20"/>
          <w:szCs w:val="20"/>
          <w:color w:val="auto"/>
        </w:rPr>
      </w:pPr>
      <w:r>
        <w:rPr>
          <w:rFonts w:ascii="Arial" w:cs="Arial" w:eastAsia="Arial" w:hAnsi="Arial"/>
          <w:sz w:val="16"/>
          <w:szCs w:val="16"/>
          <w:color w:val="auto"/>
        </w:rPr>
        <w:t>In September 2018, the Company entered into a 25-year agreement, which became effective January 29, 2019, with William Hill PLC and William Hill US, its U.S. subsidiary (together, “William Hill”) pursuant to which the Company (i) granted to William Hill the right to conduct betting activities in retail channels and under the Company’s first skin and third skin for online channels with respect to the Company’s current and future properties located in the United States and the territories and possessions of the United States, including Puerto Rico and the U.S. Virgin Islands and (ii) agreed that William Hill will have the right to conduct real money online gaming activities utilizing the Company’s second skin available with respect to properties in such</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territories</w:t>
      </w:r>
      <w:r>
        <w:rPr>
          <w:rFonts w:ascii="Arial" w:cs="Arial" w:eastAsia="Arial" w:hAnsi="Arial"/>
          <w:sz w:val="16"/>
          <w:szCs w:val="16"/>
          <w:i w:val="1"/>
          <w:iCs w:val="1"/>
          <w:color w:val="auto"/>
        </w:rPr>
        <w:t>.</w:t>
      </w:r>
      <w:r>
        <w:rPr>
          <w:rFonts w:ascii="Arial" w:cs="Arial" w:eastAsia="Arial" w:hAnsi="Arial"/>
          <w:sz w:val="16"/>
          <w:szCs w:val="16"/>
          <w:color w:val="auto"/>
        </w:rPr>
        <w:t xml:space="preserve"> Pursuant to the terms of the agreement, in January 2019 the Company received a 20% ownership interest in William Hill US as well as 13.4 million ordinary shares of William Hill PLC, which carry certain time restrictions on when they can be sold. Additionally, the Company receives a profit share from the operations of betting and other gaming activities associated with the Company’s properties. “Skin” in the context of this agreement refers to Eldorado’s ability to grant to William Hill an online channel that allows William Hill to operate online casino and sports gaming activities in reliance on, and utilizing the benefit of, any licenses granted to Eldorado or its subsidiaries. As of December 31, 2019, based on the Company’s existing sportsbook operations with William Hill, the Company’s receivable from William Hill totaled $3.5 million, the remaining balance is reflected in due from affiliates on the Consolidated Balance Sheets.</w:t>
      </w:r>
    </w:p>
    <w:p>
      <w:pPr>
        <w:spacing w:after="0" w:line="166" w:lineRule="exact"/>
        <w:rPr>
          <w:sz w:val="20"/>
          <w:szCs w:val="20"/>
          <w:color w:val="auto"/>
        </w:rPr>
      </w:pPr>
    </w:p>
    <w:p>
      <w:pPr>
        <w:ind w:right="240" w:firstLine="555"/>
        <w:spacing w:after="0" w:line="307" w:lineRule="auto"/>
        <w:rPr>
          <w:sz w:val="20"/>
          <w:szCs w:val="20"/>
          <w:color w:val="auto"/>
        </w:rPr>
      </w:pPr>
      <w:r>
        <w:rPr>
          <w:rFonts w:ascii="Arial" w:cs="Arial" w:eastAsia="Arial" w:hAnsi="Arial"/>
          <w:sz w:val="16"/>
          <w:szCs w:val="16"/>
          <w:color w:val="auto"/>
        </w:rPr>
        <w:t>The Company is accounting for its investment in William Hill US under the equity method. The fair value of the Company’s initial investment in William Hill US of $128.9 million at January 29, 2019 was determined using Level 3 inputs. As of December 31, 2019, the carrying value of the Company’s interest in William Hill US was $127.1 million recorded in investment in and advances to unconsolidated affiliates on the Consolidated Balance Sheets.</w:t>
      </w:r>
    </w:p>
    <w:p>
      <w:pPr>
        <w:spacing w:after="0" w:line="150" w:lineRule="exact"/>
        <w:rPr>
          <w:sz w:val="20"/>
          <w:szCs w:val="20"/>
          <w:color w:val="auto"/>
        </w:rPr>
      </w:pPr>
    </w:p>
    <w:p>
      <w:pPr>
        <w:ind w:right="40" w:firstLine="555"/>
        <w:spacing w:after="0" w:line="254" w:lineRule="auto"/>
        <w:rPr>
          <w:sz w:val="20"/>
          <w:szCs w:val="20"/>
          <w:color w:val="auto"/>
        </w:rPr>
      </w:pPr>
      <w:r>
        <w:rPr>
          <w:rFonts w:ascii="Arial" w:cs="Arial" w:eastAsia="Arial" w:hAnsi="Arial"/>
          <w:sz w:val="18"/>
          <w:szCs w:val="18"/>
          <w:color w:val="auto"/>
        </w:rPr>
        <w:t>As of December 31, 2019, the fair value of the William Hill PLC shares totaled $29.3 million, net of an unrealized gain of $2.0 million, and included in other assets, net on the Consolidated Balance Sheets. The Company also recorded deferred revenue associated with the William Hill US and William Hill PLC shares and is recognizing revenue on a straight-line basis over the 25-year agreement term. The Company recognized revenue of $5.4 million during the year ended December 31, 2019. As of December 31, 2019, the balance of the William Hill deferred revenue totaled $142.1 million and is recorded in other long-term liabilities on the Consolidated Balance Sheets.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and Equipment</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720" w:type="dxa"/>
            <w:vAlign w:val="bottom"/>
          </w:tcPr>
          <w:p>
            <w:pPr>
              <w:spacing w:after="0"/>
              <w:rPr>
                <w:sz w:val="13"/>
                <w:szCs w:val="13"/>
                <w:color w:val="auto"/>
              </w:rPr>
            </w:pPr>
          </w:p>
        </w:tc>
        <w:tc>
          <w:tcPr>
            <w:tcW w:w="53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3"/>
              <w:spacing w:after="0" w:line="154"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2"/>
              <w:spacing w:after="0" w:line="154"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Non-Master Lease:</w:t>
            </w:r>
          </w:p>
        </w:tc>
        <w:tc>
          <w:tcPr>
            <w:tcW w:w="2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Land and improvements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275,000</w:t>
            </w:r>
          </w:p>
        </w:tc>
        <w:tc>
          <w:tcPr>
            <w:tcW w:w="140" w:type="dxa"/>
            <w:vAlign w:val="bottom"/>
          </w:tcPr>
          <w:p>
            <w:pPr>
              <w:spacing w:after="0"/>
              <w:rPr>
                <w:sz w:val="19"/>
                <w:szCs w:val="19"/>
                <w:color w:val="auto"/>
              </w:rPr>
            </w:pPr>
          </w:p>
        </w:tc>
        <w:tc>
          <w:tcPr>
            <w:tcW w:w="440" w:type="dxa"/>
            <w:vAlign w:val="bottom"/>
            <w:gridSpan w:val="2"/>
          </w:tcPr>
          <w:p>
            <w:pPr>
              <w:jc w:val="right"/>
              <w:ind w:right="19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316,456</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Buildings and other leasehold improvements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1,334,740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1,472,516</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Riverboats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57,199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81,762</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equipment</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624,812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586,404</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7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Furniture, fixtures and equipment held under financing</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leases (Note 3)</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30,756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41,346</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2,322,852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2,498,677</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Less—Accumulated depreciation and amortization</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(644,718)</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(569,073)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1,678,134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1,929,604</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Master Lease:</w:t>
            </w: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Land and improvements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377,150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377,150</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Buildings and other leasehold improvements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578,250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578,250</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Riverboats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80" w:type="dxa"/>
            <w:vAlign w:val="bottom"/>
            <w:tcBorders>
              <w:bottom w:val="single" w:sz="8" w:color="CFF0FC"/>
            </w:tcBorders>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20" w:type="dxa"/>
            <w:vAlign w:val="bottom"/>
          </w:tcPr>
          <w:p>
            <w:pPr>
              <w:spacing w:after="0"/>
              <w:rPr>
                <w:sz w:val="19"/>
                <w:szCs w:val="19"/>
                <w:color w:val="auto"/>
              </w:rPr>
            </w:pPr>
          </w:p>
        </w:tc>
        <w:tc>
          <w:tcPr>
            <w:tcW w:w="5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957,300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957,300</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Less—Accumulated depreciation and amortization</w:t>
            </w: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(20,910)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(4,298)</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20" w:type="dxa"/>
            <w:vAlign w:val="bottom"/>
          </w:tcPr>
          <w:p>
            <w:pPr>
              <w:spacing w:after="0"/>
              <w:rPr>
                <w:sz w:val="19"/>
                <w:szCs w:val="19"/>
                <w:color w:val="auto"/>
              </w:rPr>
            </w:pPr>
          </w:p>
        </w:tc>
        <w:tc>
          <w:tcPr>
            <w:tcW w:w="5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936,390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953,002</w:t>
            </w:r>
          </w:p>
        </w:tc>
        <w:tc>
          <w:tcPr>
            <w:tcW w:w="80" w:type="dxa"/>
            <w:vAlign w:val="bottom"/>
            <w:tcBorders>
              <w:top w:val="single" w:sz="8" w:color="CFF0FC"/>
            </w:tcBorders>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40" w:type="dxa"/>
            <w:vAlign w:val="bottom"/>
            <w:gridSpan w:val="2"/>
          </w:tcPr>
          <w:p>
            <w:pPr>
              <w:ind w:left="17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2,614,524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2,882,606</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jc w:val="right"/>
              <w:ind w:right="1113"/>
              <w:spacing w:after="0"/>
              <w:rPr>
                <w:sz w:val="20"/>
                <w:szCs w:val="20"/>
                <w:color w:val="auto"/>
              </w:rPr>
            </w:pPr>
            <w:r>
              <w:rPr>
                <w:rFonts w:ascii="Arial" w:cs="Arial" w:eastAsia="Arial" w:hAnsi="Arial"/>
                <w:sz w:val="18"/>
                <w:szCs w:val="18"/>
                <w:color w:val="auto"/>
              </w:rPr>
              <w:t>115</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70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7231380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7" w:name="page118"/>
    <w:bookmarkEnd w:id="117"/>
    <w:p>
      <w:pPr>
        <w:ind w:left="560"/>
        <w:spacing w:after="0" w:line="207" w:lineRule="exact"/>
        <w:rPr>
          <w:sz w:val="20"/>
          <w:szCs w:val="20"/>
          <w:color w:val="auto"/>
        </w:rPr>
      </w:pPr>
      <w:r>
        <w:rPr>
          <w:rFonts w:ascii="Arial" w:cs="Arial" w:eastAsia="Arial" w:hAnsi="Arial"/>
          <w:sz w:val="18"/>
          <w:szCs w:val="18"/>
          <w:color w:val="auto"/>
        </w:rPr>
        <w:t>Substantially all non-Master Lease property and equipment are pledged as collateral under our long</w:t>
      </w:r>
      <w:r>
        <w:rPr>
          <w:rFonts w:ascii="MS PGothic" w:cs="MS PGothic" w:eastAsia="MS PGothic" w:hAnsi="MS PGothic"/>
          <w:sz w:val="18"/>
          <w:szCs w:val="18"/>
          <w:color w:val="auto"/>
        </w:rPr>
        <w:t>‑</w:t>
      </w:r>
      <w:r>
        <w:rPr>
          <w:rFonts w:ascii="Arial" w:cs="Arial" w:eastAsia="Arial" w:hAnsi="Arial"/>
          <w:sz w:val="18"/>
          <w:szCs w:val="18"/>
          <w:color w:val="auto"/>
        </w:rPr>
        <w:t>term debt (see Note 12).</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Depreciation expense, including amortization expense on financing leases, was $191.3 million, $144.7 million and $100.9 million for the years ended</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2018 and 2017, respectively. Total depreciation and amortization expense includes $16.6 million and $4.3 million for the year ended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 respectively, associated with the Master Lease assets. `</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Intangible Assets, net and Other Long Term Assets</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Intangible assets, net, include the following 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08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5"/>
              <w:spacing w:after="0" w:line="154"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3"/>
              <w:spacing w:after="0" w:line="154"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5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8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909,717</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1,008,316</w:t>
            </w:r>
          </w:p>
        </w:tc>
        <w:tc>
          <w:tcPr>
            <w:tcW w:w="220" w:type="dxa"/>
            <w:vAlign w:val="bottom"/>
            <w:tcBorders>
              <w:bottom w:val="single" w:sz="8" w:color="CFF0FC"/>
            </w:tcBorders>
            <w:shd w:val="clear" w:color="auto" w:fill="CFF0FC"/>
          </w:tcPr>
          <w:p>
            <w:pPr>
              <w:spacing w:after="0"/>
              <w:rPr>
                <w:sz w:val="19"/>
                <w:szCs w:val="19"/>
                <w:color w:val="auto"/>
              </w:rPr>
            </w:pPr>
          </w:p>
        </w:tc>
        <w:tc>
          <w:tcPr>
            <w:tcW w:w="25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3"/>
              </w:rPr>
              <w:t>Indefinite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Gaming licenses</w:t>
            </w:r>
          </w:p>
        </w:tc>
        <w:tc>
          <w:tcPr>
            <w:tcW w:w="1100" w:type="dxa"/>
            <w:vAlign w:val="bottom"/>
            <w:gridSpan w:val="2"/>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893,302</w:t>
            </w:r>
          </w:p>
        </w:tc>
        <w:tc>
          <w:tcPr>
            <w:tcW w:w="2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7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1,090,682</w:t>
            </w:r>
          </w:p>
        </w:tc>
        <w:tc>
          <w:tcPr>
            <w:tcW w:w="220" w:type="dxa"/>
            <w:vAlign w:val="bottom"/>
            <w:shd w:val="clear" w:color="auto" w:fill="CFF0FC"/>
          </w:tcPr>
          <w:p>
            <w:pPr>
              <w:spacing w:after="0"/>
              <w:rPr>
                <w:sz w:val="19"/>
                <w:szCs w:val="19"/>
                <w:color w:val="auto"/>
              </w:rPr>
            </w:pPr>
          </w:p>
        </w:tc>
        <w:tc>
          <w:tcPr>
            <w:tcW w:w="2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Indefinite</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Trade names</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165,479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187,929</w:t>
            </w:r>
          </w:p>
        </w:tc>
        <w:tc>
          <w:tcPr>
            <w:tcW w:w="220" w:type="dxa"/>
            <w:vAlign w:val="bottom"/>
          </w:tcPr>
          <w:p>
            <w:pPr>
              <w:spacing w:after="0"/>
              <w:rPr>
                <w:sz w:val="19"/>
                <w:szCs w:val="19"/>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Indefinite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Player loyalty programs</w:t>
            </w:r>
          </w:p>
        </w:tc>
        <w:tc>
          <w:tcPr>
            <w:tcW w:w="8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100,694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105,005</w:t>
            </w:r>
          </w:p>
        </w:tc>
        <w:tc>
          <w:tcPr>
            <w:tcW w:w="220" w:type="dxa"/>
            <w:vAlign w:val="bottom"/>
            <w:shd w:val="clear" w:color="auto" w:fill="CFF0FC"/>
          </w:tcPr>
          <w:p>
            <w:pPr>
              <w:spacing w:after="0"/>
              <w:rPr>
                <w:sz w:val="19"/>
                <w:szCs w:val="19"/>
                <w:color w:val="auto"/>
              </w:rPr>
            </w:pPr>
          </w:p>
        </w:tc>
        <w:tc>
          <w:tcPr>
            <w:tcW w:w="2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3 - 4 years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80" w:type="dxa"/>
            <w:vAlign w:val="bottom"/>
          </w:tcPr>
          <w:p>
            <w:pPr>
              <w:ind w:left="480"/>
              <w:spacing w:after="0"/>
              <w:rPr>
                <w:sz w:val="20"/>
                <w:szCs w:val="20"/>
                <w:color w:val="auto"/>
              </w:rPr>
            </w:pPr>
            <w:r>
              <w:rPr>
                <w:rFonts w:ascii="Arial" w:cs="Arial" w:eastAsia="Arial" w:hAnsi="Arial"/>
                <w:sz w:val="18"/>
                <w:szCs w:val="18"/>
                <w:color w:val="auto"/>
              </w:rPr>
              <w:t>Subtotal</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1,159,475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1,383,616</w:t>
            </w:r>
          </w:p>
        </w:tc>
        <w:tc>
          <w:tcPr>
            <w:tcW w:w="2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Accumulated amortization player loyalty programs</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(48,077)</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(21,610)</w:t>
            </w:r>
          </w:p>
        </w:tc>
        <w:tc>
          <w:tcPr>
            <w:tcW w:w="2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80" w:type="dxa"/>
            <w:vAlign w:val="bottom"/>
          </w:tcPr>
          <w:p>
            <w:pPr>
              <w:ind w:left="480"/>
              <w:spacing w:after="0"/>
              <w:rPr>
                <w:sz w:val="20"/>
                <w:szCs w:val="20"/>
                <w:color w:val="auto"/>
              </w:rPr>
            </w:pPr>
            <w:r>
              <w:rPr>
                <w:rFonts w:ascii="Arial" w:cs="Arial" w:eastAsia="Arial" w:hAnsi="Arial"/>
                <w:sz w:val="18"/>
                <w:szCs w:val="18"/>
                <w:color w:val="auto"/>
              </w:rPr>
              <w:t>Total gaming licenses and other intangible assets, net</w:t>
            </w:r>
          </w:p>
        </w:tc>
        <w:tc>
          <w:tcPr>
            <w:tcW w:w="8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1,111,398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1,362,006</w:t>
            </w:r>
          </w:p>
        </w:tc>
        <w:tc>
          <w:tcPr>
            <w:tcW w:w="2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right="480" w:firstLine="555"/>
        <w:spacing w:after="0" w:line="259" w:lineRule="auto"/>
        <w:rPr>
          <w:sz w:val="20"/>
          <w:szCs w:val="20"/>
          <w:color w:val="auto"/>
        </w:rPr>
      </w:pPr>
      <w:r>
        <w:rPr>
          <w:rFonts w:ascii="Arial" w:cs="Arial" w:eastAsia="Arial" w:hAnsi="Arial"/>
          <w:sz w:val="18"/>
          <w:szCs w:val="18"/>
          <w:color w:val="auto"/>
        </w:rPr>
        <w:t>Gaming licenses represent intangible assets acquired from the purchase of a gaming entity located in a gaming jurisdiction where competition is limited, such as when only a limited number of gaming operators are allowed to operate in the jurisdiction. These gaming license rights are not subject to amortization as the Company has determined that they have indefinite useful lives.</w:t>
      </w:r>
    </w:p>
    <w:p>
      <w:pPr>
        <w:spacing w:after="0" w:line="186" w:lineRule="exact"/>
        <w:rPr>
          <w:sz w:val="20"/>
          <w:szCs w:val="20"/>
          <w:color w:val="auto"/>
        </w:rPr>
      </w:pPr>
    </w:p>
    <w:p>
      <w:pPr>
        <w:jc w:val="both"/>
        <w:ind w:right="80" w:firstLine="555"/>
        <w:spacing w:after="0" w:line="255" w:lineRule="auto"/>
        <w:rPr>
          <w:sz w:val="20"/>
          <w:szCs w:val="20"/>
          <w:color w:val="auto"/>
        </w:rPr>
      </w:pPr>
      <w:r>
        <w:rPr>
          <w:rFonts w:ascii="Arial" w:cs="Arial" w:eastAsia="Arial" w:hAnsi="Arial"/>
          <w:sz w:val="18"/>
          <w:szCs w:val="18"/>
          <w:color w:val="auto"/>
        </w:rPr>
        <w:t>Amortization expense with respect to trade names and loyalty program for the years ended December 31, 2019, 2018 and 2017 totaled $30.3 million, $12.7 million and $5.1 million, respectively, which is included in depreciation and amortization in the Consolidated Statements of Income. Such amortization expense is expected to be $27.3 million, $21.2 million and $4.2 million for the years ended December 31, 2020, 2021 and 2022, respectively. Trade names and loyalty programs will be fully amortized in 2022.</w:t>
      </w:r>
    </w:p>
    <w:p>
      <w:pPr>
        <w:spacing w:after="0" w:line="231"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Goodwill represents the excess of the purchase prices of acquiring MTR Gaming, Isle, Elgin and Tropicana over the fair market value of the net assets acquired. In conjunction with the classification of Vicksburg’s operations as assets held for sale at June 30, 2018 (see Note 6) as a result of the announced sale to CDI, an impairment charge totaling $9.8 million was recorded due to the carrying value exceeding the estimated net sales proceeds. The impairment reduced the value of goodwill in the South segment in 2018.</w:t>
      </w:r>
    </w:p>
    <w:p>
      <w:pPr>
        <w:spacing w:after="0" w:line="231" w:lineRule="exact"/>
        <w:rPr>
          <w:sz w:val="20"/>
          <w:szCs w:val="20"/>
          <w:color w:val="auto"/>
        </w:rPr>
      </w:pPr>
    </w:p>
    <w:p>
      <w:pPr>
        <w:ind w:right="300" w:firstLine="555"/>
        <w:spacing w:after="0" w:line="335" w:lineRule="auto"/>
        <w:rPr>
          <w:sz w:val="20"/>
          <w:szCs w:val="20"/>
          <w:color w:val="auto"/>
        </w:rPr>
      </w:pPr>
      <w:r>
        <w:rPr>
          <w:rFonts w:ascii="Arial" w:cs="Arial" w:eastAsia="Arial" w:hAnsi="Arial"/>
          <w:sz w:val="16"/>
          <w:szCs w:val="16"/>
          <w:color w:val="auto"/>
        </w:rPr>
        <w:t>The December 31, 2019 balances exclude assets held for sale recorded in 2019 (see Note 6), as well as the assets associated with the Presque, Nemacolin, Cape Girardeau, Caruthersville and Mountaineer divestitures, which accounts for the changes in goodwill and indefinite-lived intangible assets.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0">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118" w:name="page119"/>
    <w:bookmarkEnd w:id="118"/>
    <w:p>
      <w:pPr>
        <w:ind w:left="560"/>
        <w:spacing w:after="0"/>
        <w:rPr>
          <w:sz w:val="20"/>
          <w:szCs w:val="20"/>
          <w:color w:val="auto"/>
        </w:rPr>
      </w:pPr>
      <w:r>
        <w:rPr>
          <w:rFonts w:ascii="Arial" w:cs="Arial" w:eastAsia="Arial" w:hAnsi="Arial"/>
          <w:sz w:val="18"/>
          <w:szCs w:val="18"/>
          <w:color w:val="auto"/>
        </w:rPr>
        <w:t>The following table presents changes to goodwill for the years ended December 31, 2019 and 2018 (in thousands):</w:t>
      </w:r>
    </w:p>
    <w:p>
      <w:pPr>
        <w:spacing w:after="0" w:line="200" w:lineRule="exact"/>
        <w:rPr>
          <w:sz w:val="20"/>
          <w:szCs w:val="20"/>
          <w:color w:val="auto"/>
        </w:rPr>
      </w:pPr>
    </w:p>
    <w:p>
      <w:pPr>
        <w:spacing w:after="0" w:line="24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Goodwill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0"/>
              </w:rPr>
              <w:t>Goodwill, net</w:t>
            </w:r>
          </w:p>
        </w:tc>
        <w:tc>
          <w:tcPr>
            <w:tcW w:w="0" w:type="dxa"/>
            <w:vAlign w:val="bottom"/>
          </w:tcPr>
          <w:p>
            <w:pPr>
              <w:spacing w:after="0"/>
              <w:rPr>
                <w:sz w:val="1"/>
                <w:szCs w:val="1"/>
                <w:color w:val="auto"/>
              </w:rPr>
            </w:pPr>
          </w:p>
        </w:tc>
      </w:tr>
      <w:tr>
        <w:trPr>
          <w:trHeight w:val="170"/>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Impairment</w:t>
            </w: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50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January 1, 2018</w:t>
            </w: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782,022</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(34,916)</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747,106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00" w:type="dxa"/>
            <w:vAlign w:val="bottom"/>
          </w:tcPr>
          <w:p>
            <w:pPr>
              <w:ind w:left="24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280,256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280,256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Finalization of purchase price accounting</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(6,109)</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(6,109)</w:t>
            </w:r>
          </w:p>
        </w:tc>
        <w:tc>
          <w:tcPr>
            <w:tcW w:w="0" w:type="dxa"/>
            <w:vAlign w:val="bottom"/>
          </w:tcPr>
          <w:p>
            <w:pPr>
              <w:spacing w:after="0"/>
              <w:rPr>
                <w:sz w:val="1"/>
                <w:szCs w:val="1"/>
                <w:color w:val="auto"/>
              </w:rPr>
            </w:pPr>
          </w:p>
        </w:tc>
      </w:tr>
      <w:tr>
        <w:trPr>
          <w:trHeight w:val="227"/>
        </w:trPr>
        <w:tc>
          <w:tcPr>
            <w:tcW w:w="4500" w:type="dxa"/>
            <w:vAlign w:val="bottom"/>
          </w:tcPr>
          <w:p>
            <w:pPr>
              <w:ind w:left="240"/>
              <w:spacing w:after="0"/>
              <w:rPr>
                <w:sz w:val="20"/>
                <w:szCs w:val="20"/>
                <w:color w:val="auto"/>
              </w:rPr>
            </w:pPr>
            <w:r>
              <w:rPr>
                <w:rFonts w:ascii="Arial" w:cs="Arial" w:eastAsia="Arial" w:hAnsi="Arial"/>
                <w:sz w:val="18"/>
                <w:szCs w:val="18"/>
                <w:color w:val="auto"/>
              </w:rPr>
              <w:t>Assets held for sale</w:t>
            </w:r>
          </w:p>
        </w:tc>
        <w:tc>
          <w:tcPr>
            <w:tcW w:w="1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(3,122)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28"/>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Impairments</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(9,815)</w:t>
            </w: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(9,815)</w:t>
            </w:r>
          </w:p>
        </w:tc>
        <w:tc>
          <w:tcPr>
            <w:tcW w:w="0" w:type="dxa"/>
            <w:vAlign w:val="bottom"/>
          </w:tcPr>
          <w:p>
            <w:pPr>
              <w:spacing w:after="0"/>
              <w:rPr>
                <w:sz w:val="1"/>
                <w:szCs w:val="1"/>
                <w:color w:val="auto"/>
              </w:rPr>
            </w:pPr>
          </w:p>
        </w:tc>
      </w:tr>
      <w:tr>
        <w:trPr>
          <w:trHeight w:val="221"/>
        </w:trPr>
        <w:tc>
          <w:tcPr>
            <w:tcW w:w="4500" w:type="dxa"/>
            <w:vAlign w:val="bottom"/>
          </w:tcPr>
          <w:p>
            <w:pPr>
              <w:ind w:left="120"/>
              <w:spacing w:after="0"/>
              <w:rPr>
                <w:sz w:val="20"/>
                <w:szCs w:val="20"/>
                <w:color w:val="auto"/>
              </w:rPr>
            </w:pPr>
            <w:r>
              <w:rPr>
                <w:rFonts w:ascii="Arial" w:cs="Arial" w:eastAsia="Arial" w:hAnsi="Arial"/>
                <w:sz w:val="18"/>
                <w:szCs w:val="18"/>
                <w:color w:val="auto"/>
              </w:rPr>
              <w:t>December 31, 2018</w:t>
            </w: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1,053,047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(44,731)</w:t>
            </w: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1,008,316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Divestitures</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(40,920)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(40,920)</w:t>
            </w:r>
          </w:p>
        </w:tc>
        <w:tc>
          <w:tcPr>
            <w:tcW w:w="0" w:type="dxa"/>
            <w:vAlign w:val="bottom"/>
          </w:tcPr>
          <w:p>
            <w:pPr>
              <w:spacing w:after="0"/>
              <w:rPr>
                <w:sz w:val="1"/>
                <w:szCs w:val="1"/>
                <w:color w:val="auto"/>
              </w:rPr>
            </w:pPr>
          </w:p>
        </w:tc>
      </w:tr>
      <w:tr>
        <w:trPr>
          <w:trHeight w:val="227"/>
        </w:trPr>
        <w:tc>
          <w:tcPr>
            <w:tcW w:w="4500" w:type="dxa"/>
            <w:vAlign w:val="bottom"/>
          </w:tcPr>
          <w:p>
            <w:pPr>
              <w:ind w:left="240"/>
              <w:spacing w:after="0"/>
              <w:rPr>
                <w:sz w:val="20"/>
                <w:szCs w:val="20"/>
                <w:color w:val="auto"/>
              </w:rPr>
            </w:pPr>
            <w:r>
              <w:rPr>
                <w:rFonts w:ascii="Arial" w:cs="Arial" w:eastAsia="Arial" w:hAnsi="Arial"/>
                <w:sz w:val="18"/>
                <w:szCs w:val="18"/>
                <w:color w:val="auto"/>
              </w:rPr>
              <w:t>Finalization of purchase price accounting</w:t>
            </w:r>
          </w:p>
        </w:tc>
        <w:tc>
          <w:tcPr>
            <w:tcW w:w="1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(9,250)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(9,250)</w:t>
            </w:r>
          </w:p>
        </w:tc>
        <w:tc>
          <w:tcPr>
            <w:tcW w:w="0" w:type="dxa"/>
            <w:vAlign w:val="bottom"/>
          </w:tcPr>
          <w:p>
            <w:pPr>
              <w:spacing w:after="0"/>
              <w:rPr>
                <w:sz w:val="1"/>
                <w:szCs w:val="1"/>
                <w:color w:val="auto"/>
              </w:rPr>
            </w:pPr>
          </w:p>
        </w:tc>
      </w:tr>
      <w:tr>
        <w:trPr>
          <w:trHeight w:val="228"/>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Assets held for sale</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(48,429)</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(48,429)</w:t>
            </w:r>
          </w:p>
        </w:tc>
        <w:tc>
          <w:tcPr>
            <w:tcW w:w="0" w:type="dxa"/>
            <w:vAlign w:val="bottom"/>
          </w:tcPr>
          <w:p>
            <w:pPr>
              <w:spacing w:after="0"/>
              <w:rPr>
                <w:sz w:val="1"/>
                <w:szCs w:val="1"/>
                <w:color w:val="auto"/>
              </w:rPr>
            </w:pPr>
          </w:p>
        </w:tc>
      </w:tr>
      <w:tr>
        <w:trPr>
          <w:trHeight w:val="221"/>
        </w:trPr>
        <w:tc>
          <w:tcPr>
            <w:tcW w:w="4500" w:type="dxa"/>
            <w:vAlign w:val="bottom"/>
          </w:tcPr>
          <w:p>
            <w:pPr>
              <w:spacing w:after="0"/>
              <w:rPr>
                <w:sz w:val="20"/>
                <w:szCs w:val="20"/>
                <w:color w:val="auto"/>
              </w:rPr>
            </w:pPr>
            <w:r>
              <w:rPr>
                <w:rFonts w:ascii="Arial" w:cs="Arial" w:eastAsia="Arial" w:hAnsi="Arial"/>
                <w:sz w:val="18"/>
                <w:szCs w:val="18"/>
                <w:color w:val="auto"/>
              </w:rPr>
              <w:t>December 31, 2019</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954,448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(44,731)</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909,717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On October 1, 2019 and 2018 the Company performed its annual impairment tests of its intangible assets by reviewing each of its reporting units. During the impairment test, no reporting units were noted to have a carrying value in excess of fair value. As a result, no impairments were indicated as a result of this testing for goodwill.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 net</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assets, net, include the following 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gridSpan w:val="3"/>
          </w:tcPr>
          <w:p>
            <w:pPr>
              <w:jc w:val="center"/>
              <w:ind w:left="333"/>
              <w:spacing w:after="0"/>
              <w:rPr>
                <w:sz w:val="20"/>
                <w:szCs w:val="20"/>
                <w:color w:val="auto"/>
              </w:rPr>
            </w:pPr>
            <w:r>
              <w:rPr>
                <w:rFonts w:ascii="Arial" w:cs="Arial" w:eastAsia="Arial" w:hAnsi="Arial"/>
                <w:sz w:val="14"/>
                <w:szCs w:val="14"/>
                <w:b w:val="1"/>
                <w:bCs w:val="1"/>
                <w:color w:val="auto"/>
                <w:w w:val="92"/>
              </w:rPr>
              <w:t>December 31,</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380" w:type="dxa"/>
            <w:vAlign w:val="bottom"/>
            <w:vMerge w:val="restart"/>
          </w:tcPr>
          <w:p>
            <w:pPr>
              <w:spacing w:after="0"/>
              <w:rPr>
                <w:sz w:val="20"/>
                <w:szCs w:val="20"/>
                <w:color w:val="auto"/>
              </w:rPr>
            </w:pPr>
            <w:r>
              <w:rPr>
                <w:rFonts w:ascii="Arial" w:cs="Arial" w:eastAsia="Arial" w:hAnsi="Arial"/>
                <w:sz w:val="18"/>
                <w:szCs w:val="18"/>
                <w:color w:val="auto"/>
              </w:rPr>
              <w:t>CRDA bonds and deposits</w:t>
            </w:r>
          </w:p>
        </w:tc>
        <w:tc>
          <w:tcPr>
            <w:tcW w:w="21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80" w:type="dxa"/>
            <w:vAlign w:val="bottom"/>
            <w:vMerge w:val="continue"/>
          </w:tcPr>
          <w:p>
            <w:pPr>
              <w:spacing w:after="0"/>
              <w:rPr>
                <w:sz w:val="19"/>
                <w:szCs w:val="19"/>
                <w:color w:val="auto"/>
              </w:rPr>
            </w:pPr>
          </w:p>
        </w:tc>
        <w:tc>
          <w:tcPr>
            <w:tcW w:w="2160" w:type="dxa"/>
            <w:vAlign w:val="bottom"/>
          </w:tcPr>
          <w:p>
            <w:pPr>
              <w:spacing w:after="0"/>
              <w:rPr>
                <w:sz w:val="19"/>
                <w:szCs w:val="19"/>
                <w:color w:val="auto"/>
              </w:rPr>
            </w:pP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4,946</w:t>
            </w:r>
          </w:p>
        </w:tc>
        <w:tc>
          <w:tcPr>
            <w:tcW w:w="280" w:type="dxa"/>
            <w:vAlign w:val="bottom"/>
          </w:tcPr>
          <w:p>
            <w:pPr>
              <w:spacing w:after="0"/>
              <w:rPr>
                <w:sz w:val="19"/>
                <w:szCs w:val="19"/>
                <w:color w:val="auto"/>
              </w:rPr>
            </w:pPr>
          </w:p>
        </w:tc>
        <w:tc>
          <w:tcPr>
            <w:tcW w:w="580" w:type="dxa"/>
            <w:vAlign w:val="bottom"/>
          </w:tcPr>
          <w:p>
            <w:pPr>
              <w:jc w:val="center"/>
              <w:ind w:right="41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Unamortized debt issuance costs - Revolving</w:t>
            </w:r>
          </w:p>
        </w:tc>
        <w:tc>
          <w:tcPr>
            <w:tcW w:w="2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Credit Facility</w:t>
            </w:r>
          </w:p>
        </w:tc>
        <w:tc>
          <w:tcPr>
            <w:tcW w:w="2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80" w:type="dxa"/>
            <w:vAlign w:val="bottom"/>
          </w:tcPr>
          <w:p>
            <w:pPr>
              <w:spacing w:after="0"/>
              <w:rPr>
                <w:sz w:val="20"/>
                <w:szCs w:val="20"/>
                <w:color w:val="auto"/>
              </w:rPr>
            </w:pPr>
            <w:r>
              <w:rPr>
                <w:rFonts w:ascii="Arial" w:cs="Arial" w:eastAsia="Arial" w:hAnsi="Arial"/>
                <w:sz w:val="18"/>
                <w:szCs w:val="18"/>
                <w:color w:val="auto"/>
              </w:rPr>
              <w:t>Non-operating real property</w:t>
            </w:r>
          </w:p>
        </w:tc>
        <w:tc>
          <w:tcPr>
            <w:tcW w:w="2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Long-term prepaid rent</w:t>
            </w:r>
          </w:p>
        </w:tc>
        <w:tc>
          <w:tcPr>
            <w:tcW w:w="2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8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2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39,102</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Long-term receivables</w:t>
            </w:r>
          </w:p>
        </w:tc>
        <w:tc>
          <w:tcPr>
            <w:tcW w:w="2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14,258</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1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8,605</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38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Total other assets, net</w:t>
            </w:r>
          </w:p>
        </w:tc>
        <w:tc>
          <w:tcPr>
            <w:tcW w:w="21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76,224</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center"/>
              <w:ind w:right="41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83,446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20" w:firstLine="555"/>
        <w:spacing w:after="0" w:line="272" w:lineRule="auto"/>
        <w:rPr>
          <w:sz w:val="20"/>
          <w:szCs w:val="20"/>
          <w:color w:val="auto"/>
        </w:rPr>
      </w:pPr>
      <w:r>
        <w:rPr>
          <w:rFonts w:ascii="Arial" w:cs="Arial" w:eastAsia="Arial" w:hAnsi="Arial"/>
          <w:sz w:val="17"/>
          <w:szCs w:val="17"/>
          <w:color w:val="auto"/>
        </w:rPr>
        <w:t>The Casino Reinvestment Development Authority (“CRDA”) bonds have various contractual maturities that range up to 40 years. Actual maturities may differ from contractual maturities because of prepayment rights. The Company treats CRDA bonds as held-to-maturity since the Company has the ability and the intent to hold these bonds to maturity and under the CRDA, the Company is not permitted to do otherwise. The Company analyzes the CRDA bonds for recoverability on a quarterly basis based on management's historical collection experience and other information received from the CRDA. If indications exist that the CRDA bond is impaired, additional valuation allowances are recorded.</w:t>
      </w:r>
    </w:p>
    <w:p>
      <w:pPr>
        <w:spacing w:after="0" w:line="217"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color w:val="auto"/>
        </w:rPr>
        <w:t>Non-operating real property consists principally of land and undeveloped properties for which the Company has designated as non-operating and has declared its intent to sell such assets. As a result of the sale of certain non-operating real property located in Pennsylvania, the Company recognized an impairment charge of $1.0 million for the year ended December 31, 2019.</w:t>
      </w:r>
    </w:p>
    <w:p>
      <w:pPr>
        <w:spacing w:after="0" w:line="226" w:lineRule="exact"/>
        <w:rPr>
          <w:sz w:val="20"/>
          <w:szCs w:val="20"/>
          <w:color w:val="auto"/>
        </w:rPr>
      </w:pPr>
    </w:p>
    <w:p>
      <w:pPr>
        <w:ind w:right="120" w:firstLine="555"/>
        <w:spacing w:after="0" w:line="293" w:lineRule="auto"/>
        <w:rPr>
          <w:sz w:val="20"/>
          <w:szCs w:val="20"/>
          <w:color w:val="auto"/>
        </w:rPr>
      </w:pPr>
      <w:r>
        <w:rPr>
          <w:rFonts w:ascii="Arial" w:cs="Arial" w:eastAsia="Arial" w:hAnsi="Arial"/>
          <w:sz w:val="16"/>
          <w:szCs w:val="16"/>
          <w:color w:val="auto"/>
        </w:rPr>
        <w:t>Approximately ten acres of the approximately 20 acres on which Tropicana Evansville is situated is subject to a lease with the City of Evansville, Indiana. Under the terms of the agreement, a pre-payment of lease rent of $25 million was due at the commencement of the construction project. The prepayments will be applied against future rent in equal monthly amounts over a period of 120 months which commenced upon the opening of the property in January 2018. The current term of the lease expires November 30, 2027. As of December 31, 2018, this prepaid rent was included in long-term prepaid rent. However, upon adoption of the new lease accounting guidance the prepaid rent is now reflected in the Company’s operating lease liability.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41">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19" w:name="page120"/>
    <w:bookmarkEnd w:id="119"/>
    <w:p>
      <w:pPr>
        <w:ind w:right="100" w:firstLine="555"/>
        <w:spacing w:after="0" w:line="255" w:lineRule="auto"/>
        <w:rPr>
          <w:sz w:val="20"/>
          <w:szCs w:val="20"/>
          <w:color w:val="auto"/>
        </w:rPr>
      </w:pPr>
      <w:r>
        <w:rPr>
          <w:rFonts w:ascii="Arial" w:cs="Arial" w:eastAsia="Arial" w:hAnsi="Arial"/>
          <w:sz w:val="18"/>
          <w:szCs w:val="18"/>
          <w:color w:val="auto"/>
        </w:rPr>
        <w:t>In September 2018, we entered into a 25-year agreement, which became effective January 2019, with William Hill pursuant to which we received 13.4 million ordinary shares of William Hill PLC which carry certain time restrictions on when they can be sold. As of December 31, 2019, the fair value of the William Hill PLC shares totaled $29.3 million, net of an unrealized gain of $2.0 million, and is included in other assets, net on the Consolidated Balance Sheets.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Accrued Other Liabilities</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other liabilities consisted of the following (in thousands):</w:t>
      </w:r>
    </w:p>
    <w:p>
      <w:pPr>
        <w:spacing w:after="0" w:line="226"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4"/>
        </w:trPr>
        <w:tc>
          <w:tcPr>
            <w:tcW w:w="53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4"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3"/>
              <w:spacing w:after="0" w:line="154"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r>
      <w:tr>
        <w:trPr>
          <w:trHeight w:val="221"/>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Accrued general liability claims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15,257</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16,465</w:t>
            </w:r>
          </w:p>
        </w:tc>
        <w:tc>
          <w:tcPr>
            <w:tcW w:w="60" w:type="dxa"/>
            <w:vAlign w:val="bottom"/>
            <w:shd w:val="clear" w:color="auto" w:fill="CFF0FC"/>
          </w:tcPr>
          <w:p>
            <w:pPr>
              <w:spacing w:after="0"/>
              <w:rPr>
                <w:sz w:val="19"/>
                <w:szCs w:val="19"/>
                <w:color w:val="auto"/>
              </w:rPr>
            </w:pPr>
          </w:p>
        </w:tc>
      </w:tr>
      <w:tr>
        <w:trPr>
          <w:trHeight w:val="227"/>
        </w:trPr>
        <w:tc>
          <w:tcPr>
            <w:tcW w:w="5340" w:type="dxa"/>
            <w:vAlign w:val="bottom"/>
          </w:tcPr>
          <w:p>
            <w:pPr>
              <w:spacing w:after="0"/>
              <w:rPr>
                <w:sz w:val="20"/>
                <w:szCs w:val="20"/>
                <w:color w:val="auto"/>
              </w:rPr>
            </w:pPr>
            <w:r>
              <w:rPr>
                <w:rFonts w:ascii="Arial" w:cs="Arial" w:eastAsia="Arial" w:hAnsi="Arial"/>
                <w:sz w:val="18"/>
                <w:szCs w:val="18"/>
                <w:color w:val="auto"/>
              </w:rPr>
              <w:t>Unclaimed chips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9,770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8,930</w:t>
            </w:r>
          </w:p>
        </w:tc>
        <w:tc>
          <w:tcPr>
            <w:tcW w:w="60" w:type="dxa"/>
            <w:vAlign w:val="bottom"/>
          </w:tcPr>
          <w:p>
            <w:pPr>
              <w:spacing w:after="0"/>
              <w:rPr>
                <w:sz w:val="19"/>
                <w:szCs w:val="19"/>
                <w:color w:val="auto"/>
              </w:rPr>
            </w:pPr>
          </w:p>
        </w:tc>
      </w:tr>
      <w:tr>
        <w:trPr>
          <w:trHeight w:val="228"/>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Accrued purses and track related liabilities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3,085</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w:t>
            </w:r>
          </w:p>
        </w:tc>
        <w:tc>
          <w:tcPr>
            <w:tcW w:w="60" w:type="dxa"/>
            <w:vAlign w:val="bottom"/>
            <w:shd w:val="clear" w:color="auto" w:fill="CFF0FC"/>
          </w:tcPr>
          <w:p>
            <w:pPr>
              <w:spacing w:after="0"/>
              <w:rPr>
                <w:sz w:val="19"/>
                <w:szCs w:val="19"/>
                <w:color w:val="auto"/>
              </w:rPr>
            </w:pPr>
          </w:p>
        </w:tc>
      </w:tr>
      <w:tr>
        <w:trPr>
          <w:trHeight w:val="213"/>
        </w:trPr>
        <w:tc>
          <w:tcPr>
            <w:tcW w:w="5340" w:type="dxa"/>
            <w:vAlign w:val="bottom"/>
          </w:tcPr>
          <w:p>
            <w:pPr>
              <w:spacing w:after="0"/>
              <w:rPr>
                <w:sz w:val="20"/>
                <w:szCs w:val="20"/>
                <w:color w:val="auto"/>
              </w:rPr>
            </w:pPr>
            <w:r>
              <w:rPr>
                <w:rFonts w:ascii="Arial" w:cs="Arial" w:eastAsia="Arial" w:hAnsi="Arial"/>
                <w:sz w:val="18"/>
                <w:szCs w:val="18"/>
                <w:color w:val="auto"/>
              </w:rPr>
              <w:t>Jackpot progressives and other accrued gaming</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7"/>
        </w:trPr>
        <w:tc>
          <w:tcPr>
            <w:tcW w:w="534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23,756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26,383</w:t>
            </w:r>
          </w:p>
        </w:tc>
        <w:tc>
          <w:tcPr>
            <w:tcW w:w="60" w:type="dxa"/>
            <w:vAlign w:val="bottom"/>
          </w:tcPr>
          <w:p>
            <w:pPr>
              <w:spacing w:after="0"/>
              <w:rPr>
                <w:sz w:val="19"/>
                <w:szCs w:val="19"/>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Player loyalty program point liability</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13,461</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17,639</w:t>
            </w:r>
          </w:p>
        </w:tc>
        <w:tc>
          <w:tcPr>
            <w:tcW w:w="60" w:type="dxa"/>
            <w:vAlign w:val="bottom"/>
            <w:shd w:val="clear" w:color="auto" w:fill="CFF0FC"/>
          </w:tcPr>
          <w:p>
            <w:pPr>
              <w:spacing w:after="0"/>
              <w:rPr>
                <w:sz w:val="19"/>
                <w:szCs w:val="19"/>
                <w:color w:val="auto"/>
              </w:rPr>
            </w:pPr>
          </w:p>
        </w:tc>
      </w:tr>
      <w:tr>
        <w:trPr>
          <w:trHeight w:val="227"/>
        </w:trPr>
        <w:tc>
          <w:tcPr>
            <w:tcW w:w="5340" w:type="dxa"/>
            <w:vAlign w:val="bottom"/>
          </w:tcPr>
          <w:p>
            <w:pPr>
              <w:spacing w:after="0"/>
              <w:rPr>
                <w:sz w:val="20"/>
                <w:szCs w:val="20"/>
                <w:color w:val="auto"/>
              </w:rPr>
            </w:pPr>
            <w:r>
              <w:rPr>
                <w:rFonts w:ascii="Arial" w:cs="Arial" w:eastAsia="Arial" w:hAnsi="Arial"/>
                <w:sz w:val="18"/>
                <w:szCs w:val="18"/>
                <w:color w:val="auto"/>
              </w:rPr>
              <w:t>Accrued Illinois donation liability</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11,232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8,912</w:t>
            </w:r>
          </w:p>
        </w:tc>
        <w:tc>
          <w:tcPr>
            <w:tcW w:w="60" w:type="dxa"/>
            <w:vAlign w:val="bottom"/>
          </w:tcPr>
          <w:p>
            <w:pPr>
              <w:spacing w:after="0"/>
              <w:rPr>
                <w:sz w:val="19"/>
                <w:szCs w:val="19"/>
                <w:color w:val="auto"/>
              </w:rPr>
            </w:pPr>
          </w:p>
        </w:tc>
      </w:tr>
      <w:tr>
        <w:trPr>
          <w:trHeight w:val="228"/>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Accrued transaction expenses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56,302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60" w:type="dxa"/>
            <w:vAlign w:val="bottom"/>
            <w:shd w:val="clear" w:color="auto" w:fill="CFF0FC"/>
          </w:tcPr>
          <w:p>
            <w:pPr>
              <w:spacing w:after="0"/>
              <w:rPr>
                <w:sz w:val="19"/>
                <w:szCs w:val="19"/>
                <w:color w:val="auto"/>
              </w:rPr>
            </w:pPr>
          </w:p>
        </w:tc>
      </w:tr>
      <w:tr>
        <w:trPr>
          <w:trHeight w:val="227"/>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24,216</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22,232</w:t>
            </w:r>
          </w:p>
        </w:tc>
        <w:tc>
          <w:tcPr>
            <w:tcW w:w="60" w:type="dxa"/>
            <w:vAlign w:val="bottom"/>
            <w:tcBorders>
              <w:bottom w:val="single" w:sz="8" w:color="CFF0FC"/>
            </w:tcBorders>
          </w:tcPr>
          <w:p>
            <w:pPr>
              <w:spacing w:after="0"/>
              <w:rPr>
                <w:sz w:val="19"/>
                <w:szCs w:val="19"/>
                <w:color w:val="auto"/>
              </w:rPr>
            </w:pPr>
          </w:p>
        </w:tc>
      </w:tr>
      <w:tr>
        <w:trPr>
          <w:trHeight w:val="221"/>
        </w:trPr>
        <w:tc>
          <w:tcPr>
            <w:tcW w:w="5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accrued other liabilities</w:t>
            </w: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157,079</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102,982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7" w:lineRule="exact"/>
        <w:rPr>
          <w:sz w:val="20"/>
          <w:szCs w:val="20"/>
          <w:color w:val="auto"/>
        </w:rPr>
      </w:pPr>
    </w:p>
    <w:p>
      <w:pPr>
        <w:ind w:right="40" w:firstLine="555"/>
        <w:spacing w:after="0" w:line="254" w:lineRule="auto"/>
        <w:rPr>
          <w:sz w:val="20"/>
          <w:szCs w:val="20"/>
          <w:color w:val="auto"/>
        </w:rPr>
      </w:pPr>
      <w:r>
        <w:rPr>
          <w:rFonts w:ascii="Arial" w:cs="Arial" w:eastAsia="Arial" w:hAnsi="Arial"/>
          <w:sz w:val="18"/>
          <w:szCs w:val="18"/>
          <w:color w:val="auto"/>
        </w:rPr>
        <w:t>In connection with the Company’s gaming license in the State of Illinois, the Company has agreed to contribute to both the County of Kane and the Grand Victoria Foundation, a foundation established for the benefit of education, environmental and economic development programs in the region, a donation equal to 20% of annual adjusted net operating income. The expense totaled $11.2 million for the year ended December 31, 2019 and $3.5 million for the period from the Elgin Acquisition date through December 31, 2018 and is included in general and administrative expense. Payment of the donation is due 120 days after the end of the fiscal year.</w:t>
      </w:r>
    </w:p>
    <w:p>
      <w:pPr>
        <w:spacing w:after="0" w:line="229" w:lineRule="exact"/>
        <w:rPr>
          <w:sz w:val="20"/>
          <w:szCs w:val="20"/>
          <w:color w:val="auto"/>
        </w:rPr>
      </w:pPr>
    </w:p>
    <w:p>
      <w:pPr>
        <w:ind w:right="160" w:firstLine="555"/>
        <w:spacing w:after="0" w:line="297" w:lineRule="auto"/>
        <w:rPr>
          <w:sz w:val="20"/>
          <w:szCs w:val="20"/>
          <w:color w:val="auto"/>
        </w:rPr>
      </w:pPr>
      <w:r>
        <w:rPr>
          <w:rFonts w:ascii="Arial" w:cs="Arial" w:eastAsia="Arial" w:hAnsi="Arial"/>
          <w:sz w:val="16"/>
          <w:szCs w:val="16"/>
          <w:color w:val="auto"/>
        </w:rPr>
        <w:t>Total accrued transaction expenses were $56.3 million and $0.5 million as of December 31, 2019 and 2018, respectively. Pursuant to the Master Transaction Agreement with VICI Properties L.P., a Delaware limited partnership (“VICI”), the Company is required to reimburse VICI for 50% of any prepayment penalties in connection with VICI’s payoff related to its CPLV loan, regardless of whether the Merger closing occurs. The Company’s proportionate share of VICI’s prepayment penalty was approximately $55.4 million and is included in accrued transaction expenses as of December 31, 2019.</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Long-Term Financing Obligation</w:t>
      </w:r>
    </w:p>
    <w:p>
      <w:pPr>
        <w:spacing w:after="0" w:line="118"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As of December 31, 2019, under the prior lease accounting standard the Company’s Master Lease with GLPI was accounted for as a failed sale-leaseback financing obligation equal to the fair value of the leased real estate assets and liabilities acquired in purchase accounting. Upon adoption of ASC 842 (see Note 3), the Company re-evaluated the Master Lease and determined this existing failed sale-leaseback transaction will continue to be accounted for as a financing obligation.</w:t>
      </w:r>
    </w:p>
    <w:p>
      <w:pPr>
        <w:spacing w:after="0" w:line="191"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The fair value of the real estate assets and the related failed sale-leaseback financing obligations were estimated based on the present value of the estimated future lease payments over the lease term of 35 years, including renewal options, using an imputed discount rate of approximately 10.2%. The value of the failed sale-leaseback financing obligations is dependent upon assumptions regarding the amount of the lease payments and the estimated discount rate of the lease payments required by a market participant.</w:t>
      </w:r>
    </w:p>
    <w:p>
      <w:pPr>
        <w:spacing w:after="0" w:line="191"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The Master Lease provides for the lease of land, buildings, structures and other improvements on the land (including barges and riverboats), easements and similar appurtenances to the land and improvements relating to the operation of the leased properties. The Master Lease provides for an initial term of fifteen years with no purchase option. At the Company’s option, the Master Lease may be extended for up to four five-year renewal terms beyond the initial 15-year term. If we elect to renew the term of the Master Lease, the renewal will be effective as to all, but not less than all, of the leased property then subject to the Master Lease. The Company does not have the ability to terminate its obligations under the Master Lease prior to its expiration without GLPI’s consent.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2">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120" w:name="page121"/>
    <w:bookmarkEnd w:id="120"/>
    <w:p>
      <w:pPr>
        <w:ind w:left="560"/>
        <w:spacing w:after="0"/>
        <w:rPr>
          <w:sz w:val="20"/>
          <w:szCs w:val="20"/>
          <w:color w:val="auto"/>
        </w:rPr>
      </w:pPr>
      <w:r>
        <w:rPr>
          <w:rFonts w:ascii="Arial" w:cs="Arial" w:eastAsia="Arial" w:hAnsi="Arial"/>
          <w:sz w:val="18"/>
          <w:szCs w:val="18"/>
          <w:color w:val="auto"/>
        </w:rPr>
        <w:t>The rent payable under the Master Lease is comprised of “Base Rent” and “Percentage Rent.” Base rent is the sum of:</w:t>
      </w:r>
    </w:p>
    <w:p>
      <w:pPr>
        <w:spacing w:after="0" w:line="114" w:lineRule="exact"/>
        <w:rPr>
          <w:sz w:val="20"/>
          <w:szCs w:val="20"/>
          <w:color w:val="auto"/>
        </w:rPr>
      </w:pPr>
    </w:p>
    <w:p>
      <w:pPr>
        <w:jc w:val="both"/>
        <w:ind w:left="1100" w:right="300" w:hanging="544"/>
        <w:spacing w:after="0" w:line="282" w:lineRule="auto"/>
        <w:tabs>
          <w:tab w:leader="none" w:pos="11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Building Base Rent: a fixed component equal to $60.9 million during the first year of the Master Lease, and thereafter escalated annually by 2%, subject to a cap that would cause the preceding year’s adjusted revenue to rent ratio for the properties in the aggregate not to fall below 1.20:1.00 for the first five years of the Master Lease and 1.80:1.00 thereafter; plus</w:t>
      </w:r>
    </w:p>
    <w:p>
      <w:pPr>
        <w:spacing w:after="0" w:line="60" w:lineRule="exact"/>
        <w:rPr>
          <w:rFonts w:ascii="Arial" w:cs="Arial" w:eastAsia="Arial" w:hAnsi="Arial"/>
          <w:sz w:val="17"/>
          <w:szCs w:val="17"/>
          <w:color w:val="auto"/>
        </w:rPr>
      </w:pPr>
    </w:p>
    <w:p>
      <w:pPr>
        <w:ind w:left="1100" w:hanging="544"/>
        <w:spacing w:after="0" w:line="271" w:lineRule="auto"/>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Land Base Rent: an additional fixed component equal to $13.4 million, subject to adjustment in the event of the termination of the Master Lease with respect to any of the leased properties.</w:t>
      </w:r>
    </w:p>
    <w:p>
      <w:pPr>
        <w:spacing w:after="0" w:line="175"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The percentage rent payable under the Master Lease is adjusted every two years based on the actual net revenues of the leased properties during the two-year period then ended. The initial variable rent, which is fixed for the first two years, is $13.4 million per year. The actual percentage increase is based on actual performance and is subject to change.</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initial annual rent under the terms of the lease was approximately $87.6 million, and subject to annual escalations as referenced in the table below.</w:t>
      </w:r>
    </w:p>
    <w:p>
      <w:pPr>
        <w:spacing w:after="0" w:line="244" w:lineRule="exact"/>
        <w:rPr>
          <w:sz w:val="20"/>
          <w:szCs w:val="20"/>
          <w:color w:val="auto"/>
        </w:rPr>
      </w:pPr>
    </w:p>
    <w:p>
      <w:pPr>
        <w:ind w:right="20" w:firstLine="555"/>
        <w:spacing w:after="0" w:line="275" w:lineRule="auto"/>
        <w:rPr>
          <w:sz w:val="20"/>
          <w:szCs w:val="20"/>
          <w:color w:val="auto"/>
        </w:rPr>
      </w:pPr>
      <w:r>
        <w:rPr>
          <w:rFonts w:ascii="Arial" w:cs="Arial" w:eastAsia="Arial" w:hAnsi="Arial"/>
          <w:sz w:val="17"/>
          <w:szCs w:val="17"/>
          <w:color w:val="auto"/>
        </w:rPr>
        <w:t>Under the Master Lease, the Company is required to pay the following, among other things: lease payments to the underlying ground lessor for properties that are subject to ground leases, facility maintenance costs, all insurance premiums for insurance with respect to the leased properties and the business conducted on the leased properties, taxes levied on or with respect to the leased properties (other than taxes on the income of the lessor and all utilities and other services necessary or appropriate for the leased properties and the business conducted on the leased properties).</w:t>
      </w:r>
    </w:p>
    <w:p>
      <w:pPr>
        <w:spacing w:after="0" w:line="175" w:lineRule="exact"/>
        <w:rPr>
          <w:sz w:val="20"/>
          <w:szCs w:val="20"/>
          <w:color w:val="auto"/>
        </w:rPr>
      </w:pPr>
    </w:p>
    <w:p>
      <w:pPr>
        <w:ind w:right="300" w:firstLine="555"/>
        <w:spacing w:after="0" w:line="271" w:lineRule="auto"/>
        <w:rPr>
          <w:sz w:val="20"/>
          <w:szCs w:val="20"/>
          <w:color w:val="auto"/>
        </w:rPr>
      </w:pPr>
      <w:r>
        <w:rPr>
          <w:rFonts w:ascii="Arial" w:cs="Arial" w:eastAsia="Arial" w:hAnsi="Arial"/>
          <w:sz w:val="18"/>
          <w:szCs w:val="18"/>
          <w:color w:val="auto"/>
        </w:rPr>
        <w:t>The estimated future lease payments include the minimum lease payments and were adjusted to reflect estimated lease payments as described in the agreements, including an annual escalator of up to 2%.</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future minimum payments related to the Master Lease financing obligation with GLPI at December 31, 2019 are as follows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227"/>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0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89,168</w:t>
            </w:r>
          </w:p>
        </w:tc>
        <w:tc>
          <w:tcPr>
            <w:tcW w:w="80" w:type="dxa"/>
            <w:vAlign w:val="bottom"/>
            <w:shd w:val="clear" w:color="auto" w:fill="CFF0FC"/>
          </w:tcPr>
          <w:p>
            <w:pPr>
              <w:spacing w:after="0"/>
              <w:rPr>
                <w:sz w:val="19"/>
                <w:szCs w:val="19"/>
                <w:color w:val="auto"/>
              </w:rPr>
            </w:pPr>
          </w:p>
        </w:tc>
      </w:tr>
      <w:tr>
        <w:trPr>
          <w:trHeight w:val="227"/>
        </w:trPr>
        <w:tc>
          <w:tcPr>
            <w:tcW w:w="640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90,417</w:t>
            </w:r>
          </w:p>
        </w:tc>
        <w:tc>
          <w:tcPr>
            <w:tcW w:w="80" w:type="dxa"/>
            <w:vAlign w:val="bottom"/>
          </w:tcPr>
          <w:p>
            <w:pPr>
              <w:spacing w:after="0"/>
              <w:rPr>
                <w:sz w:val="19"/>
                <w:szCs w:val="19"/>
                <w:color w:val="auto"/>
              </w:rPr>
            </w:pPr>
          </w:p>
        </w:tc>
      </w:tr>
      <w:tr>
        <w:trPr>
          <w:trHeight w:val="228"/>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91,691</w:t>
            </w:r>
          </w:p>
        </w:tc>
        <w:tc>
          <w:tcPr>
            <w:tcW w:w="80" w:type="dxa"/>
            <w:vAlign w:val="bottom"/>
            <w:shd w:val="clear" w:color="auto" w:fill="CFF0FC"/>
          </w:tcPr>
          <w:p>
            <w:pPr>
              <w:spacing w:after="0"/>
              <w:rPr>
                <w:sz w:val="19"/>
                <w:szCs w:val="19"/>
                <w:color w:val="auto"/>
              </w:rPr>
            </w:pPr>
          </w:p>
        </w:tc>
      </w:tr>
      <w:tr>
        <w:trPr>
          <w:trHeight w:val="227"/>
        </w:trPr>
        <w:tc>
          <w:tcPr>
            <w:tcW w:w="640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92,990</w:t>
            </w:r>
          </w:p>
        </w:tc>
        <w:tc>
          <w:tcPr>
            <w:tcW w:w="80" w:type="dxa"/>
            <w:vAlign w:val="bottom"/>
          </w:tcPr>
          <w:p>
            <w:pPr>
              <w:spacing w:after="0"/>
              <w:rPr>
                <w:sz w:val="19"/>
                <w:szCs w:val="19"/>
                <w:color w:val="auto"/>
              </w:rPr>
            </w:pPr>
          </w:p>
        </w:tc>
      </w:tr>
      <w:tr>
        <w:trPr>
          <w:trHeight w:val="228"/>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94,315</w:t>
            </w:r>
          </w:p>
        </w:tc>
        <w:tc>
          <w:tcPr>
            <w:tcW w:w="80" w:type="dxa"/>
            <w:vAlign w:val="bottom"/>
            <w:shd w:val="clear" w:color="auto" w:fill="CFF0FC"/>
          </w:tcPr>
          <w:p>
            <w:pPr>
              <w:spacing w:after="0"/>
              <w:rPr>
                <w:sz w:val="19"/>
                <w:szCs w:val="19"/>
                <w:color w:val="auto"/>
              </w:rPr>
            </w:pPr>
          </w:p>
        </w:tc>
      </w:tr>
      <w:tr>
        <w:trPr>
          <w:trHeight w:val="227"/>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3,412,357</w:t>
            </w:r>
          </w:p>
        </w:tc>
        <w:tc>
          <w:tcPr>
            <w:tcW w:w="80" w:type="dxa"/>
            <w:vAlign w:val="bottom"/>
            <w:tcBorders>
              <w:bottom w:val="single" w:sz="8" w:color="CFF0FC"/>
            </w:tcBorders>
          </w:tcPr>
          <w:p>
            <w:pPr>
              <w:spacing w:after="0"/>
              <w:rPr>
                <w:sz w:val="19"/>
                <w:szCs w:val="19"/>
                <w:color w:val="auto"/>
              </w:rPr>
            </w:pPr>
          </w:p>
        </w:tc>
      </w:tr>
      <w:tr>
        <w:trPr>
          <w:trHeight w:val="221"/>
        </w:trPr>
        <w:tc>
          <w:tcPr>
            <w:tcW w:w="6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future payments</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3,870,938</w:t>
            </w:r>
          </w:p>
        </w:tc>
        <w:tc>
          <w:tcPr>
            <w:tcW w:w="80" w:type="dxa"/>
            <w:vAlign w:val="bottom"/>
            <w:shd w:val="clear" w:color="auto" w:fill="CFF0FC"/>
          </w:tcPr>
          <w:p>
            <w:pPr>
              <w:spacing w:after="0"/>
              <w:rPr>
                <w:sz w:val="19"/>
                <w:szCs w:val="19"/>
                <w:color w:val="auto"/>
              </w:rPr>
            </w:pPr>
          </w:p>
        </w:tc>
      </w:tr>
      <w:tr>
        <w:trPr>
          <w:trHeight w:val="227"/>
        </w:trPr>
        <w:tc>
          <w:tcPr>
            <w:tcW w:w="6400" w:type="dxa"/>
            <w:vAlign w:val="bottom"/>
          </w:tcPr>
          <w:p>
            <w:pPr>
              <w:ind w:left="240"/>
              <w:spacing w:after="0"/>
              <w:rPr>
                <w:sz w:val="20"/>
                <w:szCs w:val="20"/>
                <w:color w:val="auto"/>
              </w:rPr>
            </w:pPr>
            <w:r>
              <w:rPr>
                <w:rFonts w:ascii="Arial" w:cs="Arial" w:eastAsia="Arial" w:hAnsi="Arial"/>
                <w:sz w:val="18"/>
                <w:szCs w:val="18"/>
                <w:color w:val="auto"/>
              </w:rPr>
              <w:t>Less: Amounts representing interest at 10.2%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(3,320,519)</w:t>
            </w:r>
          </w:p>
        </w:tc>
      </w:tr>
      <w:tr>
        <w:trPr>
          <w:trHeight w:val="228"/>
        </w:trPr>
        <w:tc>
          <w:tcPr>
            <w:tcW w:w="6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Plus: Residual values</w:t>
            </w: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420,100</w:t>
            </w:r>
          </w:p>
        </w:tc>
        <w:tc>
          <w:tcPr>
            <w:tcW w:w="80" w:type="dxa"/>
            <w:vAlign w:val="bottom"/>
            <w:shd w:val="clear" w:color="auto" w:fill="CFF0FC"/>
          </w:tcPr>
          <w:p>
            <w:pPr>
              <w:spacing w:after="0"/>
              <w:rPr>
                <w:sz w:val="19"/>
                <w:szCs w:val="19"/>
                <w:color w:val="auto"/>
              </w:rPr>
            </w:pPr>
          </w:p>
        </w:tc>
      </w:tr>
      <w:tr>
        <w:trPr>
          <w:trHeight w:val="221"/>
        </w:trPr>
        <w:tc>
          <w:tcPr>
            <w:tcW w:w="6400" w:type="dxa"/>
            <w:vAlign w:val="bottom"/>
          </w:tcPr>
          <w:p>
            <w:pPr>
              <w:ind w:left="480"/>
              <w:spacing w:after="0"/>
              <w:rPr>
                <w:sz w:val="20"/>
                <w:szCs w:val="20"/>
                <w:color w:val="auto"/>
              </w:rPr>
            </w:pPr>
            <w:r>
              <w:rPr>
                <w:rFonts w:ascii="Arial" w:cs="Arial" w:eastAsia="Arial" w:hAnsi="Arial"/>
                <w:sz w:val="18"/>
                <w:szCs w:val="18"/>
                <w:color w:val="auto"/>
              </w:rPr>
              <w:t>Financing obligation to GLPI</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970,519</w:t>
            </w:r>
          </w:p>
        </w:tc>
        <w:tc>
          <w:tcPr>
            <w:tcW w:w="8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0"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Total payments and interest expense related to the Master Lease were $87.9 million and $98.6 million, respectively, for the year ended December 31, 2019. Total payments and interest expense related to the Master Lease were $21.9 million and $24.4 million, respectively, for the period from October 1, 2018 to December 31, 2018. For the initial periods of the Master Lease, cash payments are less than the interest expense recognized, which causes the failed sale-leaseback obligation to increase during the initial years of the lease term.</w:t>
      </w:r>
    </w:p>
    <w:p>
      <w:pPr>
        <w:spacing w:after="0" w:line="218" w:lineRule="exact"/>
        <w:rPr>
          <w:sz w:val="20"/>
          <w:szCs w:val="20"/>
          <w:color w:val="auto"/>
        </w:rPr>
      </w:pPr>
    </w:p>
    <w:p>
      <w:pPr>
        <w:ind w:firstLine="555"/>
        <w:spacing w:after="0" w:line="271" w:lineRule="auto"/>
        <w:rPr>
          <w:sz w:val="20"/>
          <w:szCs w:val="20"/>
          <w:color w:val="auto"/>
        </w:rPr>
      </w:pPr>
      <w:r>
        <w:rPr>
          <w:rFonts w:ascii="Arial" w:cs="Arial" w:eastAsia="Arial" w:hAnsi="Arial"/>
          <w:sz w:val="18"/>
          <w:szCs w:val="18"/>
          <w:color w:val="auto"/>
        </w:rPr>
        <w:t>The Master Lease contains certain covenants, including minimum capital improvement expenditures. As of December 31, 2019, we were in compliance with all of the covenants under the Master Lease.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3">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21" w:name="page122"/>
    <w:bookmarkEnd w:id="121"/>
    <w:p>
      <w:pPr>
        <w:spacing w:after="0" w:line="207" w:lineRule="exact"/>
        <w:rPr>
          <w:sz w:val="20"/>
          <w:szCs w:val="20"/>
          <w:color w:val="auto"/>
        </w:rPr>
      </w:pPr>
      <w:r>
        <w:rPr>
          <w:rFonts w:ascii="Arial" w:cs="Arial" w:eastAsia="Arial" w:hAnsi="Arial"/>
          <w:sz w:val="18"/>
          <w:szCs w:val="18"/>
          <w:b w:val="1"/>
          <w:bCs w:val="1"/>
          <w:color w:val="auto"/>
        </w:rPr>
        <w:t>Note 12.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Term Debt and Other Long-Term Liabilities</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Long-term debt consisted of the following (in thousands):</w:t>
      </w:r>
    </w:p>
    <w:p>
      <w:pPr>
        <w:spacing w:after="0" w:line="29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0"/>
        </w:trPr>
        <w:tc>
          <w:tcPr>
            <w:tcW w:w="5320" w:type="dxa"/>
            <w:vAlign w:val="bottom"/>
            <w:vMerge w:val="restart"/>
          </w:tcPr>
          <w:p>
            <w:pPr>
              <w:spacing w:after="0"/>
              <w:rPr>
                <w:sz w:val="20"/>
                <w:szCs w:val="20"/>
                <w:color w:val="auto"/>
              </w:rPr>
            </w:pPr>
            <w:r>
              <w:rPr>
                <w:rFonts w:ascii="Arial" w:cs="Arial" w:eastAsia="Arial" w:hAnsi="Arial"/>
                <w:sz w:val="18"/>
                <w:szCs w:val="18"/>
                <w:color w:val="auto"/>
              </w:rPr>
              <w:t>Term Loan</w:t>
            </w: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3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498,750</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956,750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discount and debt issuance costs</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(7,982)</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(18,426)</w:t>
            </w:r>
          </w:p>
        </w:tc>
        <w:tc>
          <w:tcPr>
            <w:tcW w:w="0" w:type="dxa"/>
            <w:vAlign w:val="bottom"/>
          </w:tcPr>
          <w:p>
            <w:pPr>
              <w:spacing w:after="0"/>
              <w:rPr>
                <w:sz w:val="1"/>
                <w:szCs w:val="1"/>
                <w:color w:val="auto"/>
              </w:rPr>
            </w:pPr>
          </w:p>
        </w:tc>
      </w:tr>
      <w:tr>
        <w:trPr>
          <w:trHeight w:val="220"/>
        </w:trPr>
        <w:tc>
          <w:tcPr>
            <w:tcW w:w="5320" w:type="dxa"/>
            <w:vAlign w:val="bottom"/>
          </w:tcPr>
          <w:p>
            <w:pPr>
              <w:ind w:left="240"/>
              <w:spacing w:after="0"/>
              <w:rPr>
                <w:sz w:val="20"/>
                <w:szCs w:val="20"/>
                <w:color w:val="auto"/>
              </w:rPr>
            </w:pPr>
            <w:r>
              <w:rPr>
                <w:rFonts w:ascii="Arial" w:cs="Arial" w:eastAsia="Arial" w:hAnsi="Arial"/>
                <w:sz w:val="18"/>
                <w:szCs w:val="18"/>
                <w:color w:val="auto"/>
              </w:rPr>
              <w:t>Net</w:t>
            </w: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490,768</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938,324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6% Senior Notes due 2026</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(17,958)</w:t>
            </w: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(19,630)</w:t>
            </w:r>
          </w:p>
        </w:tc>
        <w:tc>
          <w:tcPr>
            <w:tcW w:w="0" w:type="dxa"/>
            <w:vAlign w:val="bottom"/>
          </w:tcPr>
          <w:p>
            <w:pPr>
              <w:spacing w:after="0"/>
              <w:rPr>
                <w:sz w:val="1"/>
                <w:szCs w:val="1"/>
                <w:color w:val="auto"/>
              </w:rPr>
            </w:pPr>
          </w:p>
        </w:tc>
      </w:tr>
      <w:tr>
        <w:trPr>
          <w:trHeight w:val="221"/>
        </w:trPr>
        <w:tc>
          <w:tcPr>
            <w:tcW w:w="53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w:t>
            </w: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582,042</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580,370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tcPr>
          <w:p>
            <w:pPr>
              <w:spacing w:after="0"/>
              <w:rPr>
                <w:sz w:val="20"/>
                <w:szCs w:val="20"/>
                <w:color w:val="auto"/>
              </w:rPr>
            </w:pPr>
            <w:r>
              <w:rPr>
                <w:rFonts w:ascii="Arial" w:cs="Arial" w:eastAsia="Arial" w:hAnsi="Arial"/>
                <w:sz w:val="18"/>
                <w:szCs w:val="18"/>
                <w:color w:val="auto"/>
              </w:rPr>
              <w:t>6% Senior Notes due 2025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875,000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Plus: Unamortized debt premium</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(15,939)</w:t>
            </w: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(18,405)</w:t>
            </w:r>
          </w:p>
        </w:tc>
        <w:tc>
          <w:tcPr>
            <w:tcW w:w="0" w:type="dxa"/>
            <w:vAlign w:val="bottom"/>
          </w:tcPr>
          <w:p>
            <w:pPr>
              <w:spacing w:after="0"/>
              <w:rPr>
                <w:sz w:val="1"/>
                <w:szCs w:val="1"/>
                <w:color w:val="auto"/>
              </w:rPr>
            </w:pPr>
          </w:p>
        </w:tc>
      </w:tr>
      <w:tr>
        <w:trPr>
          <w:trHeight w:val="221"/>
        </w:trPr>
        <w:tc>
          <w:tcPr>
            <w:tcW w:w="53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w:t>
            </w: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879,275</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880,086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tcPr>
          <w:p>
            <w:pPr>
              <w:spacing w:after="0"/>
              <w:rPr>
                <w:sz w:val="20"/>
                <w:szCs w:val="20"/>
                <w:color w:val="auto"/>
              </w:rPr>
            </w:pPr>
            <w:r>
              <w:rPr>
                <w:rFonts w:ascii="Arial" w:cs="Arial" w:eastAsia="Arial" w:hAnsi="Arial"/>
                <w:sz w:val="18"/>
                <w:szCs w:val="18"/>
                <w:color w:val="auto"/>
              </w:rPr>
              <w:t>7% Senior Notes due 2023</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discount and debt issuance costs</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(4,923)</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(6,075)</w:t>
            </w:r>
          </w:p>
        </w:tc>
        <w:tc>
          <w:tcPr>
            <w:tcW w:w="0" w:type="dxa"/>
            <w:vAlign w:val="bottom"/>
          </w:tcPr>
          <w:p>
            <w:pPr>
              <w:spacing w:after="0"/>
              <w:rPr>
                <w:sz w:val="1"/>
                <w:szCs w:val="1"/>
                <w:color w:val="auto"/>
              </w:rPr>
            </w:pPr>
          </w:p>
        </w:tc>
      </w:tr>
      <w:tr>
        <w:trPr>
          <w:trHeight w:val="220"/>
        </w:trPr>
        <w:tc>
          <w:tcPr>
            <w:tcW w:w="5320" w:type="dxa"/>
            <w:vAlign w:val="bottom"/>
          </w:tcPr>
          <w:p>
            <w:pPr>
              <w:ind w:left="240"/>
              <w:spacing w:after="0"/>
              <w:rPr>
                <w:sz w:val="20"/>
                <w:szCs w:val="20"/>
                <w:color w:val="auto"/>
              </w:rPr>
            </w:pPr>
            <w:r>
              <w:rPr>
                <w:rFonts w:ascii="Arial" w:cs="Arial" w:eastAsia="Arial" w:hAnsi="Arial"/>
                <w:sz w:val="18"/>
                <w:szCs w:val="18"/>
                <w:color w:val="auto"/>
              </w:rPr>
              <w:t>Net</w:t>
            </w: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370,077</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368,925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tcPr>
          <w:p>
            <w:pPr>
              <w:spacing w:after="0"/>
              <w:rPr>
                <w:sz w:val="20"/>
                <w:szCs w:val="20"/>
                <w:color w:val="auto"/>
              </w:rPr>
            </w:pPr>
            <w:r>
              <w:rPr>
                <w:rFonts w:ascii="Arial" w:cs="Arial" w:eastAsia="Arial" w:hAnsi="Arial"/>
                <w:sz w:val="18"/>
                <w:szCs w:val="18"/>
                <w:color w:val="auto"/>
              </w:rPr>
              <w:t>Lumière Loan</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Long-term notes and other payables</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(246,175)</w:t>
            </w: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47"/>
        </w:trPr>
        <w:tc>
          <w:tcPr>
            <w:tcW w:w="53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long-term debt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2,324,541</w:t>
            </w:r>
          </w:p>
        </w:tc>
        <w:tc>
          <w:tcPr>
            <w:tcW w:w="26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3,261,273</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Maturities of the principal amount of the Company’s long-term debt as of December 31, 2019 are as follows:</w:t>
      </w:r>
    </w:p>
    <w:p>
      <w:pPr>
        <w:spacing w:after="0" w:line="387" w:lineRule="exact"/>
        <w:rPr>
          <w:sz w:val="20"/>
          <w:szCs w:val="20"/>
          <w:color w:val="auto"/>
        </w:rPr>
      </w:pPr>
    </w:p>
    <w:tbl>
      <w:tblPr>
        <w:tblLayout w:type="fixed"/>
        <w:tblInd w:w="2300" w:type="dxa"/>
        <w:tblCellMar>
          <w:top w:w="0" w:type="dxa"/>
          <w:left w:w="0" w:type="dxa"/>
          <w:bottom w:w="0" w:type="dxa"/>
          <w:right w:w="0" w:type="dxa"/>
        </w:tblCellMar>
      </w:tblPr>
      <w:tr>
        <w:trPr>
          <w:trHeight w:val="170"/>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420" w:type="dxa"/>
            <w:vAlign w:val="bottom"/>
          </w:tcPr>
          <w:p>
            <w:pPr>
              <w:spacing w:after="0"/>
              <w:rPr>
                <w:sz w:val="14"/>
                <w:szCs w:val="14"/>
                <w:color w:val="auto"/>
              </w:rPr>
            </w:pPr>
          </w:p>
        </w:tc>
        <w:tc>
          <w:tcPr>
            <w:tcW w:w="2080" w:type="dxa"/>
            <w:vAlign w:val="bottom"/>
            <w:gridSpan w:val="2"/>
          </w:tcPr>
          <w:p>
            <w:pPr>
              <w:ind w:left="340"/>
              <w:spacing w:after="0"/>
              <w:rPr>
                <w:sz w:val="20"/>
                <w:szCs w:val="20"/>
                <w:color w:val="auto"/>
              </w:rPr>
            </w:pPr>
            <w:r>
              <w:rPr>
                <w:rFonts w:ascii="Arial" w:cs="Arial" w:eastAsia="Arial" w:hAnsi="Arial"/>
                <w:sz w:val="14"/>
                <w:szCs w:val="14"/>
                <w:b w:val="1"/>
                <w:bCs w:val="1"/>
                <w:i w:val="1"/>
                <w:iCs w:val="1"/>
                <w:color w:val="auto"/>
              </w:rPr>
              <w:t>(In thousands)</w:t>
            </w:r>
          </w:p>
        </w:tc>
      </w:tr>
      <w:tr>
        <w:trPr>
          <w:trHeight w:val="221"/>
        </w:trPr>
        <w:tc>
          <w:tcPr>
            <w:tcW w:w="220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2020</w:t>
            </w:r>
          </w:p>
        </w:tc>
        <w:tc>
          <w:tcPr>
            <w:tcW w:w="21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246,175</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2200" w:type="dxa"/>
            <w:vAlign w:val="bottom"/>
          </w:tcPr>
          <w:p>
            <w:pPr>
              <w:ind w:left="120"/>
              <w:spacing w:after="0"/>
              <w:rPr>
                <w:sz w:val="20"/>
                <w:szCs w:val="20"/>
                <w:color w:val="auto"/>
              </w:rPr>
            </w:pPr>
            <w:r>
              <w:rPr>
                <w:rFonts w:ascii="Arial" w:cs="Arial" w:eastAsia="Arial" w:hAnsi="Arial"/>
                <w:sz w:val="18"/>
                <w:szCs w:val="18"/>
                <w:color w:val="auto"/>
              </w:rPr>
              <w:t>2021</w:t>
            </w:r>
          </w:p>
        </w:tc>
        <w:tc>
          <w:tcPr>
            <w:tcW w:w="2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r>
      <w:tr>
        <w:trPr>
          <w:trHeight w:val="228"/>
        </w:trPr>
        <w:tc>
          <w:tcPr>
            <w:tcW w:w="2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2022</w:t>
            </w:r>
          </w:p>
        </w:tc>
        <w:tc>
          <w:tcPr>
            <w:tcW w:w="2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FF0FC"/>
          </w:tcPr>
          <w:p>
            <w:pPr>
              <w:spacing w:after="0"/>
              <w:rPr>
                <w:sz w:val="19"/>
                <w:szCs w:val="19"/>
                <w:color w:val="auto"/>
              </w:rPr>
            </w:pPr>
          </w:p>
        </w:tc>
      </w:tr>
      <w:tr>
        <w:trPr>
          <w:trHeight w:val="227"/>
        </w:trPr>
        <w:tc>
          <w:tcPr>
            <w:tcW w:w="2200" w:type="dxa"/>
            <w:vAlign w:val="bottom"/>
          </w:tcPr>
          <w:p>
            <w:pPr>
              <w:ind w:left="120"/>
              <w:spacing w:after="0"/>
              <w:rPr>
                <w:sz w:val="20"/>
                <w:szCs w:val="20"/>
                <w:color w:val="auto"/>
              </w:rPr>
            </w:pPr>
            <w:r>
              <w:rPr>
                <w:rFonts w:ascii="Arial" w:cs="Arial" w:eastAsia="Arial" w:hAnsi="Arial"/>
                <w:sz w:val="18"/>
                <w:szCs w:val="18"/>
                <w:color w:val="auto"/>
              </w:rPr>
              <w:t>2023</w:t>
            </w:r>
          </w:p>
        </w:tc>
        <w:tc>
          <w:tcPr>
            <w:tcW w:w="2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375,138</w:t>
            </w:r>
          </w:p>
        </w:tc>
        <w:tc>
          <w:tcPr>
            <w:tcW w:w="80" w:type="dxa"/>
            <w:vAlign w:val="bottom"/>
          </w:tcPr>
          <w:p>
            <w:pPr>
              <w:spacing w:after="0"/>
              <w:rPr>
                <w:sz w:val="19"/>
                <w:szCs w:val="19"/>
                <w:color w:val="auto"/>
              </w:rPr>
            </w:pPr>
          </w:p>
        </w:tc>
      </w:tr>
      <w:tr>
        <w:trPr>
          <w:trHeight w:val="228"/>
        </w:trPr>
        <w:tc>
          <w:tcPr>
            <w:tcW w:w="2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2024</w:t>
            </w:r>
          </w:p>
        </w:tc>
        <w:tc>
          <w:tcPr>
            <w:tcW w:w="2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498,900</w:t>
            </w:r>
          </w:p>
        </w:tc>
        <w:tc>
          <w:tcPr>
            <w:tcW w:w="80" w:type="dxa"/>
            <w:vAlign w:val="bottom"/>
            <w:shd w:val="clear" w:color="auto" w:fill="CFF0FC"/>
          </w:tcPr>
          <w:p>
            <w:pPr>
              <w:spacing w:after="0"/>
              <w:rPr>
                <w:sz w:val="19"/>
                <w:szCs w:val="19"/>
                <w:color w:val="auto"/>
              </w:rPr>
            </w:pPr>
          </w:p>
        </w:tc>
      </w:tr>
      <w:tr>
        <w:trPr>
          <w:trHeight w:val="227"/>
        </w:trPr>
        <w:tc>
          <w:tcPr>
            <w:tcW w:w="434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1,476,705</w:t>
            </w:r>
          </w:p>
        </w:tc>
        <w:tc>
          <w:tcPr>
            <w:tcW w:w="80" w:type="dxa"/>
            <w:vAlign w:val="bottom"/>
            <w:tcBorders>
              <w:bottom w:val="single" w:sz="8" w:color="CFF0FC"/>
            </w:tcBorders>
          </w:tcPr>
          <w:p>
            <w:pPr>
              <w:spacing w:after="0"/>
              <w:rPr>
                <w:sz w:val="19"/>
                <w:szCs w:val="19"/>
                <w:color w:val="auto"/>
              </w:rPr>
            </w:pPr>
          </w:p>
        </w:tc>
      </w:tr>
      <w:tr>
        <w:trPr>
          <w:trHeight w:val="221"/>
        </w:trPr>
        <w:tc>
          <w:tcPr>
            <w:tcW w:w="2200" w:type="dxa"/>
            <w:vAlign w:val="bottom"/>
            <w:tcBorders>
              <w:bottom w:val="single" w:sz="8" w:color="CFF0FC"/>
            </w:tcBorders>
            <w:shd w:val="clear" w:color="auto" w:fill="CFF0FC"/>
          </w:tcPr>
          <w:p>
            <w:pPr>
              <w:spacing w:after="0"/>
              <w:rPr>
                <w:sz w:val="19"/>
                <w:szCs w:val="19"/>
                <w:color w:val="auto"/>
              </w:rPr>
            </w:pPr>
          </w:p>
        </w:tc>
        <w:tc>
          <w:tcPr>
            <w:tcW w:w="21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2,597,303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7" w:lineRule="exact"/>
        <w:rPr>
          <w:sz w:val="20"/>
          <w:szCs w:val="20"/>
          <w:color w:val="auto"/>
        </w:rPr>
      </w:pPr>
    </w:p>
    <w:p>
      <w:pPr>
        <w:ind w:right="20" w:firstLine="555"/>
        <w:spacing w:after="0" w:line="307" w:lineRule="auto"/>
        <w:rPr>
          <w:sz w:val="20"/>
          <w:szCs w:val="20"/>
          <w:color w:val="auto"/>
        </w:rPr>
      </w:pPr>
      <w:r>
        <w:rPr>
          <w:rFonts w:ascii="Arial" w:cs="Arial" w:eastAsia="Arial" w:hAnsi="Arial"/>
          <w:sz w:val="16"/>
          <w:szCs w:val="16"/>
          <w:color w:val="auto"/>
        </w:rPr>
        <w:t>Additionally, as of December 31, 2019 and 2018, Other Long-Term Liabilities of $165.6 million and $59.0 million, respectively, primarily consists of deferred revenue related to the Company’s interests in William Hill and TSG (see Note 7 and Note 17) and other miscellaneous long-term liabilities. As of December 31, 2018, prior to the adoption of ASC-842, Other Long-Term Liabilities also included Long-Term Accrued Rent of $28.3 million.</w:t>
      </w:r>
    </w:p>
    <w:p>
      <w:pPr>
        <w:spacing w:after="0" w:line="190" w:lineRule="exact"/>
        <w:rPr>
          <w:sz w:val="20"/>
          <w:szCs w:val="20"/>
          <w:color w:val="auto"/>
        </w:rPr>
      </w:pPr>
    </w:p>
    <w:p>
      <w:pPr>
        <w:jc w:val="both"/>
        <w:ind w:right="240" w:firstLine="555"/>
        <w:spacing w:after="0" w:line="259" w:lineRule="auto"/>
        <w:rPr>
          <w:sz w:val="20"/>
          <w:szCs w:val="20"/>
          <w:color w:val="auto"/>
        </w:rPr>
      </w:pPr>
      <w:r>
        <w:rPr>
          <w:rFonts w:ascii="Arial" w:cs="Arial" w:eastAsia="Arial" w:hAnsi="Arial"/>
          <w:sz w:val="18"/>
          <w:szCs w:val="18"/>
          <w:color w:val="auto"/>
        </w:rPr>
        <w:t>Amortization of the debt issuance costs and the discount and premium associated with our indebtedness totaled $7.6 million, $5.6 million and $6.3 million for the years ended December 31, 2019, 2018 and 2017, respectively. Amortization of debt issuance costs is computed using the effective interest method and is included in interest expense.</w:t>
      </w:r>
    </w:p>
    <w:p>
      <w:pPr>
        <w:spacing w:after="0" w:line="186"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In accordance with ASC Topic 470-50, Debt Modifications and Extinguishments (“ASC 470-50”), the Company recognized a loss on the early retirement of debt totaling $7.5 million for the year ended December 31, 2019 related to a pro-rated write off of deferred financing costs associated with permanent payments on our Term Loan. The company recognized a loss of $27.3 million for the year ended December 31, 2017 as a result of the refinance of the prior credit facility in May 2017. The Company also recognized a loss totaling $11.1 million as a result of the issuance of additional 6% Senior Notes due 2025 (as defined below) in September 2017 resulting in a combined total loss of $38.4 million for the year ended December 31, 2017.</w:t>
      </w:r>
    </w:p>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4">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260"/>
          </w:cols>
          <w:pgMar w:left="240" w:top="335" w:right="399" w:bottom="1440" w:gutter="0" w:footer="0" w:header="0"/>
        </w:sectPr>
      </w:pPr>
    </w:p>
    <w:bookmarkStart w:id="122" w:name="page123"/>
    <w:bookmarkEnd w:id="122"/>
    <w:p>
      <w:pPr>
        <w:jc w:val="both"/>
        <w:ind w:right="160" w:firstLine="555"/>
        <w:spacing w:after="0" w:line="307" w:lineRule="auto"/>
        <w:rPr>
          <w:sz w:val="20"/>
          <w:szCs w:val="20"/>
          <w:color w:val="auto"/>
        </w:rPr>
      </w:pPr>
      <w:r>
        <w:rPr>
          <w:rFonts w:ascii="Arial" w:cs="Arial" w:eastAsia="Arial" w:hAnsi="Arial"/>
          <w:sz w:val="16"/>
          <w:szCs w:val="16"/>
          <w:color w:val="auto"/>
        </w:rPr>
        <w:t>The Company is a holding company with no independent assets or operations. Our 6% Senior Notes due 2025, 6% Senior Notes due 2026 (as defined below) and 7% Senior Notes due 2023 (as defined below) are fully and unconditionally guaranteed, on a joint and several basis, by the subsidiary guarantors. As of December 31, 2019, there were no significant restrictions on the ability of our subsidiaries to distribute cash to us or our guarantor subsidiaries.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Senior Notes due 2023</w:t>
      </w:r>
    </w:p>
    <w:p>
      <w:pPr>
        <w:spacing w:after="0" w:line="114" w:lineRule="exact"/>
        <w:rPr>
          <w:sz w:val="20"/>
          <w:szCs w:val="20"/>
          <w:color w:val="auto"/>
        </w:rPr>
      </w:pPr>
    </w:p>
    <w:p>
      <w:pPr>
        <w:ind w:firstLine="555"/>
        <w:spacing w:after="0" w:line="307" w:lineRule="auto"/>
        <w:rPr>
          <w:sz w:val="20"/>
          <w:szCs w:val="20"/>
          <w:color w:val="auto"/>
        </w:rPr>
      </w:pPr>
      <w:r>
        <w:rPr>
          <w:rFonts w:ascii="Arial" w:cs="Arial" w:eastAsia="Arial" w:hAnsi="Arial"/>
          <w:sz w:val="16"/>
          <w:szCs w:val="16"/>
          <w:color w:val="auto"/>
        </w:rPr>
        <w:t>On July 23, 2015, the Company issued at par $375.0 million in aggregate principal amount of 7.0% senior notes due 2023 (“7% Senior Notes due 2023”) pursuant to the Indenture, dated as of July 23, 2015 (the “2023 Indenture”), between the Company and U.S. Bank, National Association, as Trustee. The 7% Senior Notes due 2023 will mature on August 1, 2023, with interest payable semi-annually in arrears on February 1 and August 1 of each year.</w:t>
      </w:r>
    </w:p>
    <w:p>
      <w:pPr>
        <w:spacing w:after="0" w:line="150" w:lineRule="exact"/>
        <w:rPr>
          <w:sz w:val="20"/>
          <w:szCs w:val="20"/>
          <w:color w:val="auto"/>
        </w:rPr>
      </w:pPr>
    </w:p>
    <w:p>
      <w:pPr>
        <w:ind w:right="220" w:firstLine="555"/>
        <w:spacing w:after="0" w:line="307" w:lineRule="auto"/>
        <w:rPr>
          <w:sz w:val="20"/>
          <w:szCs w:val="20"/>
          <w:color w:val="auto"/>
        </w:rPr>
      </w:pPr>
      <w:r>
        <w:rPr>
          <w:rFonts w:ascii="Arial" w:cs="Arial" w:eastAsia="Arial" w:hAnsi="Arial"/>
          <w:sz w:val="16"/>
          <w:szCs w:val="16"/>
          <w:color w:val="auto"/>
        </w:rPr>
        <w:t>On or after August 1, 2018, the Company may redeem all or a portion of the Senior Notes upon not less than 30 nor more than 60 days’ notice, at the redemption prices (expressed as percentages of the principal amount) set forth below plus accrued and unpaid interest and additional interest, if any, on the Senior Notes redeemed, to the applicable redemption date, if redeemed during the twelve month period beginning on August 1 of the years indicated below:</w:t>
      </w:r>
    </w:p>
    <w:p>
      <w:pPr>
        <w:spacing w:after="0" w:line="155" w:lineRule="exact"/>
        <w:rPr>
          <w:sz w:val="20"/>
          <w:szCs w:val="20"/>
          <w:color w:val="auto"/>
        </w:rPr>
      </w:pPr>
    </w:p>
    <w:tbl>
      <w:tblPr>
        <w:tblLayout w:type="fixed"/>
        <w:tblInd w:w="2300" w:type="dxa"/>
        <w:tblCellMar>
          <w:top w:w="0" w:type="dxa"/>
          <w:left w:w="0" w:type="dxa"/>
          <w:bottom w:w="0" w:type="dxa"/>
          <w:right w:w="0" w:type="dxa"/>
        </w:tblCellMar>
      </w:tblPr>
      <w:tr>
        <w:trPr>
          <w:trHeight w:val="170"/>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140" w:type="dxa"/>
            <w:vAlign w:val="bottom"/>
          </w:tcPr>
          <w:p>
            <w:pPr>
              <w:jc w:val="right"/>
              <w:ind w:right="154"/>
              <w:spacing w:after="0"/>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4"/>
                <w:szCs w:val="14"/>
                <w:color w:val="auto"/>
              </w:rPr>
            </w:pPr>
          </w:p>
        </w:tc>
      </w:tr>
      <w:tr>
        <w:trPr>
          <w:trHeight w:val="221"/>
        </w:trPr>
        <w:tc>
          <w:tcPr>
            <w:tcW w:w="5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105.250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34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101.750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460" w:type="dxa"/>
            <w:vAlign w:val="bottom"/>
            <w:gridSpan w:val="2"/>
          </w:tcPr>
          <w:p>
            <w:pPr>
              <w:spacing w:after="0"/>
              <w:rPr>
                <w:sz w:val="20"/>
                <w:szCs w:val="20"/>
                <w:color w:val="auto"/>
              </w:rPr>
            </w:pPr>
            <w:r>
              <w:rPr>
                <w:rFonts w:ascii="Arial" w:cs="Arial" w:eastAsia="Arial" w:hAnsi="Arial"/>
                <w:sz w:val="18"/>
                <w:szCs w:val="18"/>
                <w:color w:val="auto"/>
              </w:rPr>
              <w:t>2021 and thereafter</w:t>
            </w:r>
          </w:p>
        </w:tc>
        <w:tc>
          <w:tcPr>
            <w:tcW w:w="114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40" w:lineRule="exact"/>
        <w:rPr>
          <w:sz w:val="20"/>
          <w:szCs w:val="20"/>
          <w:color w:val="auto"/>
        </w:rPr>
      </w:pPr>
    </w:p>
    <w:p>
      <w:pPr>
        <w:ind w:right="280" w:firstLine="555"/>
        <w:spacing w:after="0" w:line="275" w:lineRule="auto"/>
        <w:rPr>
          <w:sz w:val="20"/>
          <w:szCs w:val="20"/>
          <w:color w:val="auto"/>
        </w:rPr>
      </w:pPr>
      <w:r>
        <w:rPr>
          <w:rFonts w:ascii="Arial" w:cs="Arial" w:eastAsia="Arial" w:hAnsi="Arial"/>
          <w:sz w:val="17"/>
          <w:szCs w:val="17"/>
          <w:color w:val="auto"/>
        </w:rPr>
        <w:t>If the Company experiences certain change of control events (as defined in the 2023 Indenture), it must offer to repurchase the 7% Senior Notes due 2023 at 101% of their principal amount, plus accrued and unpaid interest to the applicable repurchase date. If the Company sells assets under certain circumstances and does not use the proceeds for specified purposes, the Company must offer to repurchase the 7% Senior Notes due 2023 at 100% of their principal amount, plus accrued and unpaid interest to the applicable repurchase dates.</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7% Senior Notes due 2023 are subject to redemption imposed by gaming laws and regulations of applicable gaming regulatory authorities.</w:t>
      </w:r>
    </w:p>
    <w:p>
      <w:pPr>
        <w:spacing w:after="0" w:line="233" w:lineRule="exact"/>
        <w:rPr>
          <w:sz w:val="20"/>
          <w:szCs w:val="20"/>
          <w:color w:val="auto"/>
        </w:rPr>
      </w:pPr>
    </w:p>
    <w:p>
      <w:pPr>
        <w:ind w:right="400" w:firstLine="555"/>
        <w:spacing w:after="0" w:line="271" w:lineRule="auto"/>
        <w:rPr>
          <w:sz w:val="20"/>
          <w:szCs w:val="20"/>
          <w:color w:val="auto"/>
        </w:rPr>
      </w:pPr>
      <w:r>
        <w:rPr>
          <w:rFonts w:ascii="Arial" w:cs="Arial" w:eastAsia="Arial" w:hAnsi="Arial"/>
          <w:sz w:val="18"/>
          <w:szCs w:val="18"/>
          <w:color w:val="auto"/>
        </w:rPr>
        <w:t>The 2023 Indenture contains certain covenants limiting, among other things, the Company’s ability and the ability of its subsidiaries (other than its unrestricted subsidiaries) to:</w:t>
      </w:r>
    </w:p>
    <w:p>
      <w:pPr>
        <w:spacing w:after="0" w:line="68" w:lineRule="exact"/>
        <w:rPr>
          <w:sz w:val="20"/>
          <w:szCs w:val="20"/>
          <w:color w:val="auto"/>
        </w:rPr>
      </w:pPr>
    </w:p>
    <w:p>
      <w:pPr>
        <w:ind w:left="1100" w:hanging="544"/>
        <w:spacing w:after="0"/>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114" w:lineRule="exact"/>
        <w:rPr>
          <w:rFonts w:ascii="Arial" w:cs="Arial" w:eastAsia="Arial" w:hAnsi="Arial"/>
          <w:sz w:val="18"/>
          <w:szCs w:val="18"/>
          <w:color w:val="auto"/>
        </w:rPr>
      </w:pPr>
    </w:p>
    <w:p>
      <w:pPr>
        <w:ind w:left="1100" w:right="360" w:hanging="544"/>
        <w:spacing w:after="0" w:line="271" w:lineRule="auto"/>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7% Senior Notes due 2023 or the guarantees of the 7% Senior Notes due 2023;</w:t>
      </w:r>
    </w:p>
    <w:p>
      <w:pPr>
        <w:spacing w:after="0" w:line="67" w:lineRule="exact"/>
        <w:rPr>
          <w:rFonts w:ascii="Arial" w:cs="Arial" w:eastAsia="Arial" w:hAnsi="Arial"/>
          <w:sz w:val="18"/>
          <w:szCs w:val="18"/>
          <w:color w:val="auto"/>
        </w:rPr>
      </w:pPr>
    </w:p>
    <w:p>
      <w:pPr>
        <w:ind w:left="1100" w:hanging="544"/>
        <w:spacing w:after="0"/>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the Company’s assets;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1"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These covenants are subject to a number of exceptions and qualifications as set forth in the 2023 Indenture. The 2023 Indenture also provides for customary events of default which, if any of them occurs, would permit or require the principal of and accrued interest on such 7% Senior Notes due 2023 to be declared due and payable.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 due 2025</w:t>
      </w:r>
    </w:p>
    <w:p>
      <w:pPr>
        <w:spacing w:after="0" w:line="114"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On March 29, 2017, Eagle II Acquisition Company LLC (“Eagle II”), a wholly-owned subsidiary of the Company, issued $375.0 million in aggregate principal amount of 6.0% senior notes due 2025 (the “6% Senior Notes due 2025”) pursuant to an indenture, dated as of March 29, 2017 (the “2025 Indenture”), between Eagle II and U.S. Bank, National Association, as Trustee. The 6% Senior Notes will mature on April 1, 2025, with interest payable semi-annually in arrears on April 1 and October 1 of each year.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5">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23" w:name="page124"/>
    <w:bookmarkEnd w:id="123"/>
    <w:p>
      <w:pPr>
        <w:jc w:val="both"/>
        <w:ind w:right="80" w:firstLine="555"/>
        <w:spacing w:after="0" w:line="297" w:lineRule="auto"/>
        <w:rPr>
          <w:sz w:val="20"/>
          <w:szCs w:val="20"/>
          <w:color w:val="auto"/>
        </w:rPr>
      </w:pPr>
      <w:r>
        <w:rPr>
          <w:rFonts w:ascii="Arial" w:cs="Arial" w:eastAsia="Arial" w:hAnsi="Arial"/>
          <w:sz w:val="16"/>
          <w:szCs w:val="16"/>
          <w:color w:val="auto"/>
        </w:rPr>
        <w:t>On September 13, 2017, the Company issued an additional $500.0 million principal amount of its 6% Senior Notes due 2025 at an issue price equal to 105.5% of the principal amount of the 6% Senior Notes due 2025. The additional notes were issued pursuant to the 2025 Indenture that governs the 6% Senior Notes due 2025. The Company used the proceeds of the offering to repay $78.0 million of outstanding borrowings under the previous revolving credit facility and used the remainder to repay $444.5 million outstanding borrowings under the previous term loan facility and related accrued interest.</w:t>
      </w:r>
    </w:p>
    <w:p>
      <w:pPr>
        <w:spacing w:after="0" w:line="160"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On or after April 1, 2020, the Company may redeem all or a portion of the 6% Senior Notes due 2025 upon not less than 30 nor more than 60 days’ notice, at the redemption prices (expressed as percentages of the principal amount) set forth below plus accrued and unpaid interest and additional interest, if any, on the 6% Senior Notes due 2025 redeemed, to the applicable redemption date, if redeemed during the 12-month period beginning on April 1 of the years indicated below:</w:t>
      </w:r>
    </w:p>
    <w:p>
      <w:pPr>
        <w:spacing w:after="0" w:line="196" w:lineRule="exact"/>
        <w:rPr>
          <w:sz w:val="20"/>
          <w:szCs w:val="20"/>
          <w:color w:val="auto"/>
        </w:rPr>
      </w:pPr>
    </w:p>
    <w:tbl>
      <w:tblPr>
        <w:tblLayout w:type="fixed"/>
        <w:tblInd w:w="2300" w:type="dxa"/>
        <w:tblCellMar>
          <w:top w:w="0" w:type="dxa"/>
          <w:left w:w="0" w:type="dxa"/>
          <w:bottom w:w="0" w:type="dxa"/>
          <w:right w:w="0" w:type="dxa"/>
        </w:tblCellMar>
      </w:tblPr>
      <w:tr>
        <w:trPr>
          <w:trHeight w:val="170"/>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140" w:type="dxa"/>
            <w:vAlign w:val="bottom"/>
          </w:tcPr>
          <w:p>
            <w:pPr>
              <w:jc w:val="right"/>
              <w:ind w:right="154"/>
              <w:spacing w:after="0"/>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4"/>
                <w:szCs w:val="14"/>
                <w:color w:val="auto"/>
              </w:rPr>
            </w:pPr>
          </w:p>
        </w:tc>
      </w:tr>
      <w:tr>
        <w:trPr>
          <w:trHeight w:val="221"/>
        </w:trPr>
        <w:tc>
          <w:tcPr>
            <w:tcW w:w="5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104.500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34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101.500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460" w:type="dxa"/>
            <w:vAlign w:val="bottom"/>
            <w:gridSpan w:val="2"/>
          </w:tcPr>
          <w:p>
            <w:pPr>
              <w:spacing w:after="0"/>
              <w:rPr>
                <w:sz w:val="20"/>
                <w:szCs w:val="20"/>
                <w:color w:val="auto"/>
              </w:rPr>
            </w:pPr>
            <w:r>
              <w:rPr>
                <w:rFonts w:ascii="Arial" w:cs="Arial" w:eastAsia="Arial" w:hAnsi="Arial"/>
                <w:sz w:val="18"/>
                <w:szCs w:val="18"/>
                <w:color w:val="auto"/>
              </w:rPr>
              <w:t>2023 and thereafter</w:t>
            </w:r>
          </w:p>
        </w:tc>
        <w:tc>
          <w:tcPr>
            <w:tcW w:w="114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40" w:lineRule="exact"/>
        <w:rPr>
          <w:sz w:val="20"/>
          <w:szCs w:val="20"/>
          <w:color w:val="auto"/>
        </w:rPr>
      </w:pPr>
    </w:p>
    <w:p>
      <w:pPr>
        <w:ind w:right="40" w:firstLine="555"/>
        <w:spacing w:after="0" w:line="268" w:lineRule="auto"/>
        <w:rPr>
          <w:sz w:val="20"/>
          <w:szCs w:val="20"/>
          <w:color w:val="auto"/>
        </w:rPr>
      </w:pPr>
      <w:r>
        <w:rPr>
          <w:rFonts w:ascii="Arial" w:cs="Arial" w:eastAsia="Arial" w:hAnsi="Arial"/>
          <w:sz w:val="17"/>
          <w:szCs w:val="17"/>
          <w:color w:val="auto"/>
        </w:rPr>
        <w:t>Prior to April 1, 2020, the Company may redeem all or a portion of the 6% Senior Notes due 2025 at a price equal to 100% of the 6% Senior Notes due 2025 redeemed plus accrued and unpaid interest to the redemption date, plus a make-whole premium. At any time prior to April 1, 2020, the Company is also entitled to redeem up to 35% of the original aggregate principal amount of the 6% Senior Notes due 2025 with proceeds of certain equity financings at a redemption price equal to 106% of the principal amount of the 6% Senior Notes due 2025 redeemed, plus accrued and unpaid interest. If the Company experiences certain change of control events (as defined in the 2025 Indenture), it must offer to repurchase the 6% Senior Notes due 2025 at 101% of their principal amount, plus accrued and unpaid interest to the applicable repurchase date. If the Company sells assets under certain circumstances and does not use the proceeds for specified purposes, the Company must offer to repurchase the 6% Senior Notes due 2025 at 100% of their principal amount, plus accrued and unpaid interest to the applicable repurchase date.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6% Senior Notes due 2025 are subject to redemption imposed by gaming laws and regulations of applicable gaming regulatory authorities.</w:t>
      </w:r>
    </w:p>
    <w:p>
      <w:pPr>
        <w:spacing w:after="0" w:line="233" w:lineRule="exact"/>
        <w:rPr>
          <w:sz w:val="20"/>
          <w:szCs w:val="20"/>
          <w:color w:val="auto"/>
        </w:rPr>
      </w:pPr>
    </w:p>
    <w:p>
      <w:pPr>
        <w:ind w:right="380" w:firstLine="555"/>
        <w:spacing w:after="0" w:line="271" w:lineRule="auto"/>
        <w:rPr>
          <w:sz w:val="20"/>
          <w:szCs w:val="20"/>
          <w:color w:val="auto"/>
        </w:rPr>
      </w:pPr>
      <w:r>
        <w:rPr>
          <w:rFonts w:ascii="Arial" w:cs="Arial" w:eastAsia="Arial" w:hAnsi="Arial"/>
          <w:sz w:val="18"/>
          <w:szCs w:val="18"/>
          <w:color w:val="auto"/>
        </w:rPr>
        <w:t>The 2025 Indenture contains certain covenants limiting, among other things, the Company’s ability and the ability of its subsidiaries (other than its unrestricted subsidiaries) to:</w:t>
      </w:r>
    </w:p>
    <w:p>
      <w:pPr>
        <w:spacing w:after="0" w:line="68" w:lineRule="exact"/>
        <w:rPr>
          <w:sz w:val="20"/>
          <w:szCs w:val="20"/>
          <w:color w:val="auto"/>
        </w:rPr>
      </w:pPr>
    </w:p>
    <w:p>
      <w:pPr>
        <w:ind w:left="1100" w:hanging="544"/>
        <w:spacing w:after="0"/>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114" w:lineRule="exact"/>
        <w:rPr>
          <w:rFonts w:ascii="Arial" w:cs="Arial" w:eastAsia="Arial" w:hAnsi="Arial"/>
          <w:sz w:val="18"/>
          <w:szCs w:val="18"/>
          <w:color w:val="auto"/>
        </w:rPr>
      </w:pPr>
    </w:p>
    <w:p>
      <w:pPr>
        <w:ind w:left="1100" w:right="340" w:hanging="544"/>
        <w:spacing w:after="0" w:line="271" w:lineRule="auto"/>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6% Senior Notes due 2025 or the guarantees of the 6% Senior Notes due 2025</w:t>
      </w:r>
      <w:r>
        <w:rPr>
          <w:rFonts w:ascii="Arial" w:cs="Arial" w:eastAsia="Arial" w:hAnsi="Arial"/>
          <w:sz w:val="18"/>
          <w:szCs w:val="18"/>
          <w:b w:val="1"/>
          <w:bCs w:val="1"/>
          <w:color w:val="auto"/>
        </w:rPr>
        <w:t>;</w:t>
      </w:r>
    </w:p>
    <w:p>
      <w:pPr>
        <w:spacing w:after="0" w:line="67" w:lineRule="exact"/>
        <w:rPr>
          <w:rFonts w:ascii="Arial" w:cs="Arial" w:eastAsia="Arial" w:hAnsi="Arial"/>
          <w:sz w:val="18"/>
          <w:szCs w:val="18"/>
          <w:color w:val="auto"/>
        </w:rPr>
      </w:pPr>
    </w:p>
    <w:p>
      <w:pPr>
        <w:ind w:left="1100" w:hanging="544"/>
        <w:spacing w:after="0"/>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the Company’s assets;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1"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These covenants are subject to a number of exceptions and qualifications as set forth in the 2025 Indenture. The 2025 Indenture also provides for customary events of default which, if any of them occurs, would permit or require the principal of and accrued interest on such 6% Senior Notes due 2025 to be declared due and payable.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 due 2026</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September 20, 2018, Delta Merger Sub, Inc. (“Escrow Issuer”), a Delaware corporation and a wholly-owned subsidiary of the Company, issued</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$600 million in aggregate principal amount of 6.0% senior notes due 2026 (the “6% Senior Notes due 2026”) pursuant to an indenture, dated as of September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20, 2018 (the “2026 Indenture”), between Escrow Issuer and U.S. Bank, National Association, as Trustee. Interest on the 6% Senior Notes due 2026 will be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paid semi-annually in arrears on March 15 and September 15 of each year. The Company and the subsidiary guarantors assumed the obligations under the 2026</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Indenture in connection with the consummation of the Tropicana Acquisition.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6">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24" w:name="page125"/>
    <w:bookmarkEnd w:id="124"/>
    <w:p>
      <w:pPr>
        <w:ind w:right="300" w:firstLine="555"/>
        <w:spacing w:after="0" w:line="255" w:lineRule="auto"/>
        <w:rPr>
          <w:sz w:val="20"/>
          <w:szCs w:val="20"/>
          <w:color w:val="auto"/>
        </w:rPr>
      </w:pPr>
      <w:r>
        <w:rPr>
          <w:rFonts w:ascii="Arial" w:cs="Arial" w:eastAsia="Arial" w:hAnsi="Arial"/>
          <w:sz w:val="18"/>
          <w:szCs w:val="18"/>
          <w:color w:val="auto"/>
        </w:rPr>
        <w:t>On or after September 15, 2021, the Company may redeem all or a portion of the 6% Senior Notes due 2026 upon not less than 30 nor more than 60 days’ notice, at the redemption prices (expressed as percentages of the principal amount) set forth below plus accrued and unpaid interest and additional interest, if any, on the 6% Senior Notes due 2026 redeemed, to the applicable redemption date, if redeemed during the 12-month period beginning on September 15 of the years indicated below:</w:t>
      </w:r>
    </w:p>
    <w:p>
      <w:pPr>
        <w:spacing w:after="0" w:line="196" w:lineRule="exact"/>
        <w:rPr>
          <w:sz w:val="20"/>
          <w:szCs w:val="20"/>
          <w:color w:val="auto"/>
        </w:rPr>
      </w:pPr>
    </w:p>
    <w:tbl>
      <w:tblPr>
        <w:tblLayout w:type="fixed"/>
        <w:tblInd w:w="2300" w:type="dxa"/>
        <w:tblCellMar>
          <w:top w:w="0" w:type="dxa"/>
          <w:left w:w="0" w:type="dxa"/>
          <w:bottom w:w="0" w:type="dxa"/>
          <w:right w:w="0" w:type="dxa"/>
        </w:tblCellMar>
      </w:tblPr>
      <w:tr>
        <w:trPr>
          <w:trHeight w:val="170"/>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140" w:type="dxa"/>
            <w:vAlign w:val="bottom"/>
          </w:tcPr>
          <w:p>
            <w:pPr>
              <w:jc w:val="right"/>
              <w:ind w:right="154"/>
              <w:spacing w:after="0"/>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4"/>
                <w:szCs w:val="14"/>
                <w:color w:val="auto"/>
              </w:rPr>
            </w:pPr>
          </w:p>
        </w:tc>
      </w:tr>
      <w:tr>
        <w:trPr>
          <w:trHeight w:val="221"/>
        </w:trPr>
        <w:tc>
          <w:tcPr>
            <w:tcW w:w="5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104.500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34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101.500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460" w:type="dxa"/>
            <w:vAlign w:val="bottom"/>
            <w:gridSpan w:val="2"/>
          </w:tcPr>
          <w:p>
            <w:pPr>
              <w:spacing w:after="0"/>
              <w:rPr>
                <w:sz w:val="20"/>
                <w:szCs w:val="20"/>
                <w:color w:val="auto"/>
              </w:rPr>
            </w:pPr>
            <w:r>
              <w:rPr>
                <w:rFonts w:ascii="Arial" w:cs="Arial" w:eastAsia="Arial" w:hAnsi="Arial"/>
                <w:sz w:val="18"/>
                <w:szCs w:val="18"/>
                <w:color w:val="auto"/>
              </w:rPr>
              <w:t>2024 and thereafter</w:t>
            </w:r>
          </w:p>
        </w:tc>
        <w:tc>
          <w:tcPr>
            <w:tcW w:w="114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40" w:lineRule="exact"/>
        <w:rPr>
          <w:sz w:val="20"/>
          <w:szCs w:val="20"/>
          <w:color w:val="auto"/>
        </w:rPr>
      </w:pPr>
    </w:p>
    <w:p>
      <w:pPr>
        <w:ind w:right="40" w:firstLine="555"/>
        <w:spacing w:after="0" w:line="269" w:lineRule="auto"/>
        <w:rPr>
          <w:sz w:val="20"/>
          <w:szCs w:val="20"/>
          <w:color w:val="auto"/>
        </w:rPr>
      </w:pPr>
      <w:r>
        <w:rPr>
          <w:rFonts w:ascii="Arial" w:cs="Arial" w:eastAsia="Arial" w:hAnsi="Arial"/>
          <w:sz w:val="17"/>
          <w:szCs w:val="17"/>
          <w:color w:val="auto"/>
        </w:rPr>
        <w:t>Prior to September 15, 2021, the Company may redeem all or a portion of the 6% Senior Notes due 2026 at a price equal to 100% of the 6% Senior Notes due 2026 redeemed plus accrued and unpaid interest to the redemption date, plus a make-whole premium. At any time prior to September 15, 2021, the Company is also entitled to redeem up to 35% of the original aggregate principal amount of the 6% Senior Notes due 2026 with proceeds of certain equity financings at a redemption price equal to 106% of the principal amount of the 6% Senior Notes due 2026 redeemed, plus accrued and unpaid interest. Upon the occurrence of a Change of Control (if the 6% Senior Notes due 2026 do not have investment grade status) or a Change of Control Triggering Event (each as defined in the 2026 Indenture), the Company must offer to repurchase the 6% Senior Notes due 2026 at 101% of their principal amount, plus accrued and unpaid interest to the applicable repurchase date.</w:t>
      </w:r>
    </w:p>
    <w:p>
      <w:pPr>
        <w:spacing w:after="0" w:line="179" w:lineRule="exact"/>
        <w:rPr>
          <w:sz w:val="20"/>
          <w:szCs w:val="20"/>
          <w:color w:val="auto"/>
        </w:rPr>
      </w:pPr>
    </w:p>
    <w:p>
      <w:pPr>
        <w:jc w:val="both"/>
        <w:ind w:right="20" w:firstLine="555"/>
        <w:spacing w:after="0" w:line="259" w:lineRule="auto"/>
        <w:rPr>
          <w:sz w:val="20"/>
          <w:szCs w:val="20"/>
          <w:color w:val="auto"/>
        </w:rPr>
      </w:pPr>
      <w:r>
        <w:rPr>
          <w:rFonts w:ascii="Arial" w:cs="Arial" w:eastAsia="Arial" w:hAnsi="Arial"/>
          <w:sz w:val="18"/>
          <w:szCs w:val="18"/>
          <w:color w:val="auto"/>
        </w:rPr>
        <w:t>If the Company sells assets under certain circumstances and does not use the proceeds for specified purposes, the Company must apply the net proceeds of such sale to make an offer to repurchase the 6% Senior Notes due 2026 at 100% of their principal amount, plus accrued and unpaid interest to the applicable repurchase date.</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6% Senior Notes due 2026 are subject to redemption imposed by gaming laws and regulations of applicable gaming regulatory authorities.</w:t>
      </w:r>
    </w:p>
    <w:p>
      <w:pPr>
        <w:spacing w:after="0" w:line="23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2026 Indenture contains certain covenants limiting, among other things, the Company’s ability to:</w:t>
      </w:r>
    </w:p>
    <w:p>
      <w:pPr>
        <w:spacing w:after="0" w:line="114" w:lineRule="exact"/>
        <w:rPr>
          <w:sz w:val="20"/>
          <w:szCs w:val="20"/>
          <w:color w:val="auto"/>
        </w:rPr>
      </w:pPr>
    </w:p>
    <w:p>
      <w:pPr>
        <w:ind w:left="1100" w:hanging="544"/>
        <w:spacing w:after="0"/>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create, incur or suffer to exist certain liens;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pay dividends or make distributions on capital stock or repurchase capital stock;</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place restrictions on the ability of subsidiaries to pay dividends or make other distributions to the Issuer;</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sell certain assets or merge with or consolidate into other companies; and</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enter into certain types of transactions with the stockholders and affiliates.</w:t>
      </w:r>
    </w:p>
    <w:p>
      <w:pPr>
        <w:spacing w:after="0" w:line="2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These covenants are subject to a number of exceptions and qualifications as set forth in the 2026 Indenture. The 2026 Indenture also provides for events of default which, if any of them occurs, would permit or require the principal of and accrued interest on such 6% Senior Notes due 2026 to be declared due and payable.</w:t>
      </w:r>
    </w:p>
    <w:p>
      <w:pPr>
        <w:spacing w:after="0" w:line="186" w:lineRule="exact"/>
        <w:rPr>
          <w:sz w:val="20"/>
          <w:szCs w:val="20"/>
          <w:color w:val="auto"/>
        </w:rPr>
      </w:pPr>
    </w:p>
    <w:p>
      <w:pPr>
        <w:ind w:right="140" w:firstLine="555"/>
        <w:spacing w:after="0" w:line="307" w:lineRule="auto"/>
        <w:rPr>
          <w:sz w:val="20"/>
          <w:szCs w:val="20"/>
          <w:color w:val="auto"/>
        </w:rPr>
      </w:pPr>
      <w:r>
        <w:rPr>
          <w:rFonts w:ascii="Arial" w:cs="Arial" w:eastAsia="Arial" w:hAnsi="Arial"/>
          <w:sz w:val="16"/>
          <w:szCs w:val="16"/>
          <w:color w:val="auto"/>
        </w:rPr>
        <w:t>The Company applied the net proceeds of the sale of the 6% Senior Notes due 2026, together with borrowings under its existing revolving credit, cash on hand and Tropicana’s cash on hand, to pay the consideration payable by the Company pursuant to the merger agreement, repay all of the debt outstanding under Tropicana’s existing credit facility and pay fees and costs associated with the Tropicana Acquisition that closed on October 1, 2018.</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and Revolving Credit Facility</w:t>
      </w:r>
    </w:p>
    <w:p>
      <w:pPr>
        <w:spacing w:after="0" w:line="114" w:lineRule="exact"/>
        <w:rPr>
          <w:sz w:val="20"/>
          <w:szCs w:val="20"/>
          <w:color w:val="auto"/>
        </w:rPr>
      </w:pPr>
    </w:p>
    <w:p>
      <w:pPr>
        <w:jc w:val="both"/>
        <w:ind w:right="120" w:firstLine="555"/>
        <w:spacing w:after="0" w:line="282" w:lineRule="auto"/>
        <w:rPr>
          <w:sz w:val="20"/>
          <w:szCs w:val="20"/>
          <w:color w:val="auto"/>
        </w:rPr>
      </w:pPr>
      <w:r>
        <w:rPr>
          <w:rFonts w:ascii="Arial" w:cs="Arial" w:eastAsia="Arial" w:hAnsi="Arial"/>
          <w:sz w:val="17"/>
          <w:szCs w:val="17"/>
          <w:color w:val="auto"/>
        </w:rPr>
        <w:t>On April 17, 2017, Eagle II entered into a credit agreement by and among Eagle II, as initial borrower, JPMorgan Chase Bank, N.A., as administrative agent, and the lenders party thereto dated as of April 17, 2017 (the “Credit Facility”), consisting of a $1.45 billion term loan facility (the “Term Loan Facility” or “Term Loan”) and a $500.0 million revolving credit facility (the “Revolving Credit Facility”), which was undrawn at closing.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7">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25" w:name="page126"/>
    <w:bookmarkEnd w:id="125"/>
    <w:p>
      <w:pPr>
        <w:ind w:right="400" w:firstLine="555"/>
        <w:spacing w:after="0" w:line="275" w:lineRule="auto"/>
        <w:rPr>
          <w:sz w:val="20"/>
          <w:szCs w:val="20"/>
          <w:color w:val="auto"/>
        </w:rPr>
      </w:pPr>
      <w:r>
        <w:rPr>
          <w:rFonts w:ascii="Arial" w:cs="Arial" w:eastAsia="Arial" w:hAnsi="Arial"/>
          <w:sz w:val="17"/>
          <w:szCs w:val="17"/>
          <w:color w:val="auto"/>
        </w:rPr>
        <w:t>As of December 31, 2019, the Company had $498.8 million of borrowings outstanding under the Term Loan and no outstanding balance under the Revolving Credit Facility. The Company had $482.0 million of available borrowing capacity, after consideration of $18.0 million in outstanding letters of credit, under our Revolving Credit Facility as of December 31, 2019. In 2019, we utilized $360.0 million of net proceeds from the sales of Presque, Mountaineer, Cape Girardeau and Caruthersville to repay a portion of amounts outstanding under the Term Loan.</w:t>
      </w:r>
    </w:p>
    <w:p>
      <w:pPr>
        <w:spacing w:after="0" w:line="175"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The interest rate per annum applicable to loans under the Revolving Credit Facility is, at our option, either LIBOR plus a margin ranging from 1.75% to 2.50% or a base rate plus a margin from 0.75% to 1.50%, the margin is based on our total leverage ratio. The interest rate per annum applicable to the loans under the Term Loan Facility is, at our option, either LIBOR plus 2.25% or a base rate plus 1.25%; provided, however, that in no event will LIBOR be less than zero or the base rate be less than 1.00%. Additionally, the Company pays a commitment fee on the unused portion of the Revolving Credit Facility of 0.50% per annum. As of December 31, 2019, the weighted average interest rate on the Term Loan was 4.05%.</w:t>
      </w:r>
    </w:p>
    <w:p>
      <w:pPr>
        <w:spacing w:after="0" w:line="177" w:lineRule="exact"/>
        <w:rPr>
          <w:sz w:val="20"/>
          <w:szCs w:val="20"/>
          <w:color w:val="auto"/>
        </w:rPr>
      </w:pPr>
    </w:p>
    <w:p>
      <w:pPr>
        <w:ind w:right="240" w:firstLine="555"/>
        <w:spacing w:after="0" w:line="287" w:lineRule="auto"/>
        <w:rPr>
          <w:sz w:val="20"/>
          <w:szCs w:val="20"/>
          <w:color w:val="auto"/>
        </w:rPr>
      </w:pPr>
      <w:r>
        <w:rPr>
          <w:rFonts w:ascii="Arial" w:cs="Arial" w:eastAsia="Arial" w:hAnsi="Arial"/>
          <w:sz w:val="16"/>
          <w:szCs w:val="16"/>
          <w:color w:val="auto"/>
        </w:rPr>
        <w:t>The Company applied the net proceeds of the Term Loan Facility and borrowings under the Revolving Credit Facility totaling $135 million, together with the proceeds of the 6% Senior Notes due 2025 and cash on hand, to (i) pay the cash portion of the consideration payable in our acquisition of Isle,</w:t>
      </w:r>
    </w:p>
    <w:p>
      <w:pPr>
        <w:spacing w:after="0" w:line="1" w:lineRule="exact"/>
        <w:rPr>
          <w:sz w:val="20"/>
          <w:szCs w:val="20"/>
          <w:color w:val="auto"/>
        </w:rPr>
      </w:pPr>
    </w:p>
    <w:p>
      <w:pPr>
        <w:ind w:right="160" w:firstLine="7"/>
        <w:spacing w:after="0" w:line="252" w:lineRule="auto"/>
        <w:tabs>
          <w:tab w:leader="none" w:pos="263"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refinance all of the debt outstanding under Isle’s existing credit facility, (iii) redeem or otherwise repurchase all of Isle’s outstanding 5.875% Senior Notes due 2021 and 8.875% Senior Subordinated Notes due 2020, (iv) repay all amounts outstanding under our prior credit facility and (v) pay fees and costs associated with our acquisition of Isle and such financing transactions.</w:t>
      </w:r>
    </w:p>
    <w:p>
      <w:pPr>
        <w:spacing w:after="0" w:line="192"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Our obligations under the Revolving Credit Facility will mature on October 1, 2023. Our obligations under the Term Loan Facility will mature on April 17, 2024. The Company was required to make quarterly principal payments in an amount equal to $3.6 million on the Term Loan Facility on the last day of each fiscal quarter beginning on June 30, 2017. The Company satisfied this requirement as a result of the principal prepayment of $444.5 million on September 13, 2017 in conjunction with the issuance of the additional 6% Senior Notes due 2025. In addition, the Company is required to make mandatory payments of amounts outstanding under the Credit Facility with the proceeds of certain casualty events, debt issuances, and asset sales and, depending on its consolidated total leverage ratio, the Company is required to apply a portion of its excess cash flow to repay amounts outstanding under the Credit Facility.</w:t>
      </w:r>
    </w:p>
    <w:p>
      <w:pPr>
        <w:spacing w:after="0" w:line="165" w:lineRule="exact"/>
        <w:rPr>
          <w:sz w:val="20"/>
          <w:szCs w:val="20"/>
          <w:color w:val="auto"/>
        </w:rPr>
      </w:pPr>
    </w:p>
    <w:p>
      <w:pPr>
        <w:ind w:right="240" w:firstLine="555"/>
        <w:spacing w:after="0" w:line="288" w:lineRule="auto"/>
        <w:rPr>
          <w:sz w:val="20"/>
          <w:szCs w:val="20"/>
          <w:color w:val="auto"/>
        </w:rPr>
      </w:pPr>
      <w:r>
        <w:rPr>
          <w:rFonts w:ascii="Arial" w:cs="Arial" w:eastAsia="Arial" w:hAnsi="Arial"/>
          <w:sz w:val="16"/>
          <w:szCs w:val="16"/>
          <w:color w:val="auto"/>
        </w:rPr>
        <w:t>The Credit Facility is secured by substantially all of our personal property assets and substantially all personal property assets of each subsidiary that guaranties the Credit Facility (other than certain subsidiary guarantors designated as immaterial), whether owned on the closing date of the Credit Facility or thereafter acquired, and mortgages on the real property and improvements owned or leased by us or the credit facility guarantors. The Credit Facility is also secured by a pledge of all of the equity owned by us and the credit facility guarantors (subject to certain gaming law restrictions). The credit agreement governing the Credit Facility contains a number of customary covenants that, among other things, restrict, subject to certain exceptions, our ability and the ability of the Credit Facility guarantors to incur additional indebtedness, create liens, engage in mergers, consolidations or asset dispositions, make distributions, make investments, loans or advances, engage in certain transactions with affiliates or subsidiaries or make capital expenditures.</w:t>
      </w:r>
    </w:p>
    <w:p>
      <w:pPr>
        <w:spacing w:after="0" w:line="167" w:lineRule="exact"/>
        <w:rPr>
          <w:sz w:val="20"/>
          <w:szCs w:val="20"/>
          <w:color w:val="auto"/>
        </w:rPr>
      </w:pPr>
    </w:p>
    <w:p>
      <w:pPr>
        <w:ind w:right="40" w:firstLine="555"/>
        <w:spacing w:after="0" w:line="282" w:lineRule="auto"/>
        <w:rPr>
          <w:sz w:val="20"/>
          <w:szCs w:val="20"/>
          <w:color w:val="auto"/>
        </w:rPr>
      </w:pPr>
      <w:r>
        <w:rPr>
          <w:rFonts w:ascii="Arial" w:cs="Arial" w:eastAsia="Arial" w:hAnsi="Arial"/>
          <w:sz w:val="17"/>
          <w:szCs w:val="17"/>
          <w:color w:val="auto"/>
        </w:rPr>
        <w:t>The Credit Facility contains a number of customary covenants that, among other things, restrict, subject to certain exceptions, our ability and the ability of the subsidiary guarantors to incur debt; create liens; engage in mergers, consolidations or asset dispositions; pay dividends or make distributions; make investments, loans or advances; engage in certain transactions with affiliates or subsidiaries; or modify their lines of business.</w:t>
      </w:r>
    </w:p>
    <w:p>
      <w:pPr>
        <w:spacing w:after="0" w:line="167" w:lineRule="exact"/>
        <w:rPr>
          <w:sz w:val="20"/>
          <w:szCs w:val="20"/>
          <w:color w:val="auto"/>
        </w:rPr>
      </w:pPr>
    </w:p>
    <w:p>
      <w:pPr>
        <w:ind w:right="120" w:firstLine="555"/>
        <w:spacing w:after="0" w:line="287" w:lineRule="auto"/>
        <w:rPr>
          <w:sz w:val="20"/>
          <w:szCs w:val="20"/>
          <w:color w:val="auto"/>
        </w:rPr>
      </w:pPr>
      <w:r>
        <w:rPr>
          <w:rFonts w:ascii="Arial" w:cs="Arial" w:eastAsia="Arial" w:hAnsi="Arial"/>
          <w:sz w:val="16"/>
          <w:szCs w:val="16"/>
          <w:color w:val="auto"/>
        </w:rPr>
        <w:t>The Credit Facility also includes certain financial covenants, including the requirements that the Company maintains throughout the term of the Credit Facility and measured as of the end of each fiscal quarter, and solely with respect to loans under the Revolving Credit Facility, a maximum consolidated total leverage ratio of not more than 6.50 to 1.00 for the period beginning on the closing date and ending with the fiscal quarter ending December 31, 2018, 6.00 to 1.00 for the period beginning with the fiscal quarter beginning January 1, 2019 and ending with the fiscal quarter ending December 31, 2019, and 5.50 to 1.00 for the period beginning with the fiscal quarter beginning January 1, 2020 and thereafter. the Company will also be required to maintain an interest coverage ratio in an amount not less than 2.00 to 1.00 measured on the last day of each fiscal quarter beginning on the closing date, and ending with the fiscal quarter ending December 31, 2018, 2.50 to 1.00 for the period beginning with the fiscal quarter beginning January 1, 2019 and ending with the fiscal quarter ending December 31, 2019, and 2.75 to 1.00 for the period beginning with the fiscal quarter beginning January 1, 2020 and thereafter.</w:t>
      </w:r>
    </w:p>
    <w:p>
      <w:pPr>
        <w:spacing w:after="0" w:line="167" w:lineRule="exact"/>
        <w:rPr>
          <w:sz w:val="20"/>
          <w:szCs w:val="20"/>
          <w:color w:val="auto"/>
        </w:rPr>
      </w:pPr>
    </w:p>
    <w:p>
      <w:pPr>
        <w:ind w:right="40" w:firstLine="555"/>
        <w:spacing w:after="0" w:line="252" w:lineRule="auto"/>
        <w:rPr>
          <w:sz w:val="20"/>
          <w:szCs w:val="20"/>
          <w:color w:val="auto"/>
        </w:rPr>
      </w:pPr>
      <w:r>
        <w:rPr>
          <w:rFonts w:ascii="Arial" w:cs="Arial" w:eastAsia="Arial" w:hAnsi="Arial"/>
          <w:sz w:val="18"/>
          <w:szCs w:val="18"/>
          <w:color w:val="auto"/>
        </w:rPr>
        <w:t>The Credit Facility contains a number of customary events of default, including, among others, for the non-payment of principal, interest or other amounts, the inaccuracy of certain representations and warranties, the failure to perform or observe certain covenants, a cross default to our other indebtedness including the 6% Senior Notes due 2025 and 7% Senior Notes due 2023, certain events of bankruptcy or insolvency; certain ERISA events, the invalidity of certain loan documents, certain changes of control and the loss of certain classes of licenses to conduct gaming. If any event of default occurs, the lenders under the Credit Facility would be entitled to take various actions, including accelerating amounts outstanding thereunder and taking all actions permitted to be taken by a secured creditor.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8">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26" w:name="page127"/>
    <w:bookmarkEnd w:id="126"/>
    <w:p>
      <w:pPr>
        <w:ind w:right="120" w:firstLine="555"/>
        <w:spacing w:after="0" w:line="255" w:lineRule="auto"/>
        <w:rPr>
          <w:sz w:val="20"/>
          <w:szCs w:val="20"/>
          <w:color w:val="auto"/>
        </w:rPr>
      </w:pPr>
      <w:r>
        <w:rPr>
          <w:rFonts w:ascii="Arial" w:cs="Arial" w:eastAsia="Arial" w:hAnsi="Arial"/>
          <w:sz w:val="18"/>
          <w:szCs w:val="18"/>
          <w:color w:val="auto"/>
        </w:rPr>
        <w:t>On June 6, 2018, the Company executed an amendment that modified certain covenants in the Credit Facility to allow for considerations related to the acquisition of Tropicana. The borrowing capacity of the Revolving Credit Facility increased from $300.0 million to $500.0 million effective substantially concurrently with the consummation of the Tropicana Acquisition on October 1, 2018 and the maturity date of the Revolving Credit Facility extended to October 1, 2023.</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Lumière Loan</w:t>
      </w:r>
    </w:p>
    <w:p>
      <w:pPr>
        <w:spacing w:after="0" w:line="114" w:lineRule="exact"/>
        <w:rPr>
          <w:sz w:val="20"/>
          <w:szCs w:val="20"/>
          <w:color w:val="auto"/>
        </w:rPr>
      </w:pPr>
    </w:p>
    <w:p>
      <w:pPr>
        <w:ind w:firstLine="555"/>
        <w:spacing w:after="0" w:line="282" w:lineRule="auto"/>
        <w:rPr>
          <w:sz w:val="20"/>
          <w:szCs w:val="20"/>
          <w:color w:val="auto"/>
        </w:rPr>
      </w:pPr>
      <w:r>
        <w:rPr>
          <w:rFonts w:ascii="Arial" w:cs="Arial" w:eastAsia="Arial" w:hAnsi="Arial"/>
          <w:sz w:val="16"/>
          <w:szCs w:val="16"/>
          <w:color w:val="auto"/>
        </w:rPr>
        <w:t>In connection with the purchase of the real estate related to Lumière, GLPI, Tropicana St. Louis RE LLC, a Wholly owned subsidiary of the Company (“Tropicana St. Louis RE”), and the Company entered into a loan agreement, dated as of October 1, 2018 (the “Lumière Loan”), relating to a loan of $246 million by GLPI to Tropicana St. Louis RE to fund the entire purchase price of the real estate underlying Lumière and a guaranty by the Company of the amounts owed by Tropicana St. Louis RE. The Lumière Loan bears interest at a rate equal to (i) 9.09% until October 1, 2019 and (ii) 9.27% until October 1, 2020, and matures on October 1, 2020. The Lumière Loan is secured by a first priority mortgage on the Lumière Real Property until October 1, 2019. In connection with the issuance of the Lumière Loan, the Company agreed to use its commercially reasonable efforts to transfer one or more of the Grand Victoria Casino, Isle Casino Bettendorf, Isle Casino Hotel Waterloo, Isle of Capri Lula, Lady Luck Casino Vicksburg and Mountaineer Casino, Racetrack and Resort or such other property or properties mutually acceptable to Tropicana St. Louis RE and GLPI, provided that the aggregate value of such property, individually or collectively, is at least $246 million (the “Replacement Property”), to GLPI with a simultaneous leaseback to the Company of such Replacement Property. In connection with such Replacement Property sale, (i) the Company and GLPI will enter into an amendment to the Master Lease to revise the economic terms to include the Replacement Property, (ii) GLPI, or one of its affiliates, will assume the Lumière Loan and Tropicana St. Louis RE’s obligations under the Lumière Loan in consideration of the acquisition of the Replacement Property and the obligations of Tropicana St. Louis RE and the Company under the Lumière Loan will be deemed to have been satisfied, (iii) the Lumière Real Property will be released from the lien placed on it in connection with the Lumière Loan (if such lien has not yet been released in accordance with the terms of the Lumière Loan) and (iv) in the event the value of the Replacement Property is greater than the outstanding obligations of Tropicana St. Louis RE under the Lumière Loan, GLPI will pay Tropicana St. Louis RE the difference between the value of the Replacement Property and the amount of outstanding obligations under the Lumière Loan. If such Replacement Property transaction is not consummated prior to the maturity date of the Lumière Loan, other than as a result of certain failures to perform by GLPI, then the amounts outstanding will be paid in full and the rent under the Master Lease will automatically increase, subject to certain escalations.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 Compliance</w:t>
      </w:r>
    </w:p>
    <w:p>
      <w:pPr>
        <w:spacing w:after="0" w:line="118" w:lineRule="exact"/>
        <w:rPr>
          <w:sz w:val="20"/>
          <w:szCs w:val="20"/>
          <w:color w:val="auto"/>
        </w:rPr>
      </w:pPr>
    </w:p>
    <w:p>
      <w:pPr>
        <w:ind w:right="80" w:firstLine="555"/>
        <w:spacing w:after="0" w:line="271" w:lineRule="auto"/>
        <w:rPr>
          <w:sz w:val="20"/>
          <w:szCs w:val="20"/>
          <w:color w:val="auto"/>
        </w:rPr>
      </w:pPr>
      <w:r>
        <w:rPr>
          <w:rFonts w:ascii="Arial" w:cs="Arial" w:eastAsia="Arial" w:hAnsi="Arial"/>
          <w:sz w:val="18"/>
          <w:szCs w:val="18"/>
          <w:color w:val="auto"/>
        </w:rPr>
        <w:t>As of December 31, 2019, the Company was in compliance with all of the covenants under the 7% Senior Notes due 2023, 6% Senior Notes due 2025, 6% Senior Notes due 2026, the Credit Facility and the Lumière Loan.</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118" w:lineRule="exact"/>
        <w:rPr>
          <w:sz w:val="20"/>
          <w:szCs w:val="20"/>
          <w:color w:val="auto"/>
        </w:rPr>
      </w:pPr>
    </w:p>
    <w:p>
      <w:pPr>
        <w:ind w:right="140" w:firstLine="555"/>
        <w:spacing w:after="0" w:line="252"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from 35% to 21%; (2) eliminating the corporate alternative minimum tax (AMT) and changing how existing AMT credits can be realized; (3) creating a new limitation on deductible interest expense; (4) changing rules related to uses and limitations of net operating loss carryforwards created in tax years beginning after December 31, 2017; (5) bonus depreciation that will allow for full expensing of qualified property; and (6) limitations on the deductibility of certain executive compensation.</w:t>
      </w:r>
    </w:p>
    <w:p>
      <w:pPr>
        <w:spacing w:after="0" w:line="195" w:lineRule="exact"/>
        <w:rPr>
          <w:sz w:val="20"/>
          <w:szCs w:val="20"/>
          <w:color w:val="auto"/>
        </w:rPr>
      </w:pPr>
    </w:p>
    <w:p>
      <w:pPr>
        <w:ind w:right="60" w:firstLine="555"/>
        <w:spacing w:after="0" w:line="287" w:lineRule="auto"/>
        <w:rPr>
          <w:sz w:val="20"/>
          <w:szCs w:val="20"/>
          <w:color w:val="auto"/>
        </w:rPr>
      </w:pPr>
      <w:r>
        <w:rPr>
          <w:rFonts w:ascii="Arial" w:cs="Arial" w:eastAsia="Arial" w:hAnsi="Arial"/>
          <w:sz w:val="16"/>
          <w:szCs w:val="16"/>
          <w:color w:val="auto"/>
        </w:rPr>
        <w:t>The SEC staff issued Staff Accounting Bulletin (“SAB”) 118, which provides guidance on accounting for the tax effects of the Tax Act. SAB 118 provides a measurement period that should not extend beyond one year from the Tax Act enactment date for companies to complete the accounting under ASC</w:t>
      </w:r>
    </w:p>
    <w:p>
      <w:pPr>
        <w:spacing w:after="0" w:line="1" w:lineRule="exact"/>
        <w:rPr>
          <w:sz w:val="20"/>
          <w:szCs w:val="20"/>
          <w:color w:val="auto"/>
        </w:rPr>
      </w:pPr>
    </w:p>
    <w:p>
      <w:pPr>
        <w:ind w:right="120" w:firstLine="7"/>
        <w:spacing w:after="0" w:line="268" w:lineRule="auto"/>
        <w:tabs>
          <w:tab w:leader="none" w:pos="357"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the fourth quarter of the year ended December 31, 2018, we completed our accounting for the effects of the Tax Act.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9">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27" w:name="page128"/>
    <w:bookmarkEnd w:id="127"/>
    <w:p>
      <w:pPr>
        <w:jc w:val="both"/>
        <w:ind w:firstLine="555"/>
        <w:spacing w:after="0" w:line="255" w:lineRule="auto"/>
        <w:rPr>
          <w:sz w:val="20"/>
          <w:szCs w:val="20"/>
          <w:color w:val="auto"/>
        </w:rPr>
      </w:pPr>
      <w:r>
        <w:rPr>
          <w:rFonts w:ascii="Arial" w:cs="Arial" w:eastAsia="Arial" w:hAnsi="Arial"/>
          <w:sz w:val="18"/>
          <w:szCs w:val="18"/>
          <w:color w:val="auto"/>
        </w:rPr>
        <w:t>As of December 31, 2017, in connection with our initial analysis of the impact of the Tax Act, for certain of our net deferred tax liabilities, we recorded a decrease of $111.9 million, net of the related change in valuation allowance, with a corresponding net adjustment to deferred income tax benefit as a result of the corporate rate reduction. We recorded a provisional benefit for 2017 expenditures based on our intent to fully expense all qualifying expenditures. We made immaterial adjustments to the provisional amount as of December 31, 2018.</w:t>
      </w:r>
    </w:p>
    <w:p>
      <w:pPr>
        <w:spacing w:after="0" w:line="191" w:lineRule="exact"/>
        <w:rPr>
          <w:sz w:val="20"/>
          <w:szCs w:val="20"/>
          <w:color w:val="auto"/>
        </w:rPr>
      </w:pPr>
    </w:p>
    <w:p>
      <w:pPr>
        <w:ind w:right="240" w:firstLine="555"/>
        <w:spacing w:after="0" w:line="271" w:lineRule="auto"/>
        <w:rPr>
          <w:sz w:val="20"/>
          <w:szCs w:val="20"/>
          <w:color w:val="auto"/>
        </w:rPr>
      </w:pPr>
      <w:r>
        <w:rPr>
          <w:rFonts w:ascii="Arial" w:cs="Arial" w:eastAsia="Arial" w:hAnsi="Arial"/>
          <w:sz w:val="18"/>
          <w:szCs w:val="18"/>
          <w:color w:val="auto"/>
        </w:rPr>
        <w:t>The components of the Company’s provision (benefit) for income taxes for the years ended December 31, 2019, 2018 and 2017 are presented below (amounts in thousands).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45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1"/>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4540" w:type="dxa"/>
            <w:vAlign w:val="bottom"/>
          </w:tcPr>
          <w:p>
            <w:pPr>
              <w:ind w:left="240"/>
              <w:spacing w:after="0"/>
              <w:rPr>
                <w:sz w:val="20"/>
                <w:szCs w:val="20"/>
                <w:color w:val="auto"/>
              </w:rPr>
            </w:pPr>
            <w:r>
              <w:rPr>
                <w:rFonts w:ascii="Arial" w:cs="Arial" w:eastAsia="Arial" w:hAnsi="Arial"/>
                <w:sz w:val="18"/>
                <w:szCs w:val="18"/>
                <w:color w:val="auto"/>
              </w:rPr>
              <w:t>Federal</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31,511</w:t>
            </w:r>
          </w:p>
        </w:tc>
        <w:tc>
          <w:tcPr>
            <w:tcW w:w="120" w:type="dxa"/>
            <w:vAlign w:val="bottom"/>
          </w:tcPr>
          <w:p>
            <w:pPr>
              <w:spacing w:after="0"/>
              <w:rPr>
                <w:sz w:val="19"/>
                <w:szCs w:val="19"/>
                <w:color w:val="auto"/>
              </w:rPr>
            </w:pPr>
          </w:p>
        </w:tc>
        <w:tc>
          <w:tcPr>
            <w:tcW w:w="2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3,813</w:t>
            </w:r>
          </w:p>
        </w:tc>
        <w:tc>
          <w:tcPr>
            <w:tcW w:w="18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(3,959)</w:t>
            </w:r>
          </w:p>
        </w:tc>
      </w:tr>
      <w:tr>
        <w:trPr>
          <w:trHeight w:val="228"/>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80" w:type="dxa"/>
            <w:vAlign w:val="bottom"/>
            <w:shd w:val="clear" w:color="auto" w:fill="CFF0FC"/>
          </w:tcPr>
          <w:p>
            <w:pPr>
              <w:spacing w:after="0"/>
              <w:rPr>
                <w:sz w:val="19"/>
                <w:szCs w:val="19"/>
                <w:color w:val="auto"/>
              </w:rPr>
            </w:pPr>
          </w:p>
        </w:tc>
      </w:tr>
      <w:tr>
        <w:trPr>
          <w:trHeight w:val="227"/>
        </w:trPr>
        <w:tc>
          <w:tcPr>
            <w:tcW w:w="4540" w:type="dxa"/>
            <w:vAlign w:val="bottom"/>
          </w:tcPr>
          <w:p>
            <w:pPr>
              <w:ind w:left="240"/>
              <w:spacing w:after="0"/>
              <w:rPr>
                <w:sz w:val="20"/>
                <w:szCs w:val="20"/>
                <w:color w:val="auto"/>
              </w:rPr>
            </w:pPr>
            <w:r>
              <w:rPr>
                <w:rFonts w:ascii="Arial" w:cs="Arial" w:eastAsia="Arial" w:hAnsi="Arial"/>
                <w:sz w:val="18"/>
                <w:szCs w:val="18"/>
                <w:color w:val="auto"/>
              </w:rPr>
              <w:t>Local</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(627)</w:t>
            </w:r>
          </w:p>
        </w:tc>
      </w:tr>
      <w:tr>
        <w:trPr>
          <w:trHeight w:val="221"/>
        </w:trPr>
        <w:tc>
          <w:tcPr>
            <w:tcW w:w="45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45,624</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6,562</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(4,206)</w:t>
            </w:r>
          </w:p>
        </w:tc>
        <w:tc>
          <w:tcPr>
            <w:tcW w:w="80" w:type="dxa"/>
            <w:vAlign w:val="bottom"/>
            <w:tcBorders>
              <w:top w:val="single" w:sz="8" w:color="CFF0FC"/>
            </w:tcBorders>
            <w:shd w:val="clear" w:color="auto" w:fill="CFF0FC"/>
          </w:tcPr>
          <w:p>
            <w:pPr>
              <w:spacing w:after="0"/>
              <w:rPr>
                <w:sz w:val="19"/>
                <w:szCs w:val="19"/>
                <w:color w:val="auto"/>
              </w:rPr>
            </w:pPr>
          </w:p>
        </w:tc>
      </w:tr>
      <w:tr>
        <w:trPr>
          <w:trHeight w:val="220"/>
        </w:trPr>
        <w:tc>
          <w:tcPr>
            <w:tcW w:w="4540" w:type="dxa"/>
            <w:vAlign w:val="bottom"/>
          </w:tcPr>
          <w:p>
            <w:pPr>
              <w:spacing w:after="0"/>
              <w:rPr>
                <w:sz w:val="20"/>
                <w:szCs w:val="20"/>
                <w:color w:val="auto"/>
              </w:rPr>
            </w:pPr>
            <w:r>
              <w:rPr>
                <w:rFonts w:ascii="Arial" w:cs="Arial" w:eastAsia="Arial" w:hAnsi="Arial"/>
                <w:sz w:val="18"/>
                <w:szCs w:val="18"/>
                <w:color w:val="auto"/>
              </w:rPr>
              <w:t>Deferred:</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(104,400)</w:t>
            </w:r>
          </w:p>
        </w:tc>
      </w:tr>
      <w:tr>
        <w:trPr>
          <w:trHeight w:val="227"/>
        </w:trPr>
        <w:tc>
          <w:tcPr>
            <w:tcW w:w="4540" w:type="dxa"/>
            <w:vAlign w:val="bottom"/>
          </w:tcPr>
          <w:p>
            <w:pPr>
              <w:ind w:left="24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(6,493)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17,574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(186)</w:t>
            </w:r>
          </w:p>
        </w:tc>
      </w:tr>
      <w:tr>
        <w:trPr>
          <w:trHeight w:val="228"/>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Local</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(7,977)</w:t>
            </w:r>
          </w:p>
        </w:tc>
      </w:tr>
      <w:tr>
        <w:trPr>
          <w:trHeight w:val="221"/>
        </w:trPr>
        <w:tc>
          <w:tcPr>
            <w:tcW w:w="45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deferred</w:t>
            </w: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33,825</w:t>
            </w:r>
          </w:p>
        </w:tc>
        <w:tc>
          <w:tcPr>
            <w:tcW w:w="1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(112,563)</w:t>
            </w:r>
          </w:p>
        </w:tc>
        <w:tc>
          <w:tcPr>
            <w:tcW w:w="80" w:type="dxa"/>
            <w:vAlign w:val="bottom"/>
            <w:tcBorders>
              <w:bottom w:val="single" w:sz="8" w:color="CFF0FC"/>
            </w:tcBorders>
          </w:tcPr>
          <w:p>
            <w:pPr>
              <w:spacing w:after="0"/>
              <w:rPr>
                <w:sz w:val="19"/>
                <w:szCs w:val="19"/>
                <w:color w:val="auto"/>
              </w:rPr>
            </w:pPr>
          </w:p>
        </w:tc>
      </w:tr>
      <w:tr>
        <w:trPr>
          <w:trHeight w:val="221"/>
        </w:trPr>
        <w:tc>
          <w:tcPr>
            <w:tcW w:w="45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Income tax (benefit) expense</w:t>
            </w: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43,977</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40,387</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(116,769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0" w:lineRule="exact"/>
        <w:rPr>
          <w:sz w:val="20"/>
          <w:szCs w:val="20"/>
          <w:color w:val="auto"/>
        </w:rPr>
      </w:pPr>
    </w:p>
    <w:p>
      <w:pPr>
        <w:ind w:right="240" w:firstLine="555"/>
        <w:spacing w:after="0" w:line="271" w:lineRule="auto"/>
        <w:rPr>
          <w:sz w:val="20"/>
          <w:szCs w:val="20"/>
          <w:color w:val="auto"/>
        </w:rPr>
      </w:pPr>
      <w:r>
        <w:rPr>
          <w:rFonts w:ascii="Arial" w:cs="Arial" w:eastAsia="Arial" w:hAnsi="Arial"/>
          <w:sz w:val="18"/>
          <w:szCs w:val="18"/>
          <w:color w:val="auto"/>
        </w:rPr>
        <w:t>The following is a reconciliation of the statutory federal income tax rate to the Company’s effective tax rate for the years ended December 31, 2019, 2018 and 2017:</w:t>
      </w: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438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r>
      <w:tr>
        <w:trPr>
          <w:trHeight w:val="221"/>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rate</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380" w:type="dxa"/>
            <w:vAlign w:val="bottom"/>
          </w:tcPr>
          <w:p>
            <w:pPr>
              <w:spacing w:after="0"/>
              <w:rPr>
                <w:sz w:val="20"/>
                <w:szCs w:val="20"/>
                <w:color w:val="auto"/>
              </w:rPr>
            </w:pPr>
            <w:r>
              <w:rPr>
                <w:rFonts w:ascii="Arial" w:cs="Arial" w:eastAsia="Arial" w:hAnsi="Arial"/>
                <w:sz w:val="18"/>
                <w:szCs w:val="18"/>
                <w:color w:val="auto"/>
              </w:rPr>
              <w:t>State and local taxes</w:t>
            </w: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3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State tax rate adjustment</w:t>
            </w:r>
          </w:p>
        </w:tc>
        <w:tc>
          <w:tcPr>
            <w:tcW w:w="124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(2.3)%</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380" w:type="dxa"/>
            <w:vAlign w:val="bottom"/>
          </w:tcPr>
          <w:p>
            <w:pPr>
              <w:spacing w:after="0"/>
              <w:rPr>
                <w:sz w:val="20"/>
                <w:szCs w:val="20"/>
                <w:color w:val="auto"/>
              </w:rPr>
            </w:pPr>
            <w:r>
              <w:rPr>
                <w:rFonts w:ascii="Arial" w:cs="Arial" w:eastAsia="Arial" w:hAnsi="Arial"/>
                <w:sz w:val="18"/>
                <w:szCs w:val="18"/>
                <w:color w:val="auto"/>
              </w:rPr>
              <w:t>Stock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1"/>
              <w:spacing w:after="0"/>
              <w:rPr>
                <w:sz w:val="20"/>
                <w:szCs w:val="20"/>
                <w:color w:val="auto"/>
              </w:rPr>
            </w:pPr>
            <w:r>
              <w:rPr>
                <w:rFonts w:ascii="Arial" w:cs="Arial" w:eastAsia="Arial" w:hAnsi="Arial"/>
                <w:sz w:val="18"/>
                <w:szCs w:val="18"/>
                <w:color w:val="auto"/>
              </w:rPr>
              <w:t>(1.8)%</w:t>
            </w: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Goodwill disposition</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(27.1)%</w:t>
            </w:r>
          </w:p>
        </w:tc>
      </w:tr>
      <w:tr>
        <w:trPr>
          <w:trHeight w:val="227"/>
        </w:trPr>
        <w:tc>
          <w:tcPr>
            <w:tcW w:w="4380" w:type="dxa"/>
            <w:vAlign w:val="bottom"/>
          </w:tcPr>
          <w:p>
            <w:pPr>
              <w:spacing w:after="0"/>
              <w:rPr>
                <w:sz w:val="20"/>
                <w:szCs w:val="20"/>
                <w:color w:val="auto"/>
              </w:rPr>
            </w:pPr>
            <w:r>
              <w:rPr>
                <w:rFonts w:ascii="Arial" w:cs="Arial" w:eastAsia="Arial" w:hAnsi="Arial"/>
                <w:sz w:val="18"/>
                <w:szCs w:val="18"/>
                <w:color w:val="auto"/>
              </w:rPr>
              <w:t>Transaction expenses</w:t>
            </w:r>
          </w:p>
        </w:tc>
        <w:tc>
          <w:tcPr>
            <w:tcW w:w="1240" w:type="dxa"/>
            <w:vAlign w:val="bottom"/>
            <w:gridSpan w:val="2"/>
          </w:tcPr>
          <w:p>
            <w:pPr>
              <w:jc w:val="right"/>
              <w:ind w:right="31"/>
              <w:spacing w:after="0"/>
              <w:rPr>
                <w:sz w:val="20"/>
                <w:szCs w:val="20"/>
                <w:color w:val="auto"/>
              </w:rPr>
            </w:pPr>
            <w:r>
              <w:rPr>
                <w:rFonts w:ascii="Arial" w:cs="Arial" w:eastAsia="Arial" w:hAnsi="Arial"/>
                <w:sz w:val="18"/>
                <w:szCs w:val="18"/>
                <w:color w:val="auto"/>
              </w:rPr>
              <w:t>— %</w:t>
            </w:r>
          </w:p>
        </w:tc>
        <w:tc>
          <w:tcPr>
            <w:tcW w:w="1240" w:type="dxa"/>
            <w:vAlign w:val="bottom"/>
            <w:gridSpan w:val="2"/>
          </w:tcPr>
          <w:p>
            <w:pPr>
              <w:jc w:val="right"/>
              <w:ind w:right="31"/>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28"/>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Tax Cuts and Jobs Act</w:t>
            </w:r>
          </w:p>
        </w:tc>
        <w:tc>
          <w:tcPr>
            <w:tcW w:w="124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 %</w:t>
            </w:r>
          </w:p>
        </w:tc>
        <w:tc>
          <w:tcPr>
            <w:tcW w:w="124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(1.6)%</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380" w:type="dxa"/>
            <w:vAlign w:val="bottom"/>
          </w:tcPr>
          <w:p>
            <w:pPr>
              <w:spacing w:after="0"/>
              <w:rPr>
                <w:sz w:val="20"/>
                <w:szCs w:val="20"/>
                <w:color w:val="auto"/>
              </w:rPr>
            </w:pPr>
            <w:r>
              <w:rPr>
                <w:rFonts w:ascii="Arial" w:cs="Arial" w:eastAsia="Arial" w:hAnsi="Arial"/>
                <w:sz w:val="18"/>
                <w:szCs w:val="18"/>
                <w:color w:val="auto"/>
              </w:rPr>
              <w:t>Valuation allowance</w:t>
            </w: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1"/>
              <w:spacing w:after="0"/>
              <w:rPr>
                <w:sz w:val="20"/>
                <w:szCs w:val="20"/>
                <w:color w:val="auto"/>
              </w:rPr>
            </w:pPr>
            <w:r>
              <w:rPr>
                <w:rFonts w:ascii="Arial" w:cs="Arial" w:eastAsia="Arial" w:hAnsi="Arial"/>
                <w:sz w:val="18"/>
                <w:szCs w:val="18"/>
                <w:color w:val="auto"/>
              </w:rPr>
              <w:t>(0.3)%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28"/>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Tax credits</w:t>
            </w:r>
          </w:p>
        </w:tc>
        <w:tc>
          <w:tcPr>
            <w:tcW w:w="124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(1.1)%</w:t>
            </w:r>
          </w:p>
        </w:tc>
        <w:tc>
          <w:tcPr>
            <w:tcW w:w="124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(1.1)%</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380" w:type="dxa"/>
            <w:vAlign w:val="bottom"/>
          </w:tcPr>
          <w:p>
            <w:pPr>
              <w:spacing w:after="0"/>
              <w:rPr>
                <w:sz w:val="20"/>
                <w:szCs w:val="20"/>
                <w:color w:val="auto"/>
              </w:rPr>
            </w:pPr>
            <w:r>
              <w:rPr>
                <w:rFonts w:ascii="Arial" w:cs="Arial" w:eastAsia="Arial" w:hAnsi="Arial"/>
                <w:sz w:val="18"/>
                <w:szCs w:val="18"/>
                <w:color w:val="auto"/>
              </w:rPr>
              <w:t>Other</w:t>
            </w:r>
          </w:p>
        </w:tc>
        <w:tc>
          <w:tcPr>
            <w:tcW w:w="1240" w:type="dxa"/>
            <w:vAlign w:val="bottom"/>
            <w:gridSpan w:val="2"/>
          </w:tcPr>
          <w:p>
            <w:pPr>
              <w:jc w:val="right"/>
              <w:ind w:right="31"/>
              <w:spacing w:after="0"/>
              <w:rPr>
                <w:sz w:val="20"/>
                <w:szCs w:val="20"/>
                <w:color w:val="auto"/>
              </w:rPr>
            </w:pPr>
            <w:r>
              <w:rPr>
                <w:rFonts w:ascii="Arial" w:cs="Arial" w:eastAsia="Arial" w:hAnsi="Arial"/>
                <w:sz w:val="18"/>
                <w:szCs w:val="18"/>
                <w:color w:val="auto"/>
              </w:rPr>
              <w:t>(1.2)%</w:t>
            </w: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21"/>
        </w:trPr>
        <w:tc>
          <w:tcPr>
            <w:tcW w:w="43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Effective income tax rate</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340" w:type="dxa"/>
            <w:vAlign w:val="bottom"/>
            <w:tcBorders>
              <w:top w:val="single" w:sz="8" w:color="CFF0FC"/>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360" w:type="dxa"/>
            <w:vAlign w:val="bottom"/>
            <w:tcBorders>
              <w:top w:val="single" w:sz="8" w:color="CFF0FC"/>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269.1</w:t>
            </w:r>
          </w:p>
        </w:tc>
        <w:tc>
          <w:tcPr>
            <w:tcW w:w="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ind w:right="60" w:firstLine="555"/>
        <w:spacing w:after="0" w:line="252" w:lineRule="auto"/>
        <w:rPr>
          <w:sz w:val="20"/>
          <w:szCs w:val="20"/>
          <w:color w:val="auto"/>
        </w:rPr>
      </w:pPr>
      <w:r>
        <w:rPr>
          <w:rFonts w:ascii="Arial" w:cs="Arial" w:eastAsia="Arial" w:hAnsi="Arial"/>
          <w:sz w:val="18"/>
          <w:szCs w:val="18"/>
          <w:color w:val="auto"/>
        </w:rPr>
        <w:t>For the year ended December 31, 2019, the difference between the effective rate and the statutory rate is attributable primarily to changes in the effective state tax rate associated with the Divestitures, the disposal of Component 2 Goodwill related to dispositions and state non-deductible interest expense during the year. The Company continues to provide for a valuation allowance against net federal and state deferred tax assets associated with non-operating land, the sale of which could result in capital losses that can only be offset against capital gains. The Company also continues to provide for a valuation allowance against net state deferred tax assets relating to certain operations in a few states. Management determined it was not more-likely-than-not that the Company will realize these net deferred tax assets.</w:t>
      </w:r>
    </w:p>
    <w:p>
      <w:pPr>
        <w:spacing w:after="0" w:line="195" w:lineRule="exact"/>
        <w:rPr>
          <w:sz w:val="20"/>
          <w:szCs w:val="20"/>
          <w:color w:val="auto"/>
        </w:rPr>
      </w:pPr>
    </w:p>
    <w:p>
      <w:pPr>
        <w:ind w:right="680" w:firstLine="555"/>
        <w:spacing w:after="0" w:line="271" w:lineRule="auto"/>
        <w:rPr>
          <w:sz w:val="20"/>
          <w:szCs w:val="20"/>
          <w:color w:val="auto"/>
        </w:rPr>
      </w:pPr>
      <w:r>
        <w:rPr>
          <w:rFonts w:ascii="Arial" w:cs="Arial" w:eastAsia="Arial" w:hAnsi="Arial"/>
          <w:sz w:val="18"/>
          <w:szCs w:val="18"/>
          <w:color w:val="auto"/>
        </w:rPr>
        <w:t>For the year ended December 31, 2018, the difference between the effective rate and the statutory rate is attributable primarily to state tax rate adjustment and changes in the effective state tax rate associated with the acquisitions of Elgin and Tropicana.</w:t>
      </w:r>
    </w:p>
    <w:p>
      <w:pPr>
        <w:spacing w:after="0" w:line="202"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For the year ended December 31, 2017, the difference between the effective rate and the statutory rate is attributable primarily to the impact of the Tax Act, non-deductible asset impairment charges and non-deductible transaction costs incurred and changes in the effective state tax rate associated with the acquisition of Isle.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50">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128" w:name="page129"/>
    <w:bookmarkEnd w:id="128"/>
    <w:p>
      <w:pPr>
        <w:ind w:firstLine="555"/>
        <w:spacing w:after="0" w:line="275" w:lineRule="auto"/>
        <w:rPr>
          <w:sz w:val="20"/>
          <w:szCs w:val="20"/>
          <w:color w:val="auto"/>
        </w:rPr>
      </w:pPr>
      <w:r>
        <w:rPr>
          <w:rFonts w:ascii="Arial" w:cs="Arial" w:eastAsia="Arial" w:hAnsi="Arial"/>
          <w:sz w:val="17"/>
          <w:szCs w:val="17"/>
          <w:color w:val="auto"/>
        </w:rPr>
        <w:t>A valuation allowance is recognized if, based on the weight of available evidence, it is more-likely-than-not that some portion, or all, of the deferred tax asset will not be realized. Management must analyze all available positive and negative evidence regarding realization of the deferred tax assets and make an assessment of the likelihood of sufficient future taxable income. For the years ended December 31, 2019, 2018 and 2017, the Company increased its valuation allowance by $2.3 million and released valuation allowances of $0.5 million and $5.2 million, respectively.</w:t>
      </w:r>
    </w:p>
    <w:p>
      <w:pPr>
        <w:spacing w:after="0" w:line="175" w:lineRule="exact"/>
        <w:rPr>
          <w:sz w:val="20"/>
          <w:szCs w:val="20"/>
          <w:color w:val="auto"/>
        </w:rPr>
      </w:pPr>
    </w:p>
    <w:p>
      <w:pPr>
        <w:ind w:right="160" w:firstLine="555"/>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net deferred taxes related to continuing operations at December 31, 2019 and 2018 are as follows (amounts in thousands):</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53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1"/>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5320" w:type="dxa"/>
            <w:vAlign w:val="bottom"/>
          </w:tcPr>
          <w:p>
            <w:pPr>
              <w:ind w:left="240"/>
              <w:spacing w:after="0"/>
              <w:rPr>
                <w:sz w:val="20"/>
                <w:szCs w:val="20"/>
                <w:color w:val="auto"/>
              </w:rPr>
            </w:pPr>
            <w:r>
              <w:rPr>
                <w:rFonts w:ascii="Arial" w:cs="Arial" w:eastAsia="Arial" w:hAnsi="Arial"/>
                <w:sz w:val="18"/>
                <w:szCs w:val="18"/>
                <w:color w:val="auto"/>
              </w:rPr>
              <w:t>Loss carryforwards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25,795</w:t>
            </w:r>
          </w:p>
        </w:tc>
        <w:tc>
          <w:tcPr>
            <w:tcW w:w="200" w:type="dxa"/>
            <w:vAlign w:val="bottom"/>
          </w:tcPr>
          <w:p>
            <w:pPr>
              <w:spacing w:after="0"/>
              <w:rPr>
                <w:sz w:val="19"/>
                <w:szCs w:val="19"/>
                <w:color w:val="auto"/>
              </w:rPr>
            </w:pPr>
          </w:p>
        </w:tc>
        <w:tc>
          <w:tcPr>
            <w:tcW w:w="280" w:type="dxa"/>
            <w:vAlign w:val="bottom"/>
            <w:gridSpan w:val="2"/>
          </w:tcPr>
          <w:p>
            <w:pPr>
              <w:jc w:val="right"/>
              <w:ind w:right="108"/>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31,880</w:t>
            </w:r>
          </w:p>
        </w:tc>
        <w:tc>
          <w:tcPr>
            <w:tcW w:w="80" w:type="dxa"/>
            <w:vAlign w:val="bottom"/>
          </w:tcPr>
          <w:p>
            <w:pPr>
              <w:spacing w:after="0"/>
              <w:rPr>
                <w:sz w:val="19"/>
                <w:szCs w:val="19"/>
                <w:color w:val="auto"/>
              </w:rPr>
            </w:pPr>
          </w:p>
        </w:tc>
      </w:tr>
      <w:tr>
        <w:trPr>
          <w:trHeight w:val="228"/>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56,896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19,306</w:t>
            </w:r>
          </w:p>
        </w:tc>
        <w:tc>
          <w:tcPr>
            <w:tcW w:w="80" w:type="dxa"/>
            <w:vAlign w:val="bottom"/>
            <w:shd w:val="clear" w:color="auto" w:fill="CFF0FC"/>
          </w:tcPr>
          <w:p>
            <w:pPr>
              <w:spacing w:after="0"/>
              <w:rPr>
                <w:sz w:val="19"/>
                <w:szCs w:val="19"/>
                <w:color w:val="auto"/>
              </w:rPr>
            </w:pPr>
          </w:p>
        </w:tc>
      </w:tr>
      <w:tr>
        <w:trPr>
          <w:trHeight w:val="227"/>
        </w:trPr>
        <w:tc>
          <w:tcPr>
            <w:tcW w:w="5320" w:type="dxa"/>
            <w:vAlign w:val="bottom"/>
          </w:tcPr>
          <w:p>
            <w:pPr>
              <w:ind w:left="240"/>
              <w:spacing w:after="0"/>
              <w:rPr>
                <w:sz w:val="20"/>
                <w:szCs w:val="20"/>
                <w:color w:val="auto"/>
              </w:rPr>
            </w:pPr>
            <w:r>
              <w:rPr>
                <w:rFonts w:ascii="Arial" w:cs="Arial" w:eastAsia="Arial" w:hAnsi="Arial"/>
                <w:sz w:val="18"/>
                <w:szCs w:val="18"/>
                <w:color w:val="auto"/>
              </w:rPr>
              <w:t>Credit carryforwards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8,986</w:t>
            </w:r>
          </w:p>
        </w:tc>
        <w:tc>
          <w:tcPr>
            <w:tcW w:w="80" w:type="dxa"/>
            <w:vAlign w:val="bottom"/>
          </w:tcPr>
          <w:p>
            <w:pPr>
              <w:spacing w:after="0"/>
              <w:rPr>
                <w:sz w:val="19"/>
                <w:szCs w:val="19"/>
                <w:color w:val="auto"/>
              </w:rPr>
            </w:pPr>
          </w:p>
        </w:tc>
      </w:tr>
      <w:tr>
        <w:trPr>
          <w:trHeight w:val="228"/>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Financing obligation to GLPI</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124,623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126,368</w:t>
            </w:r>
          </w:p>
        </w:tc>
        <w:tc>
          <w:tcPr>
            <w:tcW w:w="80" w:type="dxa"/>
            <w:vAlign w:val="bottom"/>
            <w:shd w:val="clear" w:color="auto" w:fill="CFF0FC"/>
          </w:tcPr>
          <w:p>
            <w:pPr>
              <w:spacing w:after="0"/>
              <w:rPr>
                <w:sz w:val="19"/>
                <w:szCs w:val="19"/>
                <w:color w:val="auto"/>
              </w:rPr>
            </w:pPr>
          </w:p>
        </w:tc>
      </w:tr>
      <w:tr>
        <w:trPr>
          <w:trHeight w:val="227"/>
        </w:trPr>
        <w:tc>
          <w:tcPr>
            <w:tcW w:w="5320" w:type="dxa"/>
            <w:vAlign w:val="bottom"/>
          </w:tcPr>
          <w:p>
            <w:pPr>
              <w:ind w:left="240"/>
              <w:spacing w:after="0"/>
              <w:rPr>
                <w:sz w:val="20"/>
                <w:szCs w:val="20"/>
                <w:color w:val="auto"/>
              </w:rPr>
            </w:pPr>
            <w:r>
              <w:rPr>
                <w:rFonts w:ascii="Arial" w:cs="Arial" w:eastAsia="Arial" w:hAnsi="Arial"/>
                <w:sz w:val="18"/>
                <w:szCs w:val="18"/>
                <w:color w:val="auto"/>
              </w:rPr>
              <w:t>Long-term lease obligation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41,376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9,623</w:t>
            </w:r>
          </w:p>
        </w:tc>
        <w:tc>
          <w:tcPr>
            <w:tcW w:w="80" w:type="dxa"/>
            <w:vAlign w:val="bottom"/>
            <w:shd w:val="clear" w:color="auto" w:fill="CFF0FC"/>
          </w:tcPr>
          <w:p>
            <w:pPr>
              <w:spacing w:after="0"/>
              <w:rPr>
                <w:sz w:val="19"/>
                <w:szCs w:val="19"/>
                <w:color w:val="auto"/>
              </w:rPr>
            </w:pPr>
          </w:p>
        </w:tc>
      </w:tr>
      <w:tr>
        <w:trPr>
          <w:trHeight w:val="221"/>
        </w:trPr>
        <w:tc>
          <w:tcPr>
            <w:tcW w:w="5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252,988</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196,163</w:t>
            </w:r>
          </w:p>
        </w:tc>
        <w:tc>
          <w:tcPr>
            <w:tcW w:w="80" w:type="dxa"/>
            <w:vAlign w:val="bottom"/>
            <w:tcBorders>
              <w:bottom w:val="single" w:sz="8" w:color="CFF0FC"/>
            </w:tcBorders>
          </w:tcPr>
          <w:p>
            <w:pPr>
              <w:spacing w:after="0"/>
              <w:rPr>
                <w:sz w:val="19"/>
                <w:szCs w:val="19"/>
                <w:color w:val="auto"/>
              </w:rPr>
            </w:pPr>
          </w:p>
        </w:tc>
      </w:tr>
      <w:tr>
        <w:trPr>
          <w:trHeight w:val="221"/>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5320" w:type="dxa"/>
            <w:vAlign w:val="bottom"/>
          </w:tcPr>
          <w:p>
            <w:pPr>
              <w:ind w:left="240"/>
              <w:spacing w:after="0"/>
              <w:rPr>
                <w:sz w:val="20"/>
                <w:szCs w:val="20"/>
                <w:color w:val="auto"/>
              </w:rPr>
            </w:pPr>
            <w:r>
              <w:rPr>
                <w:rFonts w:ascii="Arial" w:cs="Arial" w:eastAsia="Arial" w:hAnsi="Arial"/>
                <w:sz w:val="18"/>
                <w:szCs w:val="18"/>
                <w:color w:val="auto"/>
              </w:rPr>
              <w:t>Identified intangibles</w:t>
            </w: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(151,039)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(214,756)</w:t>
            </w:r>
          </w:p>
        </w:tc>
      </w:tr>
      <w:tr>
        <w:trPr>
          <w:trHeight w:val="228"/>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Fixed assets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(217,764)</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(149,491)</w:t>
            </w:r>
          </w:p>
        </w:tc>
      </w:tr>
      <w:tr>
        <w:trPr>
          <w:trHeight w:val="227"/>
        </w:trPr>
        <w:tc>
          <w:tcPr>
            <w:tcW w:w="5320" w:type="dxa"/>
            <w:vAlign w:val="bottom"/>
          </w:tcPr>
          <w:p>
            <w:pPr>
              <w:ind w:left="240"/>
              <w:spacing w:after="0"/>
              <w:rPr>
                <w:sz w:val="20"/>
                <w:szCs w:val="20"/>
                <w:color w:val="auto"/>
              </w:rPr>
            </w:pPr>
            <w:r>
              <w:rPr>
                <w:rFonts w:ascii="Arial" w:cs="Arial" w:eastAsia="Arial" w:hAnsi="Arial"/>
                <w:sz w:val="18"/>
                <w:szCs w:val="18"/>
                <w:color w:val="auto"/>
              </w:rPr>
              <w:t>Right-of-use assets</w:t>
            </w: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(41,137)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8"/>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(12,663)</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(6,560)</w:t>
            </w:r>
          </w:p>
        </w:tc>
      </w:tr>
      <w:tr>
        <w:trPr>
          <w:trHeight w:val="221"/>
        </w:trPr>
        <w:tc>
          <w:tcPr>
            <w:tcW w:w="5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(422,603)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(370,807)</w:t>
            </w:r>
          </w:p>
        </w:tc>
        <w:tc>
          <w:tcPr>
            <w:tcW w:w="80" w:type="dxa"/>
            <w:vAlign w:val="bottom"/>
          </w:tcPr>
          <w:p>
            <w:pPr>
              <w:spacing w:after="0"/>
              <w:rPr>
                <w:sz w:val="19"/>
                <w:szCs w:val="19"/>
                <w:color w:val="auto"/>
              </w:rPr>
            </w:pPr>
          </w:p>
        </w:tc>
      </w:tr>
      <w:tr>
        <w:trPr>
          <w:trHeight w:val="228"/>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Valuation allowance</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(27,651)</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(25,366)</w:t>
            </w:r>
          </w:p>
        </w:tc>
      </w:tr>
      <w:tr>
        <w:trPr>
          <w:trHeight w:val="221"/>
        </w:trPr>
        <w:tc>
          <w:tcPr>
            <w:tcW w:w="532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(197,266)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(200,010)</w:t>
            </w:r>
          </w:p>
        </w:tc>
        <w:tc>
          <w:tcPr>
            <w:tcW w:w="8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0" w:lineRule="exact"/>
        <w:rPr>
          <w:sz w:val="20"/>
          <w:szCs w:val="20"/>
          <w:color w:val="auto"/>
        </w:rPr>
      </w:pPr>
    </w:p>
    <w:p>
      <w:pPr>
        <w:ind w:right="140" w:firstLine="555"/>
        <w:spacing w:after="0" w:line="259" w:lineRule="auto"/>
        <w:rPr>
          <w:sz w:val="20"/>
          <w:szCs w:val="20"/>
          <w:color w:val="auto"/>
        </w:rPr>
      </w:pPr>
      <w:r>
        <w:rPr>
          <w:rFonts w:ascii="Arial" w:cs="Arial" w:eastAsia="Arial" w:hAnsi="Arial"/>
          <w:sz w:val="18"/>
          <w:szCs w:val="18"/>
          <w:color w:val="auto"/>
        </w:rPr>
        <w:t>As of December 31, 2019, the Company had federal and state net operating loss carryforwards of $29.2 million and $307.6 million, respectively. State net operating losses begin to expire in 2020 and federal net operating losses in 2032. As of December 31, 2019, the Company had federal jobs credit carryforwards of $0.2 million, which begin to expire in 2024.</w:t>
      </w:r>
    </w:p>
    <w:p>
      <w:pPr>
        <w:spacing w:after="0" w:line="186" w:lineRule="exact"/>
        <w:rPr>
          <w:sz w:val="20"/>
          <w:szCs w:val="20"/>
          <w:color w:val="auto"/>
        </w:rPr>
      </w:pPr>
    </w:p>
    <w:p>
      <w:pPr>
        <w:ind w:right="680" w:firstLine="555"/>
        <w:spacing w:after="0" w:line="271" w:lineRule="auto"/>
        <w:rPr>
          <w:sz w:val="20"/>
          <w:szCs w:val="20"/>
          <w:color w:val="auto"/>
        </w:rPr>
      </w:pPr>
      <w:r>
        <w:rPr>
          <w:rFonts w:ascii="Arial" w:cs="Arial" w:eastAsia="Arial" w:hAnsi="Arial"/>
          <w:sz w:val="18"/>
          <w:szCs w:val="18"/>
          <w:color w:val="auto"/>
        </w:rPr>
        <w:t>The acquisitions of Elgin and Tropicana were treated as asset acquisitions for tax purposes and the assets and liabilities were stepped up to fair value. As a result, there are no deferred tax assets or liabilities recorded upon acquisition.</w:t>
      </w:r>
    </w:p>
    <w:p>
      <w:pPr>
        <w:spacing w:after="0" w:line="175" w:lineRule="exact"/>
        <w:rPr>
          <w:sz w:val="20"/>
          <w:szCs w:val="20"/>
          <w:color w:val="auto"/>
        </w:rPr>
      </w:pPr>
    </w:p>
    <w:p>
      <w:pPr>
        <w:ind w:right="140" w:firstLine="555"/>
        <w:spacing w:after="0" w:line="216" w:lineRule="exact"/>
        <w:rPr>
          <w:sz w:val="20"/>
          <w:szCs w:val="20"/>
          <w:color w:val="auto"/>
        </w:rPr>
      </w:pPr>
      <w:r>
        <w:rPr>
          <w:rFonts w:ascii="Arial" w:cs="Arial" w:eastAsia="Arial" w:hAnsi="Arial"/>
          <w:sz w:val="17"/>
          <w:szCs w:val="17"/>
          <w:color w:val="auto"/>
        </w:rPr>
        <w:t>Utilization of net operating loss, credit, and other carryforwards are subject to annual limitations due to ownership changes as provided by the Internal Revenue Code of 1986, as amended and similar state provisions. An ownership change is defined as a greater than 50% change in ownership by 5% stockholders in any three</w:t>
      </w:r>
      <w:r>
        <w:rPr>
          <w:rFonts w:ascii="MS PGothic" w:cs="MS PGothic" w:eastAsia="MS PGothic" w:hAnsi="MS PGothic"/>
          <w:sz w:val="17"/>
          <w:szCs w:val="17"/>
          <w:color w:val="auto"/>
        </w:rPr>
        <w:t>‑</w:t>
      </w:r>
      <w:r>
        <w:rPr>
          <w:rFonts w:ascii="Arial" w:cs="Arial" w:eastAsia="Arial" w:hAnsi="Arial"/>
          <w:sz w:val="17"/>
          <w:szCs w:val="17"/>
          <w:color w:val="auto"/>
        </w:rPr>
        <w:t>year period. Under Sections 382 and 383 of the Internal Revenue Code of 1986, as amended, the Company had a “change in ownership” event that limits the utilization of net operating loss, credit, and other carryforwards that were previously available to Isle and the Company to offset future taxable income. The “change in ownership” event for Isle and the Company occurred on May 1, 2017 in connection with the merger with Isle of Capri. This limitation resulted in no significant loss of federal attributes, but did result in significant loss of state attributes. The federal and state net operating loss credit and other carryforwards are stated net of limitations.</w:t>
      </w:r>
    </w:p>
    <w:p>
      <w:pPr>
        <w:spacing w:after="0" w:line="202" w:lineRule="exact"/>
        <w:rPr>
          <w:sz w:val="20"/>
          <w:szCs w:val="20"/>
          <w:color w:val="auto"/>
        </w:rPr>
      </w:pPr>
    </w:p>
    <w:p>
      <w:pPr>
        <w:ind w:right="420" w:firstLine="555"/>
        <w:spacing w:after="0" w:line="259" w:lineRule="auto"/>
        <w:rPr>
          <w:sz w:val="20"/>
          <w:szCs w:val="20"/>
          <w:color w:val="auto"/>
        </w:rPr>
      </w:pPr>
      <w:r>
        <w:rPr>
          <w:rFonts w:ascii="Arial" w:cs="Arial" w:eastAsia="Arial" w:hAnsi="Arial"/>
          <w:sz w:val="18"/>
          <w:szCs w:val="18"/>
          <w:color w:val="auto"/>
        </w:rPr>
        <w:t>As of December 31, 2019, there were no unrecognized tax benefits and the Company does not expect a significant increase or decrease to the total amounts of unrecognized tax benefits within the next twelve months. We recognize accrued interest and penalties related to unrecognized tax benefits in income tax expense.</w:t>
      </w:r>
    </w:p>
    <w:p>
      <w:pPr>
        <w:spacing w:after="0" w:line="186" w:lineRule="exact"/>
        <w:rPr>
          <w:sz w:val="20"/>
          <w:szCs w:val="20"/>
          <w:color w:val="auto"/>
        </w:rPr>
      </w:pPr>
    </w:p>
    <w:p>
      <w:pPr>
        <w:ind w:right="60" w:firstLine="555"/>
        <w:spacing w:after="0" w:line="282" w:lineRule="auto"/>
        <w:rPr>
          <w:sz w:val="20"/>
          <w:szCs w:val="20"/>
          <w:color w:val="auto"/>
        </w:rPr>
      </w:pPr>
      <w:r>
        <w:rPr>
          <w:rFonts w:ascii="Arial" w:cs="Arial" w:eastAsia="Arial" w:hAnsi="Arial"/>
          <w:sz w:val="17"/>
          <w:szCs w:val="17"/>
          <w:color w:val="auto"/>
        </w:rPr>
        <w:t>The Company was notified by the Internal Revenue Service in October of 2016 that its federal tax return for the year ended December 31, 2014 had been selected for examination. In September 2017, the IRS informed the Company that they completed the examination of the tax return and made no changes. However, the Company may be subject to audit in the future and the outcome of tax audits cannot be predicted with certainty.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1">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29" w:name="page130"/>
    <w:bookmarkEnd w:id="129"/>
    <w:p>
      <w:pPr>
        <w:jc w:val="both"/>
        <w:ind w:right="140" w:firstLine="555"/>
        <w:spacing w:after="0" w:line="259" w:lineRule="auto"/>
        <w:rPr>
          <w:sz w:val="20"/>
          <w:szCs w:val="20"/>
          <w:color w:val="auto"/>
        </w:rPr>
      </w:pPr>
      <w:r>
        <w:rPr>
          <w:rFonts w:ascii="Arial" w:cs="Arial" w:eastAsia="Arial" w:hAnsi="Arial"/>
          <w:sz w:val="18"/>
          <w:szCs w:val="18"/>
          <w:color w:val="auto"/>
        </w:rPr>
        <w:t>The Company and its subsidiaries file US federal income tax returns and various state and local income tax returns. The Company does not have tax sharing agreements with the other members within the consolidated ERI group. With few exceptions, the Company is no longer subject to US federal or state and local tax examinations by tax authorities for years before 2008.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Employee Benefit Plans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Plans</w:t>
      </w:r>
    </w:p>
    <w:p>
      <w:pPr>
        <w:spacing w:after="0" w:line="114" w:lineRule="exact"/>
        <w:rPr>
          <w:sz w:val="20"/>
          <w:szCs w:val="20"/>
          <w:color w:val="auto"/>
        </w:rPr>
      </w:pPr>
    </w:p>
    <w:p>
      <w:pPr>
        <w:ind w:right="140" w:firstLine="555"/>
        <w:spacing w:after="0" w:line="259" w:lineRule="auto"/>
        <w:rPr>
          <w:sz w:val="20"/>
          <w:szCs w:val="20"/>
          <w:color w:val="auto"/>
        </w:rPr>
      </w:pPr>
      <w:r>
        <w:rPr>
          <w:rFonts w:ascii="Arial" w:cs="Arial" w:eastAsia="Arial" w:hAnsi="Arial"/>
          <w:sz w:val="18"/>
          <w:szCs w:val="18"/>
          <w:color w:val="auto"/>
        </w:rPr>
        <w:t>The Company offered several 401(k) plans to substantially all employees who are not covered by collective bargaining agreements, who meet certain eligibility requirements, namely terms of service. During 2018 and 2019, all existing 401(k) plans merged into a single plan. Under the combined plan, the employer matches contributions equal to 50% of the first 6%.</w:t>
      </w:r>
    </w:p>
    <w:p>
      <w:pPr>
        <w:spacing w:after="0" w:line="186" w:lineRule="exact"/>
        <w:rPr>
          <w:sz w:val="20"/>
          <w:szCs w:val="20"/>
          <w:color w:val="auto"/>
        </w:rPr>
      </w:pPr>
    </w:p>
    <w:p>
      <w:pPr>
        <w:ind w:right="300" w:firstLine="555"/>
        <w:spacing w:after="0" w:line="271" w:lineRule="auto"/>
        <w:rPr>
          <w:sz w:val="20"/>
          <w:szCs w:val="20"/>
          <w:color w:val="auto"/>
        </w:rPr>
      </w:pPr>
      <w:r>
        <w:rPr>
          <w:rFonts w:ascii="Arial" w:cs="Arial" w:eastAsia="Arial" w:hAnsi="Arial"/>
          <w:sz w:val="18"/>
          <w:szCs w:val="18"/>
          <w:color w:val="auto"/>
        </w:rPr>
        <w:t>The Company’s matching contributions totaled $6.4 million, $2.7 million and $2.4 million for the years ended December 31, 2019, 2018 and 2017, respectively.</w:t>
      </w:r>
    </w:p>
    <w:p>
      <w:pPr>
        <w:spacing w:after="0" w:line="175"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Mountaineer’s qualified defined contribution plan (established by West Virginia legislation) covered substantially all of its employees. Contributions to the ERI 401(k) Plan for the benefit of Mountaineer employees were $1.1 million for each of the years ended December 31, 2018 and 2017. Mountaineer was sold on December 6, 2019.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Benefit-Plan</w:t>
      </w:r>
    </w:p>
    <w:p>
      <w:pPr>
        <w:spacing w:after="0" w:line="114"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Scioto Downs sponsors a noncontributory defined-benefit plan covering all full-time employees meeting certain age and service requirements. On May 31, 2001, the plan was amended to freeze eligibility, accrual of years of service and benefits. As of December 31, 2019, the fair value of the plan assets was $1.2 million, and the fair value of the benefit obligations was $0.8 million, resulting in an over-funded status of $0.4 million. The plan assets are comprised primarily of money market and mutual funds whose values are determined based on quoted market prices and are classified in Level 1 of the fair value hierarchy. We did not make cash contributions to the Scioto Downs pension plan during 2019, 2018 and 2017.</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 AC Employees Variable Annuity Pension Plan</w:t>
      </w:r>
    </w:p>
    <w:p>
      <w:pPr>
        <w:spacing w:after="0" w:line="114"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In connection with the collective bargaining agreement and related settlement agreement (the “Settlement Agreement”) that was executed in May 2014 between Trop AC and UNITE HERE Local 54 (“Local 54”), the parties agreed that Trop AC would establish a Variable Annuity Pension Plan (“VAPP”), a defined benefit pension plan, for certain Trop AC Local 54 employees.</w:t>
      </w:r>
    </w:p>
    <w:p>
      <w:pPr>
        <w:spacing w:after="0" w:line="186" w:lineRule="exact"/>
        <w:rPr>
          <w:sz w:val="20"/>
          <w:szCs w:val="20"/>
          <w:color w:val="auto"/>
        </w:rPr>
      </w:pPr>
    </w:p>
    <w:p>
      <w:pPr>
        <w:ind w:right="20" w:firstLine="555"/>
        <w:spacing w:after="0" w:line="271" w:lineRule="auto"/>
        <w:rPr>
          <w:sz w:val="20"/>
          <w:szCs w:val="20"/>
          <w:color w:val="auto"/>
        </w:rPr>
      </w:pPr>
      <w:r>
        <w:rPr>
          <w:rFonts w:ascii="Arial" w:cs="Arial" w:eastAsia="Arial" w:hAnsi="Arial"/>
          <w:sz w:val="18"/>
          <w:szCs w:val="18"/>
          <w:color w:val="auto"/>
        </w:rPr>
        <w:t>Contributions to the VAPP through the end of the current collective bargaining agreement of February 29, 2020, will be calculated at $1.93 per straight time hour paid to employees covered by the agreement.</w:t>
      </w:r>
    </w:p>
    <w:p>
      <w:pPr>
        <w:spacing w:after="0" w:line="175" w:lineRule="exact"/>
        <w:rPr>
          <w:sz w:val="20"/>
          <w:szCs w:val="20"/>
          <w:color w:val="auto"/>
        </w:rPr>
      </w:pPr>
    </w:p>
    <w:p>
      <w:pPr>
        <w:ind w:right="140" w:firstLine="555"/>
        <w:spacing w:after="0" w:line="271" w:lineRule="auto"/>
        <w:rPr>
          <w:sz w:val="20"/>
          <w:szCs w:val="20"/>
          <w:color w:val="auto"/>
        </w:rPr>
      </w:pPr>
      <w:r>
        <w:rPr>
          <w:rFonts w:ascii="Arial" w:cs="Arial" w:eastAsia="Arial" w:hAnsi="Arial"/>
          <w:sz w:val="18"/>
          <w:szCs w:val="18"/>
          <w:color w:val="auto"/>
        </w:rPr>
        <w:t>The components of net periodic benefit costs related to the VAPP for the year ended December 31, 2019 and the period beginning with the Tropicana Acquisition date of October 1, 2018 through December 31, 2018 consists of the following (in thousands):</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1"/>
              </w:rPr>
              <w:t>Year ended December</w:t>
            </w:r>
          </w:p>
        </w:tc>
        <w:tc>
          <w:tcPr>
            <w:tcW w:w="140" w:type="dxa"/>
            <w:vAlign w:val="bottom"/>
          </w:tcPr>
          <w:p>
            <w:pPr>
              <w:spacing w:after="0"/>
              <w:rPr>
                <w:sz w:val="14"/>
                <w:szCs w:val="14"/>
                <w:color w:val="auto"/>
              </w:rPr>
            </w:pPr>
          </w:p>
        </w:tc>
        <w:tc>
          <w:tcPr>
            <w:tcW w:w="15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Period from October 1,</w:t>
            </w:r>
          </w:p>
        </w:tc>
        <w:tc>
          <w:tcPr>
            <w:tcW w:w="0" w:type="dxa"/>
            <w:vAlign w:val="bottom"/>
          </w:tcPr>
          <w:p>
            <w:pPr>
              <w:spacing w:after="0"/>
              <w:rPr>
                <w:sz w:val="1"/>
                <w:szCs w:val="1"/>
                <w:color w:val="auto"/>
              </w:rPr>
            </w:pPr>
          </w:p>
        </w:tc>
      </w:tr>
      <w:tr>
        <w:trPr>
          <w:trHeight w:val="147"/>
        </w:trPr>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3"/>
              </w:rPr>
              <w:t>2018 through</w:t>
            </w:r>
          </w:p>
        </w:tc>
        <w:tc>
          <w:tcPr>
            <w:tcW w:w="0" w:type="dxa"/>
            <w:vAlign w:val="bottom"/>
          </w:tcPr>
          <w:p>
            <w:pPr>
              <w:spacing w:after="0"/>
              <w:rPr>
                <w:sz w:val="1"/>
                <w:szCs w:val="1"/>
                <w:color w:val="auto"/>
              </w:rPr>
            </w:pPr>
          </w:p>
        </w:tc>
      </w:tr>
      <w:tr>
        <w:trPr>
          <w:trHeight w:val="170"/>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ind w:right="397"/>
              <w:spacing w:after="0"/>
              <w:rPr>
                <w:sz w:val="20"/>
                <w:szCs w:val="20"/>
                <w:color w:val="auto"/>
              </w:rPr>
            </w:pPr>
            <w:r>
              <w:rPr>
                <w:rFonts w:ascii="Arial" w:cs="Arial" w:eastAsia="Arial" w:hAnsi="Arial"/>
                <w:sz w:val="14"/>
                <w:szCs w:val="14"/>
                <w:b w:val="1"/>
                <w:bCs w:val="1"/>
                <w:color w:val="auto"/>
              </w:rPr>
              <w:t>31, 2019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21"/>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Service costs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3,254</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00" w:type="dxa"/>
            <w:vAlign w:val="bottom"/>
          </w:tcPr>
          <w:p>
            <w:pPr>
              <w:spacing w:after="0"/>
              <w:rPr>
                <w:sz w:val="20"/>
                <w:szCs w:val="20"/>
                <w:color w:val="auto"/>
              </w:rPr>
            </w:pPr>
            <w:r>
              <w:rPr>
                <w:rFonts w:ascii="Arial" w:cs="Arial" w:eastAsia="Arial" w:hAnsi="Arial"/>
                <w:sz w:val="18"/>
                <w:szCs w:val="18"/>
                <w:color w:val="auto"/>
              </w:rPr>
              <w:t>Interest costs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(749)</w:t>
            </w: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1"/>
        </w:trPr>
        <w:tc>
          <w:tcPr>
            <w:tcW w:w="4500" w:type="dxa"/>
            <w:vAlign w:val="bottom"/>
          </w:tcPr>
          <w:p>
            <w:pPr>
              <w:ind w:left="360"/>
              <w:spacing w:after="0"/>
              <w:rPr>
                <w:sz w:val="20"/>
                <w:szCs w:val="20"/>
                <w:color w:val="auto"/>
              </w:rPr>
            </w:pPr>
            <w:r>
              <w:rPr>
                <w:rFonts w:ascii="Arial" w:cs="Arial" w:eastAsia="Arial" w:hAnsi="Arial"/>
                <w:sz w:val="18"/>
                <w:szCs w:val="18"/>
                <w:color w:val="auto"/>
              </w:rPr>
              <w:t>Net periodic benefit cost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3,134</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periodic benefit costs are reported in the various operation departments in the Consolidated Statements of Income.</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2">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130" w:name="page131"/>
    <w:bookmarkEnd w:id="130"/>
    <w:p>
      <w:pPr>
        <w:ind w:right="60" w:firstLine="555"/>
        <w:spacing w:after="0" w:line="255" w:lineRule="auto"/>
        <w:rPr>
          <w:sz w:val="20"/>
          <w:szCs w:val="20"/>
          <w:color w:val="auto"/>
        </w:rPr>
      </w:pPr>
      <w:r>
        <w:rPr>
          <w:rFonts w:ascii="Arial" w:cs="Arial" w:eastAsia="Arial" w:hAnsi="Arial"/>
          <w:sz w:val="18"/>
          <w:szCs w:val="18"/>
          <w:color w:val="auto"/>
        </w:rPr>
        <w:t>The change in the projected benefit obligation, change in plan assets and funded status for the year ended December 31, 2019 and the period beginning with the Tropicana Acquisition date of October 1, 2018 through December 31, 2018 is as follows (in thousands):</w:t>
      </w:r>
    </w:p>
    <w:tbl>
      <w:tblPr>
        <w:tblLayout w:type="fixed"/>
        <w:tblInd w:w="1720" w:type="dxa"/>
        <w:tblCellMar>
          <w:top w:w="0" w:type="dxa"/>
          <w:left w:w="0" w:type="dxa"/>
          <w:bottom w:w="0" w:type="dxa"/>
          <w:right w:w="0" w:type="dxa"/>
        </w:tblCellMar>
      </w:tblPr>
      <w:tr>
        <w:trPr>
          <w:trHeight w:val="141"/>
        </w:trPr>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1"/>
              </w:rPr>
              <w:t>Period from</w:t>
            </w:r>
          </w:p>
        </w:tc>
        <w:tc>
          <w:tcPr>
            <w:tcW w:w="0" w:type="dxa"/>
            <w:vAlign w:val="bottom"/>
          </w:tcPr>
          <w:p>
            <w:pPr>
              <w:spacing w:after="0"/>
              <w:rPr>
                <w:sz w:val="1"/>
                <w:szCs w:val="1"/>
                <w:color w:val="auto"/>
              </w:rPr>
            </w:pPr>
          </w:p>
        </w:tc>
      </w:tr>
      <w:tr>
        <w:trPr>
          <w:trHeight w:val="147"/>
        </w:trPr>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2"/>
                <w:szCs w:val="12"/>
                <w:color w:val="auto"/>
              </w:rPr>
            </w:pPr>
          </w:p>
        </w:tc>
        <w:tc>
          <w:tcPr>
            <w:tcW w:w="13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October 1, 2018</w:t>
            </w:r>
          </w:p>
        </w:tc>
        <w:tc>
          <w:tcPr>
            <w:tcW w:w="0" w:type="dxa"/>
            <w:vAlign w:val="bottom"/>
          </w:tcPr>
          <w:p>
            <w:pPr>
              <w:spacing w:after="0"/>
              <w:rPr>
                <w:sz w:val="1"/>
                <w:szCs w:val="1"/>
                <w:color w:val="auto"/>
              </w:rPr>
            </w:pPr>
          </w:p>
        </w:tc>
      </w:tr>
      <w:tr>
        <w:trPr>
          <w:trHeight w:val="147"/>
        </w:trPr>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1"/>
              </w:rPr>
              <w:t>through December</w:t>
            </w:r>
          </w:p>
        </w:tc>
        <w:tc>
          <w:tcPr>
            <w:tcW w:w="0" w:type="dxa"/>
            <w:vAlign w:val="bottom"/>
          </w:tcPr>
          <w:p>
            <w:pPr>
              <w:spacing w:after="0"/>
              <w:rPr>
                <w:sz w:val="1"/>
                <w:szCs w:val="1"/>
                <w:color w:val="auto"/>
              </w:rPr>
            </w:pPr>
          </w:p>
        </w:tc>
      </w:tr>
      <w:tr>
        <w:trPr>
          <w:trHeight w:val="170"/>
        </w:trPr>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December 31, 2019</w:t>
            </w: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31, 2018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benefit obligations:</w:t>
            </w:r>
          </w:p>
        </w:tc>
        <w:tc>
          <w:tcPr>
            <w:tcW w:w="1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40" w:type="dxa"/>
            <w:vAlign w:val="bottom"/>
          </w:tcPr>
          <w:p>
            <w:pPr>
              <w:ind w:left="120"/>
              <w:spacing w:after="0"/>
              <w:rPr>
                <w:sz w:val="20"/>
                <w:szCs w:val="20"/>
                <w:color w:val="auto"/>
              </w:rPr>
            </w:pPr>
            <w:r>
              <w:rPr>
                <w:rFonts w:ascii="Arial" w:cs="Arial" w:eastAsia="Arial" w:hAnsi="Arial"/>
                <w:sz w:val="18"/>
                <w:szCs w:val="18"/>
                <w:color w:val="auto"/>
              </w:rPr>
              <w:t>Projected benefit obligation beginning of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12,650</w:t>
            </w:r>
          </w:p>
        </w:tc>
        <w:tc>
          <w:tcPr>
            <w:tcW w:w="2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12,024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Service and interest cost during period</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40" w:type="dxa"/>
            <w:vAlign w:val="bottom"/>
          </w:tcPr>
          <w:p>
            <w:pPr>
              <w:ind w:left="360"/>
              <w:spacing w:after="0"/>
              <w:rPr>
                <w:sz w:val="20"/>
                <w:szCs w:val="20"/>
                <w:color w:val="auto"/>
              </w:rPr>
            </w:pPr>
            <w:r>
              <w:rPr>
                <w:rFonts w:ascii="Arial" w:cs="Arial" w:eastAsia="Arial" w:hAnsi="Arial"/>
                <w:sz w:val="18"/>
                <w:szCs w:val="18"/>
                <w:color w:val="auto"/>
              </w:rPr>
              <w:t>Benefit payments during period</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8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Expenses during period</w:t>
            </w: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7"/>
        </w:trPr>
        <w:tc>
          <w:tcPr>
            <w:tcW w:w="4840" w:type="dxa"/>
            <w:vAlign w:val="bottom"/>
          </w:tcPr>
          <w:p>
            <w:pPr>
              <w:ind w:left="360"/>
              <w:spacing w:after="0"/>
              <w:rPr>
                <w:sz w:val="20"/>
                <w:szCs w:val="20"/>
                <w:color w:val="auto"/>
              </w:rPr>
            </w:pPr>
            <w:r>
              <w:rPr>
                <w:rFonts w:ascii="Arial" w:cs="Arial" w:eastAsia="Arial" w:hAnsi="Arial"/>
                <w:sz w:val="18"/>
                <w:szCs w:val="18"/>
                <w:color w:val="auto"/>
              </w:rPr>
              <w:t>Actuarial gain</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1"/>
        </w:trPr>
        <w:tc>
          <w:tcPr>
            <w:tcW w:w="484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Projected benefit obligation end of period</w:t>
            </w: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15,744</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tcPr>
          <w:p>
            <w:pPr>
              <w:spacing w:after="0"/>
              <w:rPr>
                <w:sz w:val="20"/>
                <w:szCs w:val="20"/>
                <w:color w:val="auto"/>
              </w:rPr>
            </w:pPr>
            <w:r>
              <w:rPr>
                <w:rFonts w:ascii="Arial" w:cs="Arial" w:eastAsia="Arial" w:hAnsi="Arial"/>
                <w:sz w:val="18"/>
                <w:szCs w:val="18"/>
                <w:color w:val="auto"/>
              </w:rPr>
              <w:t>Change in plan assets: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Fair value of plan assets at beginning of period</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40" w:type="dxa"/>
            <w:vAlign w:val="bottom"/>
          </w:tcPr>
          <w:p>
            <w:pPr>
              <w:ind w:left="360"/>
              <w:spacing w:after="0"/>
              <w:rPr>
                <w:sz w:val="20"/>
                <w:szCs w:val="20"/>
                <w:color w:val="auto"/>
              </w:rPr>
            </w:pPr>
            <w:r>
              <w:rPr>
                <w:rFonts w:ascii="Arial" w:cs="Arial" w:eastAsia="Arial" w:hAnsi="Arial"/>
                <w:sz w:val="18"/>
                <w:szCs w:val="18"/>
                <w:color w:val="auto"/>
              </w:rPr>
              <w:t>Return on plan assets during period</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Benefit payments during period</w:t>
            </w: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840" w:type="dxa"/>
            <w:vAlign w:val="bottom"/>
          </w:tcPr>
          <w:p>
            <w:pPr>
              <w:ind w:left="360"/>
              <w:spacing w:after="0"/>
              <w:rPr>
                <w:sz w:val="20"/>
                <w:szCs w:val="20"/>
                <w:color w:val="auto"/>
              </w:rPr>
            </w:pPr>
            <w:r>
              <w:rPr>
                <w:rFonts w:ascii="Arial" w:cs="Arial" w:eastAsia="Arial" w:hAnsi="Arial"/>
                <w:sz w:val="18"/>
                <w:szCs w:val="18"/>
                <w:color w:val="auto"/>
              </w:rPr>
              <w:t>Expenses during period</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8"/>
        </w:trPr>
        <w:tc>
          <w:tcPr>
            <w:tcW w:w="48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Employer contributions</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8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Fair value of plan assets at end of period</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17,933</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Funded status at end of period</w:t>
            </w: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2,189</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220" w:firstLine="555"/>
        <w:spacing w:after="0" w:line="255" w:lineRule="auto"/>
        <w:rPr>
          <w:sz w:val="20"/>
          <w:szCs w:val="20"/>
          <w:color w:val="auto"/>
        </w:rPr>
      </w:pPr>
      <w:r>
        <w:rPr>
          <w:rFonts w:ascii="Arial" w:cs="Arial" w:eastAsia="Arial" w:hAnsi="Arial"/>
          <w:sz w:val="18"/>
          <w:szCs w:val="18"/>
          <w:color w:val="auto"/>
        </w:rPr>
        <w:t>As of December 31, 2019 and 2018, the VAPP was in an overfunded status in the amount of $2.2 million and $1.7 million, respectively, which is included in other assets, net on the Consolidated Balance Sheets. Actuarial assumptions used to determine the benefit obligations for the VAPP include an expected rate of return on assets of 5%, discount rate of 5.0% pre-retirement and a discount rate of 3.0% post-retirement, which, as defined in the Settlement Agreement, will result in no adjustments to the plan benefit.</w:t>
      </w:r>
    </w:p>
    <w:p>
      <w:pPr>
        <w:spacing w:after="0" w:line="191" w:lineRule="exact"/>
        <w:rPr>
          <w:sz w:val="20"/>
          <w:szCs w:val="20"/>
          <w:color w:val="auto"/>
        </w:rPr>
      </w:pPr>
    </w:p>
    <w:p>
      <w:pPr>
        <w:ind w:firstLine="555"/>
        <w:spacing w:after="0" w:line="271" w:lineRule="auto"/>
        <w:rPr>
          <w:sz w:val="20"/>
          <w:szCs w:val="20"/>
          <w:color w:val="auto"/>
        </w:rPr>
      </w:pPr>
      <w:r>
        <w:rPr>
          <w:rFonts w:ascii="Arial" w:cs="Arial" w:eastAsia="Arial" w:hAnsi="Arial"/>
          <w:sz w:val="18"/>
          <w:szCs w:val="18"/>
          <w:color w:val="auto"/>
        </w:rPr>
        <w:t>The plan assets are comprised primarily of money market and mutual funds whose value is determined based on quoted market prices and are classified as Level 1 within the fair value hierarchy.</w:t>
      </w:r>
    </w:p>
    <w:p>
      <w:pPr>
        <w:spacing w:after="0" w:line="175" w:lineRule="exact"/>
        <w:rPr>
          <w:sz w:val="20"/>
          <w:szCs w:val="20"/>
          <w:color w:val="auto"/>
        </w:rPr>
      </w:pPr>
    </w:p>
    <w:tbl>
      <w:tblPr>
        <w:tblLayout w:type="fixed"/>
        <w:tblInd w:w="560" w:type="dxa"/>
        <w:tblCellMar>
          <w:top w:w="0" w:type="dxa"/>
          <w:left w:w="0" w:type="dxa"/>
          <w:bottom w:w="0" w:type="dxa"/>
          <w:right w:w="0" w:type="dxa"/>
        </w:tblCellMar>
      </w:tblPr>
      <w:tr>
        <w:trPr>
          <w:trHeight w:val="227"/>
        </w:trPr>
        <w:tc>
          <w:tcPr>
            <w:tcW w:w="7200" w:type="dxa"/>
            <w:vAlign w:val="bottom"/>
            <w:gridSpan w:val="2"/>
          </w:tcPr>
          <w:p>
            <w:pPr>
              <w:spacing w:after="0"/>
              <w:rPr>
                <w:sz w:val="20"/>
                <w:szCs w:val="20"/>
                <w:color w:val="auto"/>
              </w:rPr>
            </w:pPr>
            <w:r>
              <w:rPr>
                <w:rFonts w:ascii="Arial" w:cs="Arial" w:eastAsia="Arial" w:hAnsi="Arial"/>
                <w:sz w:val="18"/>
                <w:szCs w:val="18"/>
                <w:color w:val="auto"/>
                <w:w w:val="92"/>
              </w:rPr>
              <w:t>Future estimated expected benefit payments for 2020 through 2029 are as follows (in thousands):</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25"/>
        </w:trPr>
        <w:tc>
          <w:tcPr>
            <w:tcW w:w="11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Expected Benefit</w:t>
            </w:r>
          </w:p>
        </w:tc>
      </w:tr>
      <w:tr>
        <w:trPr>
          <w:trHeight w:val="232"/>
        </w:trPr>
        <w:tc>
          <w:tcPr>
            <w:tcW w:w="116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Payments</w:t>
            </w:r>
          </w:p>
        </w:tc>
      </w:tr>
      <w:tr>
        <w:trPr>
          <w:trHeight w:val="222"/>
        </w:trPr>
        <w:tc>
          <w:tcPr>
            <w:tcW w:w="1160" w:type="dxa"/>
            <w:vAlign w:val="bottom"/>
          </w:tcPr>
          <w:p>
            <w:pPr>
              <w:spacing w:after="0"/>
              <w:rPr>
                <w:sz w:val="19"/>
                <w:szCs w:val="19"/>
                <w:color w:val="auto"/>
              </w:rPr>
            </w:pPr>
          </w:p>
        </w:tc>
        <w:tc>
          <w:tcPr>
            <w:tcW w:w="604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1160" w:type="dxa"/>
            <w:vAlign w:val="bottom"/>
          </w:tcPr>
          <w:p>
            <w:pPr>
              <w:spacing w:after="0"/>
              <w:rPr>
                <w:sz w:val="19"/>
                <w:szCs w:val="19"/>
                <w:color w:val="auto"/>
              </w:rPr>
            </w:pPr>
          </w:p>
        </w:tc>
        <w:tc>
          <w:tcPr>
            <w:tcW w:w="6040" w:type="dxa"/>
            <w:vAlign w:val="bottom"/>
          </w:tcPr>
          <w:p>
            <w:pPr>
              <w:ind w:left="12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9"/>
                <w:szCs w:val="19"/>
                <w:color w:val="auto"/>
              </w:rPr>
            </w:pPr>
          </w:p>
        </w:tc>
      </w:tr>
      <w:tr>
        <w:trPr>
          <w:trHeight w:val="228"/>
        </w:trPr>
        <w:tc>
          <w:tcPr>
            <w:tcW w:w="1160" w:type="dxa"/>
            <w:vAlign w:val="bottom"/>
          </w:tcPr>
          <w:p>
            <w:pPr>
              <w:spacing w:after="0"/>
              <w:rPr>
                <w:sz w:val="19"/>
                <w:szCs w:val="19"/>
                <w:color w:val="auto"/>
              </w:rPr>
            </w:pPr>
          </w:p>
        </w:tc>
        <w:tc>
          <w:tcPr>
            <w:tcW w:w="6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FF0FC"/>
          </w:tcPr>
          <w:p>
            <w:pPr>
              <w:spacing w:after="0"/>
              <w:rPr>
                <w:sz w:val="19"/>
                <w:szCs w:val="19"/>
                <w:color w:val="auto"/>
              </w:rPr>
            </w:pPr>
          </w:p>
        </w:tc>
      </w:tr>
      <w:tr>
        <w:trPr>
          <w:trHeight w:val="227"/>
        </w:trPr>
        <w:tc>
          <w:tcPr>
            <w:tcW w:w="1160" w:type="dxa"/>
            <w:vAlign w:val="bottom"/>
          </w:tcPr>
          <w:p>
            <w:pPr>
              <w:spacing w:after="0"/>
              <w:rPr>
                <w:sz w:val="19"/>
                <w:szCs w:val="19"/>
                <w:color w:val="auto"/>
              </w:rPr>
            </w:pPr>
          </w:p>
        </w:tc>
        <w:tc>
          <w:tcPr>
            <w:tcW w:w="6040" w:type="dxa"/>
            <w:vAlign w:val="bottom"/>
          </w:tcPr>
          <w:p>
            <w:pPr>
              <w:ind w:left="12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9"/>
                <w:szCs w:val="19"/>
                <w:color w:val="auto"/>
              </w:rPr>
            </w:pPr>
          </w:p>
        </w:tc>
      </w:tr>
      <w:tr>
        <w:trPr>
          <w:trHeight w:val="228"/>
        </w:trPr>
        <w:tc>
          <w:tcPr>
            <w:tcW w:w="1160" w:type="dxa"/>
            <w:vAlign w:val="bottom"/>
          </w:tcPr>
          <w:p>
            <w:pPr>
              <w:spacing w:after="0"/>
              <w:rPr>
                <w:sz w:val="19"/>
                <w:szCs w:val="19"/>
                <w:color w:val="auto"/>
              </w:rPr>
            </w:pPr>
          </w:p>
        </w:tc>
        <w:tc>
          <w:tcPr>
            <w:tcW w:w="6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80" w:type="dxa"/>
            <w:vAlign w:val="bottom"/>
            <w:shd w:val="clear" w:color="auto" w:fill="CFF0FC"/>
          </w:tcPr>
          <w:p>
            <w:pPr>
              <w:spacing w:after="0"/>
              <w:rPr>
                <w:sz w:val="19"/>
                <w:szCs w:val="19"/>
                <w:color w:val="auto"/>
              </w:rPr>
            </w:pPr>
          </w:p>
        </w:tc>
      </w:tr>
      <w:tr>
        <w:trPr>
          <w:trHeight w:val="227"/>
        </w:trPr>
        <w:tc>
          <w:tcPr>
            <w:tcW w:w="1160" w:type="dxa"/>
            <w:vAlign w:val="bottom"/>
          </w:tcPr>
          <w:p>
            <w:pPr>
              <w:spacing w:after="0"/>
              <w:rPr>
                <w:sz w:val="19"/>
                <w:szCs w:val="19"/>
                <w:color w:val="auto"/>
              </w:rPr>
            </w:pPr>
          </w:p>
        </w:tc>
        <w:tc>
          <w:tcPr>
            <w:tcW w:w="60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2025 through 2029</w:t>
            </w: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4,581</w:t>
            </w:r>
          </w:p>
        </w:tc>
        <w:tc>
          <w:tcPr>
            <w:tcW w:w="80" w:type="dxa"/>
            <w:vAlign w:val="bottom"/>
            <w:tcBorders>
              <w:bottom w:val="single" w:sz="8" w:color="CFF0FC"/>
            </w:tcBorders>
          </w:tcPr>
          <w:p>
            <w:pPr>
              <w:spacing w:after="0"/>
              <w:rPr>
                <w:sz w:val="19"/>
                <w:szCs w:val="19"/>
                <w:color w:val="auto"/>
              </w:rPr>
            </w:pPr>
          </w:p>
        </w:tc>
      </w:tr>
      <w:tr>
        <w:trPr>
          <w:trHeight w:val="221"/>
        </w:trPr>
        <w:tc>
          <w:tcPr>
            <w:tcW w:w="1160" w:type="dxa"/>
            <w:vAlign w:val="bottom"/>
          </w:tcPr>
          <w:p>
            <w:pPr>
              <w:spacing w:after="0"/>
              <w:rPr>
                <w:sz w:val="19"/>
                <w:szCs w:val="19"/>
                <w:color w:val="auto"/>
              </w:rPr>
            </w:pPr>
          </w:p>
        </w:tc>
        <w:tc>
          <w:tcPr>
            <w:tcW w:w="60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Trop AC’s net periodic pension cost for the year ended December 31, 2020 is expected to be approximately $3.0 million.</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3">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Note 15. Stock-Based Compensation and Stockholder’s Equity</w:t>
      </w:r>
    </w:p>
    <w:p>
      <w:pPr>
        <w:spacing w:after="0" w:line="11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Awards</w:t>
      </w:r>
    </w:p>
    <w:p>
      <w:pPr>
        <w:spacing w:after="0" w:line="128" w:lineRule="exact"/>
        <w:rPr>
          <w:sz w:val="20"/>
          <w:szCs w:val="20"/>
          <w:color w:val="auto"/>
        </w:rPr>
      </w:pPr>
    </w:p>
    <w:p>
      <w:pPr>
        <w:ind w:right="40" w:firstLine="555"/>
        <w:spacing w:after="0" w:line="293" w:lineRule="auto"/>
        <w:rPr>
          <w:sz w:val="20"/>
          <w:szCs w:val="20"/>
          <w:color w:val="auto"/>
        </w:rPr>
      </w:pPr>
      <w:r>
        <w:rPr>
          <w:rFonts w:ascii="Arial" w:cs="Arial" w:eastAsia="Arial" w:hAnsi="Arial"/>
          <w:sz w:val="16"/>
          <w:szCs w:val="16"/>
          <w:color w:val="auto"/>
        </w:rPr>
        <w:t>The Board of Directors (“BOD”) adopted the Eldorado Resorts, Inc. 2015 Equity Incentive Plan (“2015 Plan”) on January 23, 2015 and the Company’s stockholders subsequently approved the adoption of the 2015 Plan on June 23, 2015. On March 28, 2019, the Company’s BOD approved an amendment to the 2015 Plan and the Company’s stockholders subsequently approved the adoption of the amended and restated 2015 Plan on June 24, 2019. The amendment to the 2015 Plan allows for 3,060,000 shares available for grant, plus the number of shares available for issuance under the 2015 Plan on the date the Company’s stockholders approved the amendment. As of December 31, 2019, under the 2015 Plan the Company had 3,997,287 shares available for grant.</w:t>
      </w:r>
    </w:p>
    <w:p>
      <w:pPr>
        <w:spacing w:after="0" w:line="202" w:lineRule="exact"/>
        <w:rPr>
          <w:sz w:val="20"/>
          <w:szCs w:val="20"/>
          <w:color w:val="auto"/>
        </w:rPr>
      </w:pPr>
    </w:p>
    <w:p>
      <w:pPr>
        <w:jc w:val="both"/>
        <w:ind w:right="20" w:firstLine="555"/>
        <w:spacing w:after="0" w:line="284" w:lineRule="auto"/>
        <w:rPr>
          <w:sz w:val="20"/>
          <w:szCs w:val="20"/>
          <w:color w:val="auto"/>
        </w:rPr>
      </w:pPr>
      <w:r>
        <w:rPr>
          <w:rFonts w:ascii="Arial" w:cs="Arial" w:eastAsia="Arial" w:hAnsi="Arial"/>
          <w:sz w:val="16"/>
          <w:szCs w:val="16"/>
          <w:color w:val="auto"/>
        </w:rPr>
        <w:t>The 2015 Plan permits the granting of stock options, including incentive stock options (“ERI Stock Options”), stock appreciation rights, restricted stock or restricted stock units (“RSUs”), performance awards, and other stock-based awards and dividend equivalents. ERI Stock Options primarily vest ratably over three years and RSUs granted to employees and executive officers primarily vest and become non-forfeitable upon the third anniversary of the date of grant.</w:t>
      </w:r>
    </w:p>
    <w:p>
      <w:pPr>
        <w:spacing w:after="0" w:line="2"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RSUs granted to non-employee directors vest immediately and are delivered upon the date that is the earlier of termination of service on the BOD or the consummation of a change of control of the Company. The performance awards relate to the achievement of defined levels of performance and are generally measured over a one or two-year performance period depending upon the award agreement. If the performance award levels are achieved, the awards earned will vest and become payable at the end of the vesting period, defined as either a one or two calendar year period following the performance period. Payout ranges are from 0% up to 200% of the award target.</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outstanding equity awards of Isle were converted into comparable equity awards of ERI stock upon consummation of the merger in May 2017.</w:t>
      </w:r>
    </w:p>
    <w:p>
      <w:pPr>
        <w:spacing w:after="0" w:line="244" w:lineRule="exact"/>
        <w:rPr>
          <w:sz w:val="20"/>
          <w:szCs w:val="20"/>
          <w:color w:val="auto"/>
        </w:rPr>
      </w:pPr>
    </w:p>
    <w:p>
      <w:pPr>
        <w:ind w:right="40" w:firstLine="555"/>
        <w:spacing w:after="0" w:line="271" w:lineRule="auto"/>
        <w:rPr>
          <w:sz w:val="20"/>
          <w:szCs w:val="20"/>
          <w:color w:val="auto"/>
        </w:rPr>
      </w:pPr>
      <w:r>
        <w:rPr>
          <w:rFonts w:ascii="Arial" w:cs="Arial" w:eastAsia="Arial" w:hAnsi="Arial"/>
          <w:sz w:val="18"/>
          <w:szCs w:val="18"/>
          <w:color w:val="auto"/>
        </w:rPr>
        <w:t>A summary of the RSU activity, including performance awards and converted Isle awards, for the years ended December 31, 2017, 2018 and 2019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3"/>
              </w:rPr>
              <w:t>Average Grant</w:t>
            </w:r>
          </w:p>
        </w:tc>
        <w:tc>
          <w:tcPr>
            <w:tcW w:w="14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Aggregate Fair</w:t>
            </w:r>
          </w:p>
        </w:tc>
        <w:tc>
          <w:tcPr>
            <w:tcW w:w="0" w:type="dxa"/>
            <w:vAlign w:val="bottom"/>
          </w:tcPr>
          <w:p>
            <w:pPr>
              <w:spacing w:after="0"/>
              <w:rPr>
                <w:sz w:val="1"/>
                <w:szCs w:val="1"/>
                <w:color w:val="auto"/>
              </w:rPr>
            </w:pPr>
          </w:p>
        </w:tc>
      </w:tr>
      <w:tr>
        <w:trPr>
          <w:trHeight w:val="147"/>
        </w:trPr>
        <w:tc>
          <w:tcPr>
            <w:tcW w:w="5440" w:type="dxa"/>
            <w:vAlign w:val="bottom"/>
          </w:tcPr>
          <w:p>
            <w:pPr>
              <w:spacing w:after="0"/>
              <w:rPr>
                <w:sz w:val="12"/>
                <w:szCs w:val="12"/>
                <w:color w:val="auto"/>
              </w:rPr>
            </w:pPr>
          </w:p>
        </w:tc>
        <w:tc>
          <w:tcPr>
            <w:tcW w:w="14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2"/>
                <w:szCs w:val="12"/>
                <w:color w:val="auto"/>
              </w:rPr>
            </w:pPr>
          </w:p>
        </w:tc>
        <w:tc>
          <w:tcPr>
            <w:tcW w:w="14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2"/>
              </w:rPr>
              <w:t>Date</w:t>
            </w:r>
          </w:p>
        </w:tc>
        <w:tc>
          <w:tcPr>
            <w:tcW w:w="14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4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Contractual Life</w:t>
            </w:r>
          </w:p>
        </w:tc>
        <w:tc>
          <w:tcPr>
            <w:tcW w:w="2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4"/>
        </w:trPr>
        <w:tc>
          <w:tcPr>
            <w:tcW w:w="544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1"/>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Unvested outstanding as of January 1, 2017</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982,370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40" w:type="dxa"/>
            <w:vAlign w:val="bottom"/>
          </w:tcPr>
          <w:p>
            <w:pPr>
              <w:ind w:left="260"/>
              <w:spacing w:after="0"/>
              <w:rPr>
                <w:sz w:val="20"/>
                <w:szCs w:val="20"/>
                <w:color w:val="auto"/>
              </w:rPr>
            </w:pPr>
            <w:r>
              <w:rPr>
                <w:rFonts w:ascii="Arial" w:cs="Arial" w:eastAsia="Arial" w:hAnsi="Arial"/>
                <w:sz w:val="18"/>
                <w:szCs w:val="18"/>
                <w:color w:val="auto"/>
              </w:rPr>
              <w:t>Granted (1)</w:t>
            </w:r>
          </w:p>
        </w:tc>
        <w:tc>
          <w:tcPr>
            <w:tcW w:w="1160" w:type="dxa"/>
            <w:vAlign w:val="bottom"/>
          </w:tcPr>
          <w:p>
            <w:pPr>
              <w:jc w:val="right"/>
              <w:spacing w:after="0"/>
              <w:rPr>
                <w:sz w:val="20"/>
                <w:szCs w:val="20"/>
                <w:color w:val="auto"/>
              </w:rPr>
            </w:pPr>
            <w:r>
              <w:rPr>
                <w:rFonts w:ascii="Arial" w:cs="Arial" w:eastAsia="Arial" w:hAnsi="Arial"/>
                <w:sz w:val="18"/>
                <w:szCs w:val="18"/>
                <w:color w:val="auto"/>
              </w:rPr>
              <w:t>600,206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20.91</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Exchanged</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860,557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4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(11,870)</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15.74</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(851,764)</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outstanding as of December 31, 2017</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1,579,499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12.25</w:t>
            </w:r>
          </w:p>
        </w:tc>
        <w:tc>
          <w:tcPr>
            <w:tcW w:w="2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0.92</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19.35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Granted (1)</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574,753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33.91</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40" w:type="dxa"/>
            <w:vAlign w:val="bottom"/>
          </w:tcPr>
          <w:p>
            <w:pPr>
              <w:ind w:left="260"/>
              <w:spacing w:after="0"/>
              <w:rPr>
                <w:sz w:val="20"/>
                <w:szCs w:val="20"/>
                <w:color w:val="auto"/>
              </w:rPr>
            </w:pPr>
            <w:r>
              <w:rPr>
                <w:rFonts w:ascii="Arial" w:cs="Arial" w:eastAsia="Arial" w:hAnsi="Arial"/>
                <w:sz w:val="18"/>
                <w:szCs w:val="18"/>
                <w:color w:val="auto"/>
              </w:rPr>
              <w:t>Vested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(860,995)</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9.79</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Canceled</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(9,885)</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outstanding as of December 31, 2018</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1,283,372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23.93</w:t>
            </w:r>
          </w:p>
        </w:tc>
        <w:tc>
          <w:tcPr>
            <w:tcW w:w="2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30.71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Granted (1)</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540,394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47.22</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40" w:type="dxa"/>
            <w:vAlign w:val="bottom"/>
          </w:tcPr>
          <w:p>
            <w:pPr>
              <w:ind w:left="260"/>
              <w:spacing w:after="0"/>
              <w:rPr>
                <w:sz w:val="20"/>
                <w:szCs w:val="20"/>
                <w:color w:val="auto"/>
              </w:rPr>
            </w:pPr>
            <w:r>
              <w:rPr>
                <w:rFonts w:ascii="Arial" w:cs="Arial" w:eastAsia="Arial" w:hAnsi="Arial"/>
                <w:sz w:val="18"/>
                <w:szCs w:val="18"/>
                <w:color w:val="auto"/>
              </w:rPr>
              <w:t>Vested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(557,672)</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20.55</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Canceled</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(19,453)</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28.17</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40" w:type="dxa"/>
            <w:vAlign w:val="bottom"/>
          </w:tcPr>
          <w:p>
            <w:pPr>
              <w:spacing w:after="0"/>
              <w:rPr>
                <w:sz w:val="20"/>
                <w:szCs w:val="20"/>
                <w:color w:val="auto"/>
              </w:rPr>
            </w:pPr>
            <w:r>
              <w:rPr>
                <w:rFonts w:ascii="Arial" w:cs="Arial" w:eastAsia="Arial" w:hAnsi="Arial"/>
                <w:sz w:val="18"/>
                <w:szCs w:val="18"/>
                <w:color w:val="auto"/>
              </w:rPr>
              <w:t>Unvested outstanding as of December 31, 2019</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1,246,641</w:t>
            </w:r>
          </w:p>
        </w:tc>
        <w:tc>
          <w:tcPr>
            <w:tcW w:w="24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35.56</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44.33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560" w:right="260" w:hanging="553"/>
        <w:spacing w:after="0" w:line="271" w:lineRule="auto"/>
        <w:tabs>
          <w:tab w:leader="none" w:pos="5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Included are 30,135, 32,284, and 46,282 RSUs granted to non-employee members of the BOD during the years ended December 31, 2019, 2018 and 2017, respectively.</w:t>
      </w:r>
    </w:p>
    <w:p>
      <w:pPr>
        <w:spacing w:after="0" w:line="175" w:lineRule="exact"/>
        <w:rPr>
          <w:sz w:val="20"/>
          <w:szCs w:val="20"/>
          <w:color w:val="auto"/>
        </w:rPr>
      </w:pPr>
    </w:p>
    <w:p>
      <w:pPr>
        <w:ind w:right="460" w:firstLine="555"/>
        <w:spacing w:after="0" w:line="335" w:lineRule="auto"/>
        <w:rPr>
          <w:sz w:val="20"/>
          <w:szCs w:val="20"/>
          <w:color w:val="auto"/>
        </w:rPr>
      </w:pPr>
      <w:r>
        <w:rPr>
          <w:rFonts w:ascii="Arial" w:cs="Arial" w:eastAsia="Arial" w:hAnsi="Arial"/>
          <w:sz w:val="16"/>
          <w:szCs w:val="16"/>
          <w:color w:val="auto"/>
        </w:rPr>
        <w:t>As of December 31, 2019 and 2018, the Company had $23.5 million and $18.0 million, respectively, of unrecognized compensation expense. The RSUs are expected to be recognized over a weighted-average period of 1.32 years and 1.41 years, as of December 31, 2019 and 2018, respectively.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4">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656" w:right="239" w:bottom="1440" w:gutter="0" w:footer="0" w:header="0"/>
        </w:sectPr>
      </w:pPr>
    </w:p>
    <w:bookmarkStart w:id="132" w:name="page133"/>
    <w:bookmarkEnd w:id="132"/>
    <w:p>
      <w:pPr>
        <w:ind w:right="120" w:firstLine="555"/>
        <w:spacing w:after="0" w:line="293" w:lineRule="auto"/>
        <w:rPr>
          <w:sz w:val="20"/>
          <w:szCs w:val="20"/>
          <w:color w:val="auto"/>
        </w:rPr>
      </w:pPr>
      <w:r>
        <w:rPr>
          <w:rFonts w:ascii="Arial" w:cs="Arial" w:eastAsia="Arial" w:hAnsi="Arial"/>
          <w:sz w:val="16"/>
          <w:szCs w:val="16"/>
          <w:color w:val="auto"/>
        </w:rPr>
        <w:t>The Company accounts for stock-based compensation in accordance with ASC 718, Compensation—Stock Compensation. Total stock-based compensation expense in the accompanying consolidated statements of income was $19.7 million, $13.1 million and $6.3 million during the years ended December 31, 2019, 2018 and 2017, respectively. These amounts are included in corporate expenses and, in the case of certain property positions, general and administrative expenses in the Company’s Consolidated Statements of Income. We recognized a reduction in income tax expense of $1.5 million, $4.8 million and $1.0 million for the year ended December 31, 2019, 2018 and 2017, respectively, for excess tax benefits related to stock-based compensation.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the ERI Stock Option activity for the years ended December 31, 2017, 2018 and 2019:</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r>
      <w:tr>
        <w:trPr>
          <w:trHeight w:val="161"/>
        </w:trPr>
        <w:tc>
          <w:tcPr>
            <w:tcW w:w="8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r>
      <w:tr>
        <w:trPr>
          <w:trHeight w:val="161"/>
        </w:trPr>
        <w:tc>
          <w:tcPr>
            <w:tcW w:w="8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Exercise</w:t>
            </w:r>
          </w:p>
        </w:tc>
      </w:tr>
      <w:tr>
        <w:trPr>
          <w:trHeight w:val="170"/>
        </w:trPr>
        <w:tc>
          <w:tcPr>
            <w:tcW w:w="8140" w:type="dxa"/>
            <w:vAlign w:val="bottom"/>
          </w:tcPr>
          <w:p>
            <w:pPr>
              <w:spacing w:after="0"/>
              <w:rPr>
                <w:sz w:val="14"/>
                <w:szCs w:val="14"/>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Price</w:t>
            </w:r>
          </w:p>
        </w:tc>
      </w:tr>
      <w:tr>
        <w:trPr>
          <w:trHeight w:val="221"/>
        </w:trPr>
        <w:tc>
          <w:tcPr>
            <w:tcW w:w="8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January 1, 2017 (1)</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169,300</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8140" w:type="dxa"/>
            <w:vAlign w:val="bottom"/>
          </w:tcPr>
          <w:p>
            <w:pPr>
              <w:spacing w:after="0"/>
              <w:rPr>
                <w:sz w:val="20"/>
                <w:szCs w:val="20"/>
                <w:color w:val="auto"/>
              </w:rPr>
            </w:pPr>
            <w:r>
              <w:rPr>
                <w:rFonts w:ascii="Arial" w:cs="Arial" w:eastAsia="Arial" w:hAnsi="Arial"/>
                <w:sz w:val="18"/>
                <w:szCs w:val="18"/>
                <w:color w:val="auto"/>
              </w:rPr>
              <w:t>Exchanged</w:t>
            </w:r>
          </w:p>
        </w:tc>
        <w:tc>
          <w:tcPr>
            <w:tcW w:w="1360" w:type="dxa"/>
            <w:vAlign w:val="bottom"/>
          </w:tcPr>
          <w:p>
            <w:pPr>
              <w:jc w:val="right"/>
              <w:spacing w:after="0"/>
              <w:rPr>
                <w:sz w:val="20"/>
                <w:szCs w:val="20"/>
                <w:color w:val="auto"/>
              </w:rPr>
            </w:pPr>
            <w:r>
              <w:rPr>
                <w:rFonts w:ascii="Arial" w:cs="Arial" w:eastAsia="Arial" w:hAnsi="Arial"/>
                <w:sz w:val="18"/>
                <w:szCs w:val="18"/>
                <w:color w:val="auto"/>
              </w:rPr>
              <w:t>1,351,168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9"/>
                <w:szCs w:val="19"/>
                <w:color w:val="auto"/>
              </w:rPr>
            </w:pPr>
          </w:p>
        </w:tc>
      </w:tr>
      <w:tr>
        <w:trPr>
          <w:trHeight w:val="228"/>
        </w:trPr>
        <w:tc>
          <w:tcPr>
            <w:tcW w:w="8140" w:type="dxa"/>
            <w:vAlign w:val="bottom"/>
            <w:shd w:val="clear" w:color="auto" w:fill="CFF0FC"/>
          </w:tcPr>
          <w:p>
            <w:pPr>
              <w:spacing w:after="0"/>
              <w:rPr>
                <w:sz w:val="20"/>
                <w:szCs w:val="20"/>
                <w:color w:val="auto"/>
              </w:rPr>
            </w:pPr>
            <w:r>
              <w:rPr>
                <w:rFonts w:ascii="Arial" w:cs="Arial" w:eastAsia="Arial" w:hAnsi="Arial"/>
                <w:sz w:val="18"/>
                <w:szCs w:val="18"/>
                <w:color w:val="auto"/>
              </w:rPr>
              <w:t>Expired</w:t>
            </w: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(62,871)</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FF0FC"/>
          </w:tcPr>
          <w:p>
            <w:pPr>
              <w:spacing w:after="0"/>
              <w:rPr>
                <w:sz w:val="19"/>
                <w:szCs w:val="19"/>
                <w:color w:val="auto"/>
              </w:rPr>
            </w:pPr>
          </w:p>
        </w:tc>
      </w:tr>
      <w:tr>
        <w:trPr>
          <w:trHeight w:val="227"/>
        </w:trPr>
        <w:tc>
          <w:tcPr>
            <w:tcW w:w="8140" w:type="dxa"/>
            <w:vAlign w:val="bottom"/>
          </w:tcPr>
          <w:p>
            <w:pPr>
              <w:spacing w:after="0"/>
              <w:rPr>
                <w:sz w:val="20"/>
                <w:szCs w:val="20"/>
                <w:color w:val="auto"/>
              </w:rPr>
            </w:pPr>
            <w:r>
              <w:rPr>
                <w:rFonts w:ascii="Arial" w:cs="Arial" w:eastAsia="Arial" w:hAnsi="Arial"/>
                <w:sz w:val="18"/>
                <w:szCs w:val="18"/>
                <w:color w:val="auto"/>
              </w:rPr>
              <w:t>Exercised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(1,185,745)</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19"/>
                <w:szCs w:val="19"/>
                <w:color w:val="auto"/>
              </w:rPr>
            </w:pPr>
          </w:p>
        </w:tc>
      </w:tr>
      <w:tr>
        <w:trPr>
          <w:trHeight w:val="221"/>
        </w:trPr>
        <w:tc>
          <w:tcPr>
            <w:tcW w:w="8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2017 (1)</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271,852</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8140" w:type="dxa"/>
            <w:vAlign w:val="bottom"/>
          </w:tcPr>
          <w:p>
            <w:pPr>
              <w:spacing w:after="0"/>
              <w:rPr>
                <w:sz w:val="20"/>
                <w:szCs w:val="20"/>
                <w:color w:val="auto"/>
              </w:rPr>
            </w:pPr>
            <w:r>
              <w:rPr>
                <w:rFonts w:ascii="Arial" w:cs="Arial" w:eastAsia="Arial" w:hAnsi="Arial"/>
                <w:sz w:val="18"/>
                <w:szCs w:val="18"/>
                <w:color w:val="auto"/>
              </w:rPr>
              <w:t>Expired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(15,776)</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19"/>
                <w:szCs w:val="19"/>
                <w:color w:val="auto"/>
              </w:rPr>
            </w:pPr>
          </w:p>
        </w:tc>
      </w:tr>
      <w:tr>
        <w:trPr>
          <w:trHeight w:val="228"/>
        </w:trPr>
        <w:tc>
          <w:tcPr>
            <w:tcW w:w="81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(120,120)</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FF0FC"/>
          </w:tcPr>
          <w:p>
            <w:pPr>
              <w:spacing w:after="0"/>
              <w:rPr>
                <w:sz w:val="19"/>
                <w:szCs w:val="19"/>
                <w:color w:val="auto"/>
              </w:rPr>
            </w:pPr>
          </w:p>
        </w:tc>
      </w:tr>
      <w:tr>
        <w:trPr>
          <w:trHeight w:val="220"/>
        </w:trPr>
        <w:tc>
          <w:tcPr>
            <w:tcW w:w="8140" w:type="dxa"/>
            <w:vAlign w:val="bottom"/>
          </w:tcPr>
          <w:p>
            <w:pPr>
              <w:spacing w:after="0"/>
              <w:rPr>
                <w:sz w:val="20"/>
                <w:szCs w:val="20"/>
                <w:color w:val="auto"/>
              </w:rPr>
            </w:pPr>
            <w:r>
              <w:rPr>
                <w:rFonts w:ascii="Arial" w:cs="Arial" w:eastAsia="Arial" w:hAnsi="Arial"/>
                <w:sz w:val="18"/>
                <w:szCs w:val="18"/>
                <w:color w:val="auto"/>
              </w:rPr>
              <w:t>Outstanding as of December 31, 2018 (1)</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135,956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19"/>
                <w:szCs w:val="19"/>
                <w:color w:val="auto"/>
              </w:rPr>
            </w:pPr>
          </w:p>
        </w:tc>
      </w:tr>
      <w:tr>
        <w:trPr>
          <w:trHeight w:val="228"/>
        </w:trPr>
        <w:tc>
          <w:tcPr>
            <w:tcW w:w="8140" w:type="dxa"/>
            <w:vAlign w:val="bottom"/>
            <w:shd w:val="clear" w:color="auto" w:fill="CFF0FC"/>
          </w:tcPr>
          <w:p>
            <w:pPr>
              <w:spacing w:after="0"/>
              <w:rPr>
                <w:sz w:val="20"/>
                <w:szCs w:val="20"/>
                <w:color w:val="auto"/>
              </w:rPr>
            </w:pPr>
            <w:r>
              <w:rPr>
                <w:rFonts w:ascii="Arial" w:cs="Arial" w:eastAsia="Arial" w:hAnsi="Arial"/>
                <w:sz w:val="18"/>
                <w:szCs w:val="18"/>
                <w:color w:val="auto"/>
              </w:rPr>
              <w:t>Expired</w:t>
            </w: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8140" w:type="dxa"/>
            <w:vAlign w:val="bottom"/>
          </w:tcPr>
          <w:p>
            <w:pPr>
              <w:spacing w:after="0"/>
              <w:rPr>
                <w:sz w:val="20"/>
                <w:szCs w:val="20"/>
                <w:color w:val="auto"/>
              </w:rPr>
            </w:pPr>
            <w:r>
              <w:rPr>
                <w:rFonts w:ascii="Arial" w:cs="Arial" w:eastAsia="Arial" w:hAnsi="Arial"/>
                <w:sz w:val="18"/>
                <w:szCs w:val="18"/>
                <w:color w:val="auto"/>
              </w:rPr>
              <w:t>Exercised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1"/>
        </w:trPr>
        <w:tc>
          <w:tcPr>
            <w:tcW w:w="8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2019 (1)</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135,956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ind w:left="560" w:right="40" w:hanging="553"/>
        <w:spacing w:after="0" w:line="271" w:lineRule="auto"/>
        <w:tabs>
          <w:tab w:leader="none" w:pos="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125,331, 119,505 and 228,143 options were exercisable as of December 31, 2019, 2018 and 2017, respectively. All outstanding options as of January 1, 2017 were exercisable.</w:t>
      </w:r>
    </w:p>
    <w:p>
      <w:pPr>
        <w:spacing w:after="0" w:line="202" w:lineRule="exact"/>
        <w:rPr>
          <w:sz w:val="20"/>
          <w:szCs w:val="20"/>
          <w:color w:val="auto"/>
        </w:rPr>
      </w:pPr>
    </w:p>
    <w:p>
      <w:pPr>
        <w:ind w:right="300" w:firstLine="555"/>
        <w:spacing w:after="0" w:line="271" w:lineRule="auto"/>
        <w:rPr>
          <w:sz w:val="20"/>
          <w:szCs w:val="20"/>
          <w:color w:val="auto"/>
        </w:rPr>
      </w:pPr>
      <w:r>
        <w:rPr>
          <w:rFonts w:ascii="Arial" w:cs="Arial" w:eastAsia="Arial" w:hAnsi="Arial"/>
          <w:sz w:val="18"/>
          <w:szCs w:val="18"/>
          <w:color w:val="auto"/>
        </w:rPr>
        <w:t>No stock options were exercised for the year ended December 31, 2019. Cash received from the exercise of stock options was $0.2 million and $2.9 million for the years ended December 31, 2018 and 2017, respectively.</w:t>
      </w:r>
    </w:p>
    <w:p>
      <w:pPr>
        <w:spacing w:after="0" w:line="202" w:lineRule="exact"/>
        <w:rPr>
          <w:sz w:val="20"/>
          <w:szCs w:val="20"/>
          <w:color w:val="auto"/>
        </w:rPr>
      </w:pPr>
    </w:p>
    <w:p>
      <w:pPr>
        <w:ind w:right="40" w:firstLine="555"/>
        <w:spacing w:after="0" w:line="335" w:lineRule="auto"/>
        <w:rPr>
          <w:sz w:val="20"/>
          <w:szCs w:val="20"/>
          <w:color w:val="auto"/>
        </w:rPr>
      </w:pPr>
      <w:r>
        <w:rPr>
          <w:rFonts w:ascii="Arial" w:cs="Arial" w:eastAsia="Arial" w:hAnsi="Arial"/>
          <w:sz w:val="16"/>
          <w:szCs w:val="16"/>
          <w:color w:val="auto"/>
        </w:rPr>
        <w:t>As a result of the Isle Acquisition, at December 31, 2017, 10,809 exchanged Isle Restricted Stock Awards were outstanding at a weighted average grant date fair value of $19.13. These awards become fully vested during 2018 and no restricted stock units were outstanding as of December 31, 2019 and 2018.</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4" w:lineRule="exact"/>
        <w:rPr>
          <w:sz w:val="20"/>
          <w:szCs w:val="20"/>
          <w:color w:val="auto"/>
        </w:rPr>
      </w:pPr>
    </w:p>
    <w:p>
      <w:pPr>
        <w:ind w:right="280" w:firstLine="555"/>
        <w:spacing w:after="0" w:line="297" w:lineRule="auto"/>
        <w:rPr>
          <w:sz w:val="20"/>
          <w:szCs w:val="20"/>
          <w:color w:val="auto"/>
        </w:rPr>
      </w:pPr>
      <w:r>
        <w:rPr>
          <w:rFonts w:ascii="Arial" w:cs="Arial" w:eastAsia="Arial" w:hAnsi="Arial"/>
          <w:sz w:val="16"/>
          <w:szCs w:val="16"/>
          <w:color w:val="auto"/>
        </w:rPr>
        <w:t>In November 2018 the BOD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spacing w:after="0" w:line="160" w:lineRule="exact"/>
        <w:rPr>
          <w:sz w:val="20"/>
          <w:szCs w:val="20"/>
          <w:color w:val="auto"/>
        </w:rPr>
      </w:pPr>
    </w:p>
    <w:p>
      <w:pPr>
        <w:ind w:right="460" w:firstLine="555"/>
        <w:spacing w:after="0" w:line="271" w:lineRule="auto"/>
        <w:rPr>
          <w:sz w:val="20"/>
          <w:szCs w:val="20"/>
          <w:color w:val="auto"/>
        </w:rPr>
      </w:pPr>
      <w:r>
        <w:rPr>
          <w:rFonts w:ascii="Arial" w:cs="Arial" w:eastAsia="Arial" w:hAnsi="Arial"/>
          <w:sz w:val="18"/>
          <w:szCs w:val="18"/>
          <w:color w:val="auto"/>
        </w:rPr>
        <w:t>The Company acquired 223,823 shares of common stock at an aggregate value of $9.1 million and an average of $40.80 per share during the year ended December 31, 2018. No shares were repurchased during the year ended December 31, 2019.</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5">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Note 16. Earnings per Share</w:t>
      </w:r>
    </w:p>
    <w:p>
      <w:pPr>
        <w:spacing w:after="0" w:line="118" w:lineRule="exact"/>
        <w:rPr>
          <w:sz w:val="20"/>
          <w:szCs w:val="20"/>
          <w:color w:val="auto"/>
        </w:rPr>
      </w:pPr>
    </w:p>
    <w:p>
      <w:pPr>
        <w:ind w:right="120" w:firstLine="555"/>
        <w:spacing w:after="0" w:line="301" w:lineRule="auto"/>
        <w:rPr>
          <w:sz w:val="20"/>
          <w:szCs w:val="20"/>
          <w:color w:val="auto"/>
        </w:rPr>
      </w:pPr>
      <w:r>
        <w:rPr>
          <w:rFonts w:ascii="Arial" w:cs="Arial" w:eastAsia="Arial" w:hAnsi="Arial"/>
          <w:sz w:val="17"/>
          <w:szCs w:val="17"/>
          <w:color w:val="auto"/>
        </w:rPr>
        <w:t>The following table illustrates the required disclosure of the reconciliation of the numerators and denominators of the basic and diluted net income per share computations during the years ended December 31, 2019, 2018 and 2017 (dollars in thousands, except per share amounts):</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860" w:type="dxa"/>
            <w:vAlign w:val="bottom"/>
            <w:tcBorders>
              <w:bottom w:val="single" w:sz="8" w:color="CFF0FC"/>
            </w:tcBorders>
          </w:tcPr>
          <w:p>
            <w:pPr>
              <w:spacing w:after="0"/>
              <w:rPr>
                <w:sz w:val="14"/>
                <w:szCs w:val="14"/>
                <w:color w:val="auto"/>
              </w:rPr>
            </w:pPr>
          </w:p>
        </w:tc>
        <w:tc>
          <w:tcPr>
            <w:tcW w:w="9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available to common stockholders</w:t>
            </w:r>
          </w:p>
        </w:tc>
        <w:tc>
          <w:tcPr>
            <w:tcW w:w="9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81,001</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95,235</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73,380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Shares outstanding:</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Weighted average shares outstanding – basic</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77,677,265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77,458,902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67,133,531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Effect of dilutive securities:</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Stock options</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105,845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119,418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RSUs</w:t>
            </w:r>
          </w:p>
        </w:tc>
        <w:tc>
          <w:tcPr>
            <w:tcW w:w="9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810,709</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703,781</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870,989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880" w:type="dxa"/>
            <w:vAlign w:val="bottom"/>
            <w:gridSpan w:val="2"/>
          </w:tcPr>
          <w:p>
            <w:pPr>
              <w:spacing w:after="0"/>
              <w:rPr>
                <w:sz w:val="20"/>
                <w:szCs w:val="20"/>
                <w:color w:val="auto"/>
              </w:rPr>
            </w:pPr>
            <w:r>
              <w:rPr>
                <w:rFonts w:ascii="Arial" w:cs="Arial" w:eastAsia="Arial" w:hAnsi="Arial"/>
                <w:sz w:val="18"/>
                <w:szCs w:val="18"/>
                <w:color w:val="auto"/>
              </w:rPr>
              <w:t>Weighted average shares outstanding – diluted</w:t>
            </w:r>
          </w:p>
        </w:tc>
        <w:tc>
          <w:tcPr>
            <w:tcW w:w="9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78,593,819</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78,282,101</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68,102,814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8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income per common share attributable to common</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stockholders – basic:</w:t>
            </w:r>
          </w:p>
        </w:tc>
        <w:tc>
          <w:tcPr>
            <w:tcW w:w="124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3"/>
                <w:szCs w:val="23"/>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23"/>
                <w:szCs w:val="23"/>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60" w:type="dxa"/>
            <w:vAlign w:val="bottom"/>
            <w:tcBorders>
              <w:top w:val="single" w:sz="8" w:color="CFF0FC"/>
            </w:tcBorders>
            <w:shd w:val="clear" w:color="auto" w:fill="CFF0FC"/>
          </w:tcPr>
          <w:p>
            <w:pPr>
              <w:spacing w:after="0" w:line="194" w:lineRule="exact"/>
              <w:rPr>
                <w:sz w:val="20"/>
                <w:szCs w:val="20"/>
                <w:color w:val="auto"/>
              </w:rPr>
            </w:pPr>
            <w:r>
              <w:rPr>
                <w:rFonts w:ascii="Arial" w:cs="Arial" w:eastAsia="Arial" w:hAnsi="Arial"/>
                <w:sz w:val="18"/>
                <w:szCs w:val="18"/>
                <w:color w:val="auto"/>
              </w:rPr>
              <w:t>Net income per common share attributable to common</w:t>
            </w:r>
          </w:p>
        </w:tc>
        <w:tc>
          <w:tcPr>
            <w:tcW w:w="96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stockholders – diluted:</w:t>
            </w:r>
          </w:p>
        </w:tc>
        <w:tc>
          <w:tcPr>
            <w:tcW w:w="1240" w:type="dxa"/>
            <w:vAlign w:val="bottom"/>
            <w:gridSpan w:val="2"/>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Fair Value Measurements</w:t>
      </w:r>
    </w:p>
    <w:p>
      <w:pPr>
        <w:spacing w:after="0" w:line="118" w:lineRule="exact"/>
        <w:rPr>
          <w:sz w:val="20"/>
          <w:szCs w:val="20"/>
          <w:color w:val="auto"/>
        </w:rPr>
      </w:pPr>
    </w:p>
    <w:p>
      <w:pPr>
        <w:ind w:right="20" w:firstLine="555"/>
        <w:spacing w:after="0" w:line="217" w:lineRule="exact"/>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Accordingly, fair value is a market-based measurement that is determined based on assumptions that market participants would use in pricing an asset or liability. As a basis for considering such assumptions, there is a three</w:t>
      </w:r>
      <w:r>
        <w:rPr>
          <w:rFonts w:ascii="MS PGothic" w:cs="MS PGothic" w:eastAsia="MS PGothic" w:hAnsi="MS PGothic"/>
          <w:sz w:val="18"/>
          <w:szCs w:val="18"/>
          <w:color w:val="auto"/>
        </w:rPr>
        <w:t>‑</w:t>
      </w:r>
      <w:r>
        <w:rPr>
          <w:rFonts w:ascii="Arial" w:cs="Arial" w:eastAsia="Arial" w:hAnsi="Arial"/>
          <w:sz w:val="18"/>
          <w:szCs w:val="18"/>
          <w:color w:val="auto"/>
        </w:rPr>
        <w:t>tier fair value hierarchy, which prioritizes the inputs used in measuring fair values as follows:</w:t>
      </w:r>
    </w:p>
    <w:p>
      <w:pPr>
        <w:spacing w:after="0" w:line="98" w:lineRule="exact"/>
        <w:rPr>
          <w:sz w:val="20"/>
          <w:szCs w:val="20"/>
          <w:color w:val="auto"/>
        </w:rPr>
      </w:pPr>
    </w:p>
    <w:p>
      <w:pPr>
        <w:ind w:left="1100" w:hanging="544"/>
        <w:spacing w:after="0"/>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Level 1 Inputs</w:t>
      </w:r>
      <w:r>
        <w:rPr>
          <w:rFonts w:ascii="Arial" w:cs="Arial" w:eastAsia="Arial" w:hAnsi="Arial"/>
          <w:sz w:val="18"/>
          <w:szCs w:val="18"/>
          <w:color w:val="auto"/>
        </w:rPr>
        <w:t>: Quoted market prices in active markets for identical assets or liabilities.</w:t>
      </w:r>
    </w:p>
    <w:p>
      <w:pPr>
        <w:spacing w:after="0" w:line="114" w:lineRule="exact"/>
        <w:rPr>
          <w:rFonts w:ascii="Arial" w:cs="Arial" w:eastAsia="Arial" w:hAnsi="Arial"/>
          <w:sz w:val="18"/>
          <w:szCs w:val="18"/>
          <w:color w:val="auto"/>
        </w:rPr>
      </w:pPr>
    </w:p>
    <w:p>
      <w:pPr>
        <w:ind w:left="1100" w:hanging="544"/>
        <w:spacing w:after="0" w:line="207" w:lineRule="exact"/>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Level 2 Inputs</w:t>
      </w:r>
      <w:r>
        <w:rPr>
          <w:rFonts w:ascii="Arial" w:cs="Arial" w:eastAsia="Arial" w:hAnsi="Arial"/>
          <w:sz w:val="18"/>
          <w:szCs w:val="18"/>
          <w:color w:val="auto"/>
        </w:rPr>
        <w:t>: Observable market</w:t>
      </w:r>
      <w:r>
        <w:rPr>
          <w:rFonts w:ascii="MS PGothic" w:cs="MS PGothic" w:eastAsia="MS PGothic" w:hAnsi="MS PGothic"/>
          <w:sz w:val="18"/>
          <w:szCs w:val="18"/>
          <w:color w:val="auto"/>
        </w:rPr>
        <w:t>‑</w:t>
      </w:r>
      <w:r>
        <w:rPr>
          <w:rFonts w:ascii="Arial" w:cs="Arial" w:eastAsia="Arial" w:hAnsi="Arial"/>
          <w:sz w:val="18"/>
          <w:szCs w:val="18"/>
          <w:color w:val="auto"/>
        </w:rPr>
        <w:t>based inputs or unobservable inputs that are corroborated by market data.</w:t>
      </w:r>
    </w:p>
    <w:p>
      <w:pPr>
        <w:spacing w:after="0" w:line="114" w:lineRule="exact"/>
        <w:rPr>
          <w:rFonts w:ascii="Arial" w:cs="Arial" w:eastAsia="Arial" w:hAnsi="Arial"/>
          <w:sz w:val="18"/>
          <w:szCs w:val="18"/>
          <w:color w:val="auto"/>
        </w:rPr>
      </w:pPr>
    </w:p>
    <w:p>
      <w:pPr>
        <w:ind w:left="1100" w:hanging="544"/>
        <w:spacing w:after="0"/>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Level 3 Inputs</w:t>
      </w:r>
      <w:r>
        <w:rPr>
          <w:rFonts w:ascii="Arial" w:cs="Arial" w:eastAsia="Arial" w:hAnsi="Arial"/>
          <w:sz w:val="18"/>
          <w:szCs w:val="18"/>
          <w:color w:val="auto"/>
        </w:rPr>
        <w:t>: Unobservable inputs that are not corroborated by market data.</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methods and assumptions are used to estimate the fair value of each class of financial instruments for which it is practical to estimate fair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208" w:lineRule="exact"/>
        <w:rPr>
          <w:sz w:val="20"/>
          <w:szCs w:val="20"/>
          <w:color w:val="auto"/>
        </w:rPr>
      </w:pPr>
    </w:p>
    <w:p>
      <w:pPr>
        <w:ind w:right="240" w:firstLine="555"/>
        <w:spacing w:after="0" w:line="217" w:lineRule="exact"/>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Cash equivalents include cash held in money market funds and investments that can be redeemed immediately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net asset value per share. A money market fund is a mutual fund whose investments are primarily in short</w:t>
      </w:r>
      <w:r>
        <w:rPr>
          <w:rFonts w:ascii="MS PGothic" w:cs="MS PGothic" w:eastAsia="MS PGothic" w:hAnsi="MS PGothic"/>
          <w:sz w:val="18"/>
          <w:szCs w:val="18"/>
          <w:color w:val="auto"/>
        </w:rPr>
        <w:t>‑</w:t>
      </w:r>
      <w:r>
        <w:rPr>
          <w:rFonts w:ascii="Arial" w:cs="Arial" w:eastAsia="Arial" w:hAnsi="Arial"/>
          <w:sz w:val="18"/>
          <w:szCs w:val="18"/>
          <w:color w:val="auto"/>
        </w:rPr>
        <w:t>term debt securities designed to maximize current income with liquidity and capital preservation, usually maintaining per share net asset value at a constant amount, such as one dollar. Cash and cash equivalents also include cash maintained for gaming operations. The carrying amounts approximate the fair value because of the short maturity of those instruments (Level 1).</w:t>
      </w:r>
    </w:p>
    <w:p>
      <w:pPr>
        <w:spacing w:after="0" w:line="202" w:lineRule="exact"/>
        <w:rPr>
          <w:sz w:val="20"/>
          <w:szCs w:val="20"/>
          <w:color w:val="auto"/>
        </w:rPr>
      </w:pPr>
    </w:p>
    <w:p>
      <w:pPr>
        <w:ind w:right="160" w:firstLine="555"/>
        <w:spacing w:after="0" w:line="255" w:lineRule="auto"/>
        <w:rPr>
          <w:sz w:val="20"/>
          <w:szCs w:val="20"/>
          <w:color w:val="auto"/>
        </w:rPr>
      </w:pPr>
      <w:r>
        <w:rPr>
          <w:rFonts w:ascii="Arial" w:cs="Arial" w:eastAsia="Arial" w:hAnsi="Arial"/>
          <w:sz w:val="18"/>
          <w:szCs w:val="18"/>
          <w:i w:val="1"/>
          <w:iCs w:val="1"/>
          <w:color w:val="auto"/>
        </w:rPr>
        <w:t>Restricted Cash and Investments and Other Liabilities related to Restricted Investments</w:t>
      </w:r>
      <w:r>
        <w:rPr>
          <w:rFonts w:ascii="Arial" w:cs="Arial" w:eastAsia="Arial" w:hAnsi="Arial"/>
          <w:sz w:val="18"/>
          <w:szCs w:val="18"/>
          <w:color w:val="auto"/>
        </w:rPr>
        <w:t>: The estimated fair values of our restricted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are based upon quoted prices available in active markets (Level 1), or quoted prices for similar assets in active and inactive markets (Level 2), or quoted prices available in active markets adjusted for time restrictions related to the sale of the investment (Level 3) and represent the amounts we would expect to receive if we sold our restricted cash and investments.</w:t>
      </w:r>
    </w:p>
    <w:p>
      <w:pPr>
        <w:spacing w:after="0" w:line="191" w:lineRule="exact"/>
        <w:rPr>
          <w:sz w:val="20"/>
          <w:szCs w:val="20"/>
          <w:color w:val="auto"/>
        </w:rPr>
      </w:pPr>
    </w:p>
    <w:p>
      <w:pPr>
        <w:ind w:right="100" w:firstLine="555"/>
        <w:spacing w:after="0" w:line="275" w:lineRule="auto"/>
        <w:rPr>
          <w:sz w:val="20"/>
          <w:szCs w:val="20"/>
          <w:color w:val="auto"/>
        </w:rPr>
      </w:pPr>
      <w:r>
        <w:rPr>
          <w:rFonts w:ascii="Arial" w:cs="Arial" w:eastAsia="Arial" w:hAnsi="Arial"/>
          <w:sz w:val="17"/>
          <w:szCs w:val="17"/>
          <w:i w:val="1"/>
          <w:iCs w:val="1"/>
          <w:color w:val="auto"/>
        </w:rPr>
        <w:t xml:space="preserve">Marketable Securities: </w:t>
      </w:r>
      <w:r>
        <w:rPr>
          <w:rFonts w:ascii="Arial" w:cs="Arial" w:eastAsia="Arial" w:hAnsi="Arial"/>
          <w:sz w:val="17"/>
          <w:szCs w:val="17"/>
          <w:color w:val="auto"/>
        </w:rPr>
        <w:t>Marketable securities consist primarily of trading securities held the Company’s captive insurance subsidiary and shares in a</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 traded company. The estimated fair values of the Company’s marketable securities are determined on an individual asset basis based upon quoted prices of identical assets available in active markets (Level 1), quoted prices of identical assets in inactive markets, or quoted prices for similar assets in active and inactive markets (Level 2), and represent the amounts we would expect to receive if we sold these marketable securities.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6">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00"/>
          </w:cols>
          <w:pgMar w:left="240" w:top="656" w:right="259" w:bottom="1440" w:gutter="0" w:footer="0" w:header="0"/>
        </w:sectPr>
      </w:pPr>
    </w:p>
    <w:bookmarkStart w:id="134" w:name="page135"/>
    <w:bookmarkEnd w:id="134"/>
    <w:p>
      <w:pPr>
        <w:jc w:val="both"/>
        <w:ind w:right="160" w:firstLine="555"/>
        <w:spacing w:after="0" w:line="218" w:lineRule="exact"/>
        <w:rPr>
          <w:sz w:val="20"/>
          <w:szCs w:val="20"/>
          <w:color w:val="auto"/>
        </w:rPr>
      </w:pPr>
      <w:r>
        <w:rPr>
          <w:rFonts w:ascii="Arial" w:cs="Arial" w:eastAsia="Arial" w:hAnsi="Arial"/>
          <w:sz w:val="16"/>
          <w:szCs w:val="16"/>
          <w:i w:val="1"/>
          <w:iCs w:val="1"/>
          <w:color w:val="auto"/>
        </w:rPr>
        <w:t>Long</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term Debt</w:t>
      </w:r>
      <w:r>
        <w:rPr>
          <w:rFonts w:ascii="Arial" w:cs="Arial" w:eastAsia="Arial" w:hAnsi="Arial"/>
          <w:sz w:val="16"/>
          <w:szCs w:val="16"/>
          <w:color w:val="auto"/>
        </w:rPr>
        <w:t>: The fair value of our long-term debt or other long-term obligations is estimated based on the quoted market price of the underlying</w:t>
      </w:r>
      <w:r>
        <w:rPr>
          <w:rFonts w:ascii="Arial" w:cs="Arial" w:eastAsia="Arial" w:hAnsi="Arial"/>
          <w:sz w:val="16"/>
          <w:szCs w:val="16"/>
          <w:i w:val="1"/>
          <w:iCs w:val="1"/>
          <w:color w:val="auto"/>
        </w:rPr>
        <w:t xml:space="preserve"> </w:t>
      </w:r>
      <w:r>
        <w:rPr>
          <w:rFonts w:ascii="Arial" w:cs="Arial" w:eastAsia="Arial" w:hAnsi="Arial"/>
          <w:sz w:val="16"/>
          <w:szCs w:val="16"/>
          <w:color w:val="auto"/>
        </w:rPr>
        <w:t>debt issue (Level 1) or, when a quoted market price is not available, the discounted cash flow of future payments utilizing current rates available to us for the debt of similar remaining maturities (Level 2). Debt obligations with a short remaining maturity have a carrying amount that approximates fair value.</w:t>
      </w:r>
    </w:p>
    <w:p>
      <w:pPr>
        <w:spacing w:after="0" w:line="243" w:lineRule="exact"/>
        <w:rPr>
          <w:sz w:val="20"/>
          <w:szCs w:val="20"/>
          <w:color w:val="auto"/>
        </w:rPr>
      </w:pPr>
    </w:p>
    <w:p>
      <w:pPr>
        <w:jc w:val="both"/>
        <w:ind w:right="40" w:firstLine="555"/>
        <w:spacing w:after="0" w:line="271" w:lineRule="auto"/>
        <w:rPr>
          <w:sz w:val="20"/>
          <w:szCs w:val="20"/>
          <w:color w:val="auto"/>
        </w:rPr>
      </w:pPr>
      <w:r>
        <w:rPr>
          <w:rFonts w:ascii="Arial" w:cs="Arial" w:eastAsia="Arial" w:hAnsi="Arial"/>
          <w:sz w:val="18"/>
          <w:szCs w:val="18"/>
          <w:i w:val="1"/>
          <w:iCs w:val="1"/>
          <w:color w:val="auto"/>
        </w:rPr>
        <w:t xml:space="preserve">Lumiere Loan: </w:t>
      </w:r>
      <w:r>
        <w:rPr>
          <w:rFonts w:ascii="Arial" w:cs="Arial" w:eastAsia="Arial" w:hAnsi="Arial"/>
          <w:sz w:val="18"/>
          <w:szCs w:val="18"/>
          <w:color w:val="auto"/>
        </w:rPr>
        <w:t>The fair value of the Lumiere Loan approximates the carrying value, as the Company expects to satisfy the loan in less than one year at</w:t>
      </w:r>
      <w:r>
        <w:rPr>
          <w:rFonts w:ascii="Arial" w:cs="Arial" w:eastAsia="Arial" w:hAnsi="Arial"/>
          <w:sz w:val="18"/>
          <w:szCs w:val="18"/>
          <w:i w:val="1"/>
          <w:iCs w:val="1"/>
          <w:color w:val="auto"/>
        </w:rPr>
        <w:t xml:space="preserve"> </w:t>
      </w:r>
      <w:r>
        <w:rPr>
          <w:rFonts w:ascii="Arial" w:cs="Arial" w:eastAsia="Arial" w:hAnsi="Arial"/>
          <w:sz w:val="18"/>
          <w:szCs w:val="18"/>
          <w:color w:val="auto"/>
        </w:rPr>
        <w:t>an amount equivalent to its fair value.</w:t>
      </w:r>
    </w:p>
    <w:p>
      <w:pPr>
        <w:spacing w:after="0" w:line="202" w:lineRule="exact"/>
        <w:rPr>
          <w:sz w:val="20"/>
          <w:szCs w:val="20"/>
          <w:color w:val="auto"/>
        </w:rPr>
      </w:pPr>
    </w:p>
    <w:p>
      <w:pPr>
        <w:jc w:val="both"/>
        <w:ind w:right="60" w:firstLine="555"/>
        <w:spacing w:after="0" w:line="218" w:lineRule="exact"/>
        <w:rPr>
          <w:sz w:val="20"/>
          <w:szCs w:val="20"/>
          <w:color w:val="auto"/>
        </w:rPr>
      </w:pPr>
      <w:r>
        <w:rPr>
          <w:rFonts w:ascii="Arial" w:cs="Arial" w:eastAsia="Arial" w:hAnsi="Arial"/>
          <w:sz w:val="16"/>
          <w:szCs w:val="16"/>
          <w:i w:val="1"/>
          <w:iCs w:val="1"/>
          <w:color w:val="auto"/>
        </w:rPr>
        <w:t>Acquisition</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Related Contingent Considerations</w:t>
      </w:r>
      <w:r>
        <w:rPr>
          <w:rFonts w:ascii="Arial" w:cs="Arial" w:eastAsia="Arial" w:hAnsi="Arial"/>
          <w:sz w:val="16"/>
          <w:szCs w:val="16"/>
          <w:color w:val="auto"/>
        </w:rPr>
        <w:t>: Contingent consideration related to the July 2003 acquisition of Scioto Downs represents the estimate</w:t>
      </w:r>
      <w:r>
        <w:rPr>
          <w:rFonts w:ascii="Arial" w:cs="Arial" w:eastAsia="Arial" w:hAnsi="Arial"/>
          <w:sz w:val="16"/>
          <w:szCs w:val="16"/>
          <w:i w:val="1"/>
          <w:iCs w:val="1"/>
          <w:color w:val="auto"/>
        </w:rPr>
        <w:t xml:space="preserve"> </w:t>
      </w:r>
      <w:r>
        <w:rPr>
          <w:rFonts w:ascii="Arial" w:cs="Arial" w:eastAsia="Arial" w:hAnsi="Arial"/>
          <w:sz w:val="16"/>
          <w:szCs w:val="16"/>
          <w:color w:val="auto"/>
        </w:rPr>
        <w:t>of amounts to be paid to former stockholders of Scioto Downs under certain earn-out provisions. Acquisition related contingent considerations of $0.4 million and $0.5 million is included in accrued other liabilities on the Consolidated Balance Sheets as of December 31, 2019 and 2018, respectively.</w:t>
      </w:r>
    </w:p>
    <w:p>
      <w:pPr>
        <w:spacing w:after="0" w:line="203" w:lineRule="exact"/>
        <w:rPr>
          <w:sz w:val="20"/>
          <w:szCs w:val="20"/>
          <w:color w:val="auto"/>
        </w:rPr>
      </w:pPr>
    </w:p>
    <w:p>
      <w:pPr>
        <w:ind w:firstLine="555"/>
        <w:spacing w:after="0" w:line="271" w:lineRule="auto"/>
        <w:rPr>
          <w:sz w:val="20"/>
          <w:szCs w:val="20"/>
          <w:color w:val="auto"/>
        </w:rPr>
      </w:pPr>
      <w:r>
        <w:rPr>
          <w:rFonts w:ascii="Arial" w:cs="Arial" w:eastAsia="Arial" w:hAnsi="Arial"/>
          <w:sz w:val="18"/>
          <w:szCs w:val="18"/>
          <w:i w:val="1"/>
          <w:iCs w:val="1"/>
          <w:color w:val="auto"/>
        </w:rPr>
        <w:t>Items Measured at Fair Value on a Recurring Basis</w:t>
      </w:r>
      <w:r>
        <w:rPr>
          <w:rFonts w:ascii="Arial" w:cs="Arial" w:eastAsia="Arial" w:hAnsi="Arial"/>
          <w:sz w:val="18"/>
          <w:szCs w:val="18"/>
          <w:color w:val="auto"/>
        </w:rPr>
        <w:t>: The following table sets forth the assets measured at fair value on a recurring basis, by input level,</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Consolidated Balance Sheets at December 31, 2019:</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524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0"/>
              </w:rPr>
              <w:t>December 31, 2019</w:t>
            </w: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2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9"/>
                <w:szCs w:val="19"/>
                <w:color w:val="auto"/>
              </w:rPr>
            </w:pPr>
          </w:p>
        </w:tc>
        <w:tc>
          <w:tcPr>
            <w:tcW w:w="860" w:type="dxa"/>
            <w:vAlign w:val="bottom"/>
          </w:tcPr>
          <w:p>
            <w:pPr>
              <w:jc w:val="right"/>
              <w:ind w:right="24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177"/>
              <w:spacing w:after="0"/>
              <w:rPr>
                <w:sz w:val="20"/>
                <w:szCs w:val="20"/>
                <w:color w:val="auto"/>
              </w:rPr>
            </w:pPr>
            <w:r>
              <w:rPr>
                <w:rFonts w:ascii="Arial" w:cs="Arial" w:eastAsia="Arial" w:hAnsi="Arial"/>
                <w:sz w:val="14"/>
                <w:szCs w:val="14"/>
                <w:b w:val="1"/>
                <w:bCs w:val="1"/>
                <w:color w:val="auto"/>
                <w:w w:val="88"/>
              </w:rPr>
              <w:t>Level 3</w:t>
            </w:r>
          </w:p>
        </w:tc>
        <w:tc>
          <w:tcPr>
            <w:tcW w:w="340" w:type="dxa"/>
            <w:vAlign w:val="bottom"/>
          </w:tcPr>
          <w:p>
            <w:pPr>
              <w:spacing w:after="0"/>
              <w:rPr>
                <w:sz w:val="19"/>
                <w:szCs w:val="19"/>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1"/>
        </w:trPr>
        <w:tc>
          <w:tcPr>
            <w:tcW w:w="52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Restricted cash and investments</w:t>
            </w: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11,276</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w:t>
            </w:r>
          </w:p>
        </w:tc>
        <w:tc>
          <w:tcPr>
            <w:tcW w:w="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29,283</w:t>
            </w:r>
          </w:p>
        </w:tc>
        <w:tc>
          <w:tcPr>
            <w:tcW w:w="3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42,609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4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27,103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7,531</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34,634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524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0"/>
              </w:rPr>
              <w:t>December 31, 2018</w:t>
            </w: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2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9"/>
                <w:szCs w:val="19"/>
                <w:color w:val="auto"/>
              </w:rPr>
            </w:pPr>
          </w:p>
        </w:tc>
        <w:tc>
          <w:tcPr>
            <w:tcW w:w="860" w:type="dxa"/>
            <w:vAlign w:val="bottom"/>
          </w:tcPr>
          <w:p>
            <w:pPr>
              <w:jc w:val="right"/>
              <w:ind w:right="24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177"/>
              <w:spacing w:after="0"/>
              <w:rPr>
                <w:sz w:val="20"/>
                <w:szCs w:val="20"/>
                <w:color w:val="auto"/>
              </w:rPr>
            </w:pPr>
            <w:r>
              <w:rPr>
                <w:rFonts w:ascii="Arial" w:cs="Arial" w:eastAsia="Arial" w:hAnsi="Arial"/>
                <w:sz w:val="14"/>
                <w:szCs w:val="14"/>
                <w:b w:val="1"/>
                <w:bCs w:val="1"/>
                <w:color w:val="auto"/>
                <w:w w:val="88"/>
              </w:rPr>
              <w:t>Level 3</w:t>
            </w:r>
          </w:p>
        </w:tc>
        <w:tc>
          <w:tcPr>
            <w:tcW w:w="340" w:type="dxa"/>
            <w:vAlign w:val="bottom"/>
          </w:tcPr>
          <w:p>
            <w:pPr>
              <w:spacing w:after="0"/>
              <w:rPr>
                <w:sz w:val="19"/>
                <w:szCs w:val="19"/>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1"/>
        </w:trPr>
        <w:tc>
          <w:tcPr>
            <w:tcW w:w="5240" w:type="dxa"/>
            <w:vAlign w:val="bottom"/>
          </w:tcPr>
          <w:p>
            <w:pPr>
              <w:ind w:left="240"/>
              <w:spacing w:after="0"/>
              <w:rPr>
                <w:sz w:val="20"/>
                <w:szCs w:val="20"/>
                <w:color w:val="auto"/>
              </w:rPr>
            </w:pPr>
            <w:r>
              <w:rPr>
                <w:rFonts w:ascii="Arial" w:cs="Arial" w:eastAsia="Arial" w:hAnsi="Arial"/>
                <w:sz w:val="18"/>
                <w:szCs w:val="18"/>
                <w:color w:val="auto"/>
              </w:rPr>
              <w:t>Restricted cash and investments</w:t>
            </w:r>
          </w:p>
        </w:tc>
        <w:tc>
          <w:tcPr>
            <w:tcW w:w="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19,481</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16,008</w:t>
            </w:r>
          </w:p>
        </w:tc>
        <w:tc>
          <w:tcPr>
            <w:tcW w:w="3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7,442</w:t>
            </w: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 in restricted investments valued using Level 3 inputs for the years ended December 31, 2019 and 2018 are as follows:</w:t>
      </w:r>
    </w:p>
    <w:p>
      <w:pPr>
        <w:spacing w:after="0" w:line="21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4"/>
              </w:rPr>
              <w:t>Level 3 Investment</w:t>
            </w:r>
          </w:p>
        </w:tc>
        <w:tc>
          <w:tcPr>
            <w:tcW w:w="16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Level 3 Other</w:t>
            </w:r>
          </w:p>
        </w:tc>
        <w:tc>
          <w:tcPr>
            <w:tcW w:w="0" w:type="dxa"/>
            <w:vAlign w:val="bottom"/>
          </w:tcPr>
          <w:p>
            <w:pPr>
              <w:spacing w:after="0"/>
              <w:rPr>
                <w:sz w:val="1"/>
                <w:szCs w:val="1"/>
                <w:color w:val="auto"/>
              </w:rPr>
            </w:pPr>
          </w:p>
        </w:tc>
      </w:tr>
      <w:tr>
        <w:trPr>
          <w:trHeight w:val="170"/>
        </w:trPr>
        <w:tc>
          <w:tcPr>
            <w:tcW w:w="3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07"/>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of investment and liabilities at</w:t>
            </w:r>
          </w:p>
        </w:tc>
        <w:tc>
          <w:tcPr>
            <w:tcW w:w="54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940" w:type="dxa"/>
            <w:vAlign w:val="bottom"/>
            <w:gridSpan w:val="2"/>
            <w:shd w:val="clear" w:color="auto" w:fill="CFF0FC"/>
          </w:tcPr>
          <w:p>
            <w:pPr>
              <w:jc w:val="right"/>
              <w:ind w:right="24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3460" w:type="dxa"/>
            <w:vAlign w:val="bottom"/>
          </w:tcPr>
          <w:p>
            <w:pPr>
              <w:spacing w:after="0"/>
              <w:rPr>
                <w:sz w:val="20"/>
                <w:szCs w:val="20"/>
                <w:color w:val="auto"/>
              </w:rPr>
            </w:pPr>
            <w:r>
              <w:rPr>
                <w:rFonts w:ascii="Arial" w:cs="Arial" w:eastAsia="Arial" w:hAnsi="Arial"/>
                <w:sz w:val="18"/>
                <w:szCs w:val="18"/>
                <w:color w:val="auto"/>
              </w:rPr>
              <w:t>Value of additional investment received</w:t>
            </w: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18,595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Unrealized loss</w:t>
            </w:r>
          </w:p>
        </w:tc>
        <w:tc>
          <w:tcPr>
            <w:tcW w:w="5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(2,587)</w:t>
            </w: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3460" w:type="dxa"/>
            <w:vAlign w:val="bottom"/>
          </w:tcPr>
          <w:p>
            <w:pPr>
              <w:spacing w:after="0"/>
              <w:rPr>
                <w:sz w:val="20"/>
                <w:szCs w:val="20"/>
                <w:color w:val="auto"/>
              </w:rPr>
            </w:pPr>
            <w:r>
              <w:rPr>
                <w:rFonts w:ascii="Arial" w:cs="Arial" w:eastAsia="Arial" w:hAnsi="Arial"/>
                <w:sz w:val="18"/>
                <w:szCs w:val="18"/>
                <w:color w:val="auto"/>
              </w:rPr>
              <w:t>Fair value at December 31, 2018</w:t>
            </w: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of investment and liabilities at</w:t>
            </w:r>
          </w:p>
        </w:tc>
        <w:tc>
          <w:tcPr>
            <w:tcW w:w="54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5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460" w:type="dxa"/>
            <w:vAlign w:val="bottom"/>
          </w:tcPr>
          <w:p>
            <w:pPr>
              <w:spacing w:after="0"/>
              <w:rPr>
                <w:sz w:val="20"/>
                <w:szCs w:val="20"/>
                <w:color w:val="auto"/>
              </w:rPr>
            </w:pPr>
            <w:r>
              <w:rPr>
                <w:rFonts w:ascii="Arial" w:cs="Arial" w:eastAsia="Arial" w:hAnsi="Arial"/>
                <w:sz w:val="18"/>
                <w:szCs w:val="18"/>
                <w:color w:val="auto"/>
              </w:rPr>
              <w:t>Non-cash consideration</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27,329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(8,774)</w:t>
            </w:r>
          </w:p>
        </w:tc>
        <w:tc>
          <w:tcPr>
            <w:tcW w:w="0" w:type="dxa"/>
            <w:vAlign w:val="bottom"/>
          </w:tcPr>
          <w:p>
            <w:pPr>
              <w:spacing w:after="0"/>
              <w:rPr>
                <w:sz w:val="1"/>
                <w:szCs w:val="1"/>
                <w:color w:val="auto"/>
              </w:rPr>
            </w:pPr>
          </w:p>
        </w:tc>
      </w:tr>
      <w:tr>
        <w:trPr>
          <w:trHeight w:val="228"/>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Released from restrictions</w:t>
            </w:r>
          </w:p>
        </w:tc>
        <w:tc>
          <w:tcPr>
            <w:tcW w:w="5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(26,152)</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60" w:type="dxa"/>
            <w:vAlign w:val="bottom"/>
          </w:tcPr>
          <w:p>
            <w:pPr>
              <w:spacing w:after="0"/>
              <w:rPr>
                <w:sz w:val="20"/>
                <w:szCs w:val="20"/>
                <w:color w:val="auto"/>
              </w:rPr>
            </w:pPr>
            <w:r>
              <w:rPr>
                <w:rFonts w:ascii="Arial" w:cs="Arial" w:eastAsia="Arial" w:hAnsi="Arial"/>
                <w:sz w:val="18"/>
                <w:szCs w:val="18"/>
                <w:color w:val="auto"/>
              </w:rPr>
              <w:t>Unrealized gain (loss)</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12,098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(4,302)</w:t>
            </w:r>
          </w:p>
        </w:tc>
        <w:tc>
          <w:tcPr>
            <w:tcW w:w="0" w:type="dxa"/>
            <w:vAlign w:val="bottom"/>
          </w:tcPr>
          <w:p>
            <w:pPr>
              <w:spacing w:after="0"/>
              <w:rPr>
                <w:sz w:val="1"/>
                <w:szCs w:val="1"/>
                <w:color w:val="auto"/>
              </w:rPr>
            </w:pPr>
          </w:p>
        </w:tc>
      </w:tr>
      <w:tr>
        <w:trPr>
          <w:trHeight w:val="221"/>
        </w:trPr>
        <w:tc>
          <w:tcPr>
            <w:tcW w:w="3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December 31, 2019</w:t>
            </w: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40" w:firstLine="555"/>
        <w:spacing w:after="0" w:line="268" w:lineRule="auto"/>
        <w:rPr>
          <w:sz w:val="20"/>
          <w:szCs w:val="20"/>
          <w:color w:val="auto"/>
        </w:rPr>
      </w:pPr>
      <w:r>
        <w:rPr>
          <w:rFonts w:ascii="Arial" w:cs="Arial" w:eastAsia="Arial" w:hAnsi="Arial"/>
          <w:sz w:val="17"/>
          <w:szCs w:val="17"/>
          <w:color w:val="auto"/>
        </w:rPr>
        <w:t>In November 2018, we entered into a 20-year agreement with TSG pursuant to which we agreed to provide TSG with options to obtain access to our second skin for online sports wagering and third skin for real money online gaming and poker, in each case with respect to our properties in the United States. Under the terms of the agreement, we will receive a revenue share from the operation of the applicable verticals by TSG under our licenses. Pursuant to the terms of the TSG agreement, we received 1.1 million TSG common shares, and an additional $5.0 million in TSG common shares became payable to us upon TSG’s exercise of its first option, which shares we received in the fourth quarter of 2019. We may also receive additional TSG common shares in the future based on TSG net gaming revenue generated in our markets. The initial 1.1 million TSG common shares were subject to a restriction on transfer and could not be sold until November 2019, and the TSG common shares that are payable to us in connection with TSG’s exercise of its first option may not be sold for a period of one year from the date such shares are issued.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7">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135" w:name="page136"/>
    <w:bookmarkEnd w:id="135"/>
    <w:p>
      <w:pPr>
        <w:ind w:right="60" w:firstLine="555"/>
        <w:spacing w:after="0" w:line="252" w:lineRule="auto"/>
        <w:rPr>
          <w:sz w:val="20"/>
          <w:szCs w:val="20"/>
          <w:color w:val="auto"/>
        </w:rPr>
      </w:pPr>
      <w:r>
        <w:rPr>
          <w:rFonts w:ascii="Arial" w:cs="Arial" w:eastAsia="Arial" w:hAnsi="Arial"/>
          <w:sz w:val="18"/>
          <w:szCs w:val="18"/>
          <w:color w:val="auto"/>
        </w:rPr>
        <w:t>At December 31, 2019, the fair value of the Company’s shares of TSG totaled $14.0 million and is included in cash and investments on the Consolidated Balance Sheets. Upon entry into the TSG agreement, the Company also recorded deferred revenue associated with the shares received and recognized revenue of $1.3 million during the year ended December 31, 2019. As of December 31, 2019, the balance of the TSG deferred revenue totaled $17.3 million and is recorded in other long-term liabilities on the Consolidated Balance Sheets. As part of the agreement with William Hill (see Note 7), the Company is obligated to pay William Hill US 50% of the proceeds received from selling the TSG shares. In December 2019 the Company sold approximately 0.5 million TSG common shares at the request of William Hill and in accordance with the terms of our agreement. Total net proceeds paid to William Hill after fees and estimated taxes was $12.6 million.</w:t>
      </w:r>
    </w:p>
    <w:p>
      <w:pPr>
        <w:spacing w:after="0" w:line="191" w:lineRule="exact"/>
        <w:rPr>
          <w:sz w:val="20"/>
          <w:szCs w:val="20"/>
          <w:color w:val="auto"/>
        </w:rPr>
      </w:pPr>
    </w:p>
    <w:p>
      <w:pPr>
        <w:ind w:firstLine="555"/>
        <w:spacing w:after="0" w:line="271" w:lineRule="auto"/>
        <w:rPr>
          <w:sz w:val="20"/>
          <w:szCs w:val="20"/>
          <w:color w:val="auto"/>
        </w:rPr>
      </w:pPr>
      <w:r>
        <w:rPr>
          <w:rFonts w:ascii="Arial" w:cs="Arial" w:eastAsia="Arial" w:hAnsi="Arial"/>
          <w:sz w:val="18"/>
          <w:szCs w:val="18"/>
          <w:color w:val="auto"/>
        </w:rPr>
        <w:t>As noted above, the restriction on the TSG shares expired in November 2019. As such, the shares were transferred from a Level 3 investment to a Level 1 investment. There were no other transfers between Level 1, Level 2 and Level 3 investments.</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estimated fair values of the Company’s financial instruments are as follows (amounts in thousands):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 2018</w:t>
            </w:r>
          </w:p>
        </w:tc>
      </w:tr>
      <w:tr>
        <w:trPr>
          <w:trHeight w:val="145"/>
        </w:trPr>
        <w:tc>
          <w:tcPr>
            <w:tcW w:w="5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rPr>
              <w:t>Carrying</w:t>
            </w: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5"/>
              <w:spacing w:after="0" w:line="145"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76"/>
              <w:spacing w:after="0" w:line="145" w:lineRule="exact"/>
              <w:rPr>
                <w:sz w:val="20"/>
                <w:szCs w:val="20"/>
                <w:color w:val="auto"/>
              </w:rPr>
            </w:pPr>
            <w:r>
              <w:rPr>
                <w:rFonts w:ascii="Arial" w:cs="Arial" w:eastAsia="Arial" w:hAnsi="Arial"/>
                <w:sz w:val="14"/>
                <w:szCs w:val="14"/>
                <w:b w:val="1"/>
                <w:bCs w:val="1"/>
                <w:color w:val="auto"/>
              </w:rPr>
              <w:t>Carrying</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ind w:right="155"/>
              <w:spacing w:after="0" w:line="145"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2"/>
                <w:szCs w:val="12"/>
                <w:color w:val="auto"/>
              </w:rPr>
            </w:pPr>
          </w:p>
        </w:tc>
      </w:tr>
      <w:tr>
        <w:trPr>
          <w:trHeight w:val="170"/>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840" w:type="dxa"/>
            <w:vAlign w:val="bottom"/>
          </w:tcPr>
          <w:p>
            <w:pPr>
              <w:jc w:val="right"/>
              <w:ind w:right="275"/>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r>
      <w:tr>
        <w:trPr>
          <w:trHeight w:val="221"/>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5240" w:type="dxa"/>
            <w:vAlign w:val="bottom"/>
          </w:tcPr>
          <w:p>
            <w:pPr>
              <w:ind w:left="240"/>
              <w:spacing w:after="0"/>
              <w:rPr>
                <w:sz w:val="20"/>
                <w:szCs w:val="20"/>
                <w:color w:val="auto"/>
              </w:rPr>
            </w:pPr>
            <w:r>
              <w:rPr>
                <w:rFonts w:ascii="Arial" w:cs="Arial" w:eastAsia="Arial" w:hAnsi="Arial"/>
                <w:sz w:val="18"/>
                <w:szCs w:val="18"/>
                <w:color w:val="auto"/>
              </w:rPr>
              <w:t>7% Senior Notes due 2023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370,077</w:t>
            </w:r>
          </w:p>
        </w:tc>
        <w:tc>
          <w:tcPr>
            <w:tcW w:w="22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390,938</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368,925</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385,312</w:t>
            </w:r>
          </w:p>
        </w:tc>
        <w:tc>
          <w:tcPr>
            <w:tcW w:w="80" w:type="dxa"/>
            <w:vAlign w:val="bottom"/>
          </w:tcPr>
          <w:p>
            <w:pPr>
              <w:spacing w:after="0"/>
              <w:rPr>
                <w:sz w:val="19"/>
                <w:szCs w:val="19"/>
                <w:color w:val="auto"/>
              </w:rPr>
            </w:pPr>
          </w:p>
        </w:tc>
      </w:tr>
      <w:tr>
        <w:trPr>
          <w:trHeight w:val="228"/>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6% Senior Notes due 2025</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879,276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922,031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880,086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840,000</w:t>
            </w:r>
          </w:p>
        </w:tc>
        <w:tc>
          <w:tcPr>
            <w:tcW w:w="80" w:type="dxa"/>
            <w:vAlign w:val="bottom"/>
            <w:shd w:val="clear" w:color="auto" w:fill="CFF0FC"/>
          </w:tcPr>
          <w:p>
            <w:pPr>
              <w:spacing w:after="0"/>
              <w:rPr>
                <w:sz w:val="19"/>
                <w:szCs w:val="19"/>
                <w:color w:val="auto"/>
              </w:rPr>
            </w:pPr>
          </w:p>
        </w:tc>
      </w:tr>
      <w:tr>
        <w:trPr>
          <w:trHeight w:val="227"/>
        </w:trPr>
        <w:tc>
          <w:tcPr>
            <w:tcW w:w="5240" w:type="dxa"/>
            <w:vAlign w:val="bottom"/>
          </w:tcPr>
          <w:p>
            <w:pPr>
              <w:ind w:left="240"/>
              <w:spacing w:after="0"/>
              <w:rPr>
                <w:sz w:val="20"/>
                <w:szCs w:val="20"/>
                <w:color w:val="auto"/>
              </w:rPr>
            </w:pPr>
            <w:r>
              <w:rPr>
                <w:rFonts w:ascii="Arial" w:cs="Arial" w:eastAsia="Arial" w:hAnsi="Arial"/>
                <w:sz w:val="18"/>
                <w:szCs w:val="18"/>
                <w:color w:val="auto"/>
              </w:rPr>
              <w:t>6% Senior Notes due 2026</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582,042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662,250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580,370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567,000</w:t>
            </w:r>
          </w:p>
        </w:tc>
        <w:tc>
          <w:tcPr>
            <w:tcW w:w="80" w:type="dxa"/>
            <w:vAlign w:val="bottom"/>
          </w:tcPr>
          <w:p>
            <w:pPr>
              <w:spacing w:after="0"/>
              <w:rPr>
                <w:sz w:val="19"/>
                <w:szCs w:val="19"/>
                <w:color w:val="auto"/>
              </w:rPr>
            </w:pPr>
          </w:p>
        </w:tc>
      </w:tr>
      <w:tr>
        <w:trPr>
          <w:trHeight w:val="228"/>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Term Loan</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490,768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498,127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938,324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916,088</w:t>
            </w:r>
          </w:p>
        </w:tc>
        <w:tc>
          <w:tcPr>
            <w:tcW w:w="80" w:type="dxa"/>
            <w:vAlign w:val="bottom"/>
            <w:shd w:val="clear" w:color="auto" w:fill="CFF0FC"/>
          </w:tcPr>
          <w:p>
            <w:pPr>
              <w:spacing w:after="0"/>
              <w:rPr>
                <w:sz w:val="19"/>
                <w:szCs w:val="19"/>
                <w:color w:val="auto"/>
              </w:rPr>
            </w:pPr>
          </w:p>
        </w:tc>
      </w:tr>
      <w:tr>
        <w:trPr>
          <w:trHeight w:val="227"/>
        </w:trPr>
        <w:tc>
          <w:tcPr>
            <w:tcW w:w="5240" w:type="dxa"/>
            <w:vAlign w:val="bottom"/>
          </w:tcPr>
          <w:p>
            <w:pPr>
              <w:ind w:left="240"/>
              <w:spacing w:after="0"/>
              <w:rPr>
                <w:sz w:val="20"/>
                <w:szCs w:val="20"/>
                <w:color w:val="auto"/>
              </w:rPr>
            </w:pPr>
            <w:r>
              <w:rPr>
                <w:rFonts w:ascii="Arial" w:cs="Arial" w:eastAsia="Arial" w:hAnsi="Arial"/>
                <w:sz w:val="18"/>
                <w:szCs w:val="18"/>
                <w:color w:val="auto"/>
              </w:rPr>
              <w:t>Revolving Credit Facility</w:t>
            </w:r>
          </w:p>
        </w:tc>
        <w:tc>
          <w:tcPr>
            <w:tcW w:w="1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245,000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245,000</w:t>
            </w:r>
          </w:p>
        </w:tc>
        <w:tc>
          <w:tcPr>
            <w:tcW w:w="80" w:type="dxa"/>
            <w:vAlign w:val="bottom"/>
          </w:tcPr>
          <w:p>
            <w:pPr>
              <w:spacing w:after="0"/>
              <w:rPr>
                <w:sz w:val="19"/>
                <w:szCs w:val="19"/>
                <w:color w:val="auto"/>
              </w:rPr>
            </w:pPr>
          </w:p>
        </w:tc>
      </w:tr>
      <w:tr>
        <w:trPr>
          <w:trHeight w:val="228"/>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Lumière Loan</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246,000</w:t>
            </w:r>
          </w:p>
        </w:tc>
        <w:tc>
          <w:tcPr>
            <w:tcW w:w="80" w:type="dxa"/>
            <w:vAlign w:val="bottom"/>
            <w:shd w:val="clear" w:color="auto" w:fill="CFF0FC"/>
          </w:tcPr>
          <w:p>
            <w:pPr>
              <w:spacing w:after="0"/>
              <w:rPr>
                <w:sz w:val="19"/>
                <w:szCs w:val="19"/>
                <w:color w:val="auto"/>
              </w:rPr>
            </w:pPr>
          </w:p>
        </w:tc>
      </w:tr>
      <w:tr>
        <w:trPr>
          <w:trHeight w:val="227"/>
        </w:trPr>
        <w:tc>
          <w:tcPr>
            <w:tcW w:w="5240" w:type="dxa"/>
            <w:vAlign w:val="bottom"/>
          </w:tcPr>
          <w:p>
            <w:pPr>
              <w:ind w:left="240"/>
              <w:spacing w:after="0"/>
              <w:rPr>
                <w:sz w:val="20"/>
                <w:szCs w:val="20"/>
                <w:color w:val="auto"/>
              </w:rPr>
            </w:pPr>
            <w:r>
              <w:rPr>
                <w:rFonts w:ascii="Arial" w:cs="Arial" w:eastAsia="Arial" w:hAnsi="Arial"/>
                <w:sz w:val="18"/>
                <w:szCs w:val="18"/>
                <w:color w:val="auto"/>
              </w:rPr>
              <w:t>Other long-term debt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3,030</w:t>
            </w:r>
          </w:p>
        </w:tc>
        <w:tc>
          <w:tcPr>
            <w:tcW w:w="80" w:type="dxa"/>
            <w:vAlign w:val="bottom"/>
          </w:tcPr>
          <w:p>
            <w:pPr>
              <w:spacing w:after="0"/>
              <w:rPr>
                <w:sz w:val="19"/>
                <w:szCs w:val="19"/>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132" w:lineRule="exact"/>
        <w:rPr>
          <w:sz w:val="20"/>
          <w:szCs w:val="20"/>
          <w:color w:val="auto"/>
        </w:rPr>
      </w:pPr>
    </w:p>
    <w:p>
      <w:pPr>
        <w:ind w:right="20" w:firstLine="559"/>
        <w:spacing w:after="0" w:line="255"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We are parties to various legal proceedings. Such proceedings can be costly, time consuming and unpredictable and, therefore, no assurance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be given that the final outcome of such proceedings will not materially impact our consolidated financial condition or results of operations. While we maintain insurance coverage that we believe is adequate to mitigate the risks of such proceedings, no assurance can be given that the amount or scope of existing insurance coverage will be sufficient to cover losses arising from such matters.</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Merger Litigation</w:t>
      </w:r>
    </w:p>
    <w:p>
      <w:pPr>
        <w:spacing w:after="0" w:line="114" w:lineRule="exact"/>
        <w:rPr>
          <w:sz w:val="20"/>
          <w:szCs w:val="20"/>
          <w:color w:val="auto"/>
        </w:rPr>
      </w:pPr>
    </w:p>
    <w:p>
      <w:pPr>
        <w:ind w:right="40" w:firstLine="555"/>
        <w:spacing w:after="0" w:line="267" w:lineRule="auto"/>
        <w:rPr>
          <w:sz w:val="20"/>
          <w:szCs w:val="20"/>
          <w:color w:val="auto"/>
        </w:rPr>
      </w:pPr>
      <w:r>
        <w:rPr>
          <w:rFonts w:ascii="Arial" w:cs="Arial" w:eastAsia="Arial" w:hAnsi="Arial"/>
          <w:sz w:val="17"/>
          <w:szCs w:val="17"/>
          <w:color w:val="auto"/>
        </w:rPr>
        <w:t xml:space="preserve">Eight putative class action lawsuits have been filed in connection with the Merger. The Company has been named as a party in three of such actions: </w:t>
      </w:r>
      <w:r>
        <w:rPr>
          <w:rFonts w:ascii="Arial" w:cs="Arial" w:eastAsia="Arial" w:hAnsi="Arial"/>
          <w:sz w:val="17"/>
          <w:szCs w:val="17"/>
          <w:i w:val="1"/>
          <w:iCs w:val="1"/>
          <w:color w:val="auto"/>
        </w:rPr>
        <w:t>Cazer v. Caesars Entertainment Corp., et al</w:t>
      </w:r>
      <w:r>
        <w:rPr>
          <w:rFonts w:ascii="Arial" w:cs="Arial" w:eastAsia="Arial" w:hAnsi="Arial"/>
          <w:sz w:val="17"/>
          <w:szCs w:val="17"/>
          <w:color w:val="auto"/>
        </w:rPr>
        <w:t>, Civil Action No. A-19-801900-C, Eighth Judicial District Court Clark County, Nevada (9/13/2019),</w:t>
      </w:r>
      <w:r>
        <w:rPr>
          <w:rFonts w:ascii="Arial" w:cs="Arial" w:eastAsia="Arial" w:hAnsi="Arial"/>
          <w:sz w:val="17"/>
          <w:szCs w:val="17"/>
          <w:i w:val="1"/>
          <w:iCs w:val="1"/>
          <w:color w:val="auto"/>
        </w:rPr>
        <w:t xml:space="preserve"> Gershman v. Caesars Entertainment Corp., et al</w:t>
      </w:r>
      <w:r>
        <w:rPr>
          <w:rFonts w:ascii="Arial" w:cs="Arial" w:eastAsia="Arial" w:hAnsi="Arial"/>
          <w:sz w:val="17"/>
          <w:szCs w:val="17"/>
          <w:color w:val="auto"/>
        </w:rPr>
        <w:t>, Civil Action No 1:19-cv-01720-UNA, United States District Court for the District of Delaware (9/12/2019), and</w:t>
      </w:r>
      <w:r>
        <w:rPr>
          <w:rFonts w:ascii="Arial" w:cs="Arial" w:eastAsia="Arial" w:hAnsi="Arial"/>
          <w:sz w:val="17"/>
          <w:szCs w:val="17"/>
          <w:i w:val="1"/>
          <w:iCs w:val="1"/>
          <w:color w:val="auto"/>
        </w:rPr>
        <w:t xml:space="preserve"> Palkon v. Caesars Entertainment Corp., et al</w:t>
      </w:r>
      <w:r>
        <w:rPr>
          <w:rFonts w:ascii="Arial" w:cs="Arial" w:eastAsia="Arial" w:hAnsi="Arial"/>
          <w:sz w:val="17"/>
          <w:szCs w:val="17"/>
          <w:color w:val="auto"/>
        </w:rPr>
        <w:t>, Civil Action No. 1:19-cv-01679-UNA, United States District Court for the District of Delaware (9/9/2019). In general,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complaints assert claims under sections 14(a), 20(a) and Rule 14a-9 of the Securities Exchange Act of 1934 challenging the adequacy of certain disclosures in the joint proxy statement/prospectus filed in connection with the Merger. In addition, one of the complaints alleges state law breach of fiduciary duty claims against the Caesars directors. The complaints seek, among other relief, an injunction preventing consummation of the Merger, damages in the event that the Merger is consummated and attorneys’ fees. The parties to the litigation have an agreement in principle to settle the claims. However, there can be no assurances that the claims will be settled on the expected terms or at all.</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8">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36" w:name="page137"/>
    <w:bookmarkEnd w:id="136"/>
    <w:p>
      <w:pPr>
        <w:ind w:left="560"/>
        <w:spacing w:after="0"/>
        <w:rPr>
          <w:sz w:val="20"/>
          <w:szCs w:val="20"/>
          <w:color w:val="auto"/>
        </w:rPr>
      </w:pPr>
      <w:r>
        <w:rPr>
          <w:rFonts w:ascii="Arial" w:cs="Arial" w:eastAsia="Arial" w:hAnsi="Arial"/>
          <w:sz w:val="18"/>
          <w:szCs w:val="18"/>
          <w:b w:val="1"/>
          <w:bCs w:val="1"/>
          <w:i w:val="1"/>
          <w:iCs w:val="1"/>
          <w:color w:val="auto"/>
        </w:rPr>
        <w:t>Securities Action</w:t>
      </w:r>
    </w:p>
    <w:p>
      <w:pPr>
        <w:spacing w:after="0" w:line="114" w:lineRule="exact"/>
        <w:rPr>
          <w:sz w:val="20"/>
          <w:szCs w:val="20"/>
          <w:color w:val="auto"/>
        </w:rPr>
      </w:pPr>
    </w:p>
    <w:p>
      <w:pPr>
        <w:ind w:firstLine="555"/>
        <w:spacing w:after="0" w:line="283" w:lineRule="auto"/>
        <w:rPr>
          <w:sz w:val="20"/>
          <w:szCs w:val="20"/>
          <w:color w:val="auto"/>
        </w:rPr>
      </w:pPr>
      <w:r>
        <w:rPr>
          <w:rFonts w:ascii="Arial" w:cs="Arial" w:eastAsia="Arial" w:hAnsi="Arial"/>
          <w:sz w:val="16"/>
          <w:szCs w:val="16"/>
          <w:color w:val="auto"/>
        </w:rPr>
        <w:t xml:space="preserve">On September 23, 2019, the Company and certain of its officers were named as defendants in a putative class action complaint filed in the United States District Court for the District of New Jersey and captioned as </w:t>
      </w:r>
      <w:r>
        <w:rPr>
          <w:rFonts w:ascii="Arial" w:cs="Arial" w:eastAsia="Arial" w:hAnsi="Arial"/>
          <w:sz w:val="16"/>
          <w:szCs w:val="16"/>
          <w:i w:val="1"/>
          <w:iCs w:val="1"/>
          <w:color w:val="auto"/>
        </w:rPr>
        <w:t>Elberts v. Eldorado Resorts, Inc.</w:t>
      </w:r>
      <w:r>
        <w:rPr>
          <w:rFonts w:ascii="Arial" w:cs="Arial" w:eastAsia="Arial" w:hAnsi="Arial"/>
          <w:sz w:val="16"/>
          <w:szCs w:val="16"/>
          <w:color w:val="auto"/>
        </w:rPr>
        <w:t>, Case No. 2:19-cv-18230-SRC-CLW. The complaint asserts violations of Sections 10(b) and 20(a) of the Securities Exchange Act of 1934 and SEC Rule 10b-5 promulgated under the Securities Exchange Act of 1934. The complaint alleges that the Company made material misstatements and/or omissions during the period from March 1, 2019 through September 2,</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2019. The allegations relate to disclosure concerning the subpoenas that certain of the Company’s directors and officers received from the SEC, which have been previously disclosed in the proxy statement/prospectus filed by the Company relating to the pending transaction with Caesars. The SEC Investigation is ongoing. The complaint seeks unspecified damages on behalf of all persons and entities who purchased the Company’s securities during the period from March 1, 2019 through September 2, 2019. The Boston Retirement System has been named as the lead plaintiff. The Company intends to vigorously defend itself against these claims.</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w:t>
      </w:r>
    </w:p>
    <w:p>
      <w:pPr>
        <w:spacing w:after="0" w:line="114" w:lineRule="exact"/>
        <w:rPr>
          <w:sz w:val="20"/>
          <w:szCs w:val="20"/>
          <w:color w:val="auto"/>
        </w:rPr>
      </w:pPr>
    </w:p>
    <w:p>
      <w:pPr>
        <w:jc w:val="both"/>
        <w:ind w:right="20" w:firstLine="555"/>
        <w:spacing w:after="0" w:line="307" w:lineRule="auto"/>
        <w:rPr>
          <w:sz w:val="20"/>
          <w:szCs w:val="20"/>
          <w:color w:val="auto"/>
        </w:rPr>
      </w:pPr>
      <w:r>
        <w:rPr>
          <w:rFonts w:ascii="Arial" w:cs="Arial" w:eastAsia="Arial" w:hAnsi="Arial"/>
          <w:sz w:val="16"/>
          <w:szCs w:val="16"/>
          <w:color w:val="auto"/>
        </w:rPr>
        <w:t>In addition, we are a party to various legal and administrative proceedings, which have arisen in the normal course of our business. Estimated losses are accrued for these proceedings when the loss is probable and can be estimated. The current liability for the estimated losses associated with these proceedings is not material to our consolidated financial condition and those estimated losses are not expected to have a material impact on our results of operations.</w:t>
      </w:r>
    </w:p>
    <w:p>
      <w:pPr>
        <w:spacing w:after="0" w:line="150" w:lineRule="exact"/>
        <w:rPr>
          <w:sz w:val="20"/>
          <w:szCs w:val="20"/>
          <w:color w:val="auto"/>
        </w:rPr>
      </w:pPr>
    </w:p>
    <w:p>
      <w:pPr>
        <w:ind w:right="80" w:firstLine="555"/>
        <w:spacing w:after="0" w:line="297" w:lineRule="auto"/>
        <w:rPr>
          <w:sz w:val="20"/>
          <w:szCs w:val="20"/>
          <w:color w:val="auto"/>
        </w:rPr>
      </w:pPr>
      <w:r>
        <w:rPr>
          <w:rFonts w:ascii="Arial" w:cs="Arial" w:eastAsia="Arial" w:hAnsi="Arial"/>
          <w:sz w:val="16"/>
          <w:szCs w:val="16"/>
          <w:b w:val="1"/>
          <w:bCs w:val="1"/>
          <w:i w:val="1"/>
          <w:iCs w:val="1"/>
          <w:color w:val="auto"/>
        </w:rPr>
        <w:t xml:space="preserve">Collective Bargaining Agreements. </w:t>
      </w:r>
      <w:r>
        <w:rPr>
          <w:rFonts w:ascii="Arial" w:cs="Arial" w:eastAsia="Arial" w:hAnsi="Arial"/>
          <w:sz w:val="16"/>
          <w:szCs w:val="16"/>
          <w:color w:val="auto"/>
        </w:rPr>
        <w:t>As of December 31, 2019, we had approximately 15,500 employees and 18 collective bargaining agreements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covering approximately 3,100 employees. Five collective bargaining agreements are scheduled to expire in 2020, and we are currently renegotiating one collective bargaining agreement that has expired. There can be no assurance that we will be able to extend or enter into replacement agreements. If we are able to extend or enter into replacement agreements, there can be no assurance as to whether the terms will be on comparable terms to the existing agreements.</w:t>
      </w:r>
    </w:p>
    <w:p>
      <w:pPr>
        <w:spacing w:after="0" w:line="160" w:lineRule="exact"/>
        <w:rPr>
          <w:sz w:val="20"/>
          <w:szCs w:val="20"/>
          <w:color w:val="auto"/>
        </w:rPr>
      </w:pPr>
    </w:p>
    <w:p>
      <w:pPr>
        <w:ind w:right="220" w:firstLine="555"/>
        <w:spacing w:after="0" w:line="275" w:lineRule="auto"/>
        <w:rPr>
          <w:sz w:val="20"/>
          <w:szCs w:val="20"/>
          <w:color w:val="auto"/>
        </w:rPr>
      </w:pPr>
      <w:r>
        <w:rPr>
          <w:rFonts w:ascii="Arial" w:cs="Arial" w:eastAsia="Arial" w:hAnsi="Arial"/>
          <w:sz w:val="17"/>
          <w:szCs w:val="17"/>
          <w:b w:val="1"/>
          <w:bCs w:val="1"/>
          <w:i w:val="1"/>
          <w:iCs w:val="1"/>
          <w:color w:val="auto"/>
        </w:rPr>
        <w:t>Agreements with Horsemen and Pari-mutuel Clerks</w:t>
      </w:r>
      <w:r>
        <w:rPr>
          <w:rFonts w:ascii="Arial" w:cs="Arial" w:eastAsia="Arial" w:hAnsi="Arial"/>
          <w:sz w:val="17"/>
          <w:szCs w:val="17"/>
          <w:color w:val="auto"/>
        </w:rPr>
        <w:t>. The Federal Interstate Horse Racing Act and the state racing laws in Ohio and Florida require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in order to simulcast races, we have written agreements with the horse owners and trainers at those racetracks. In Ohio and Florida, we must have an agreement with the representative of the horse owners. We have all the requisite agreements in place referenced in this sub section at Scioto Downs and Pompano. Certain agreements referenced above may be terminated upon written notice by either party.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Related Parties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w:t>
      </w:r>
    </w:p>
    <w:p>
      <w:pPr>
        <w:spacing w:after="0" w:line="114" w:lineRule="exact"/>
        <w:rPr>
          <w:sz w:val="20"/>
          <w:szCs w:val="20"/>
          <w:color w:val="auto"/>
        </w:rPr>
      </w:pPr>
    </w:p>
    <w:p>
      <w:pPr>
        <w:ind w:right="20" w:firstLine="555"/>
        <w:spacing w:after="0" w:line="251" w:lineRule="auto"/>
        <w:rPr>
          <w:sz w:val="20"/>
          <w:szCs w:val="20"/>
          <w:color w:val="auto"/>
        </w:rPr>
      </w:pPr>
      <w:r>
        <w:rPr>
          <w:rFonts w:ascii="Arial" w:cs="Arial" w:eastAsia="Arial" w:hAnsi="Arial"/>
          <w:sz w:val="18"/>
          <w:szCs w:val="18"/>
          <w:color w:val="auto"/>
        </w:rPr>
        <w:t>As of December 31, 2019, REI owned approximately 14.4% of outstanding common stock of the Company. The directors of REI are Company’s Executive Chairman of the Board, Gary L. Carano, its Chief Executive Officer and Board member, Thomas R. Reeg, and its former Senior Vice President of Regional Operations, Gene Carano. In addition, Gary L. Carano also serves as the Vice President of REI and Gene Carano also serves as the Secretary and Treasurer of REI. Members of the Carano Family, including Gary L. Carano and Gene Carano, own the equity interests in REI. As such, the Carano Family has the ability to significantly influence the affairs of the Company. Donald L. Carano, who was formerly the president and a director of REI, received remuneration in the amount of $0.3 million in 2017, for his service to ERI and its subsidiaries. For each of the years ended December 31, 2019, 2018 and 2017, there were no related party transactions between the Company and the Carano Family other than compensation, including salary and equity incentives and the CSY Lease listed below.</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Hotel Casino Management, Inc.</w:t>
      </w:r>
    </w:p>
    <w:p>
      <w:pPr>
        <w:spacing w:after="0" w:line="114"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Prior to November 2017, Hotel Casino Management, Inc., which is beneficially owned by members of the Poncia family, including Raymond J. Poncia, owned more than 5% of the outstanding common stock of the Company. Raymond J. Poncia received remuneration in the amount of $0.2 million in each of 2019, 2018 and 2017 for services that he provided to ERI and its subsidiaries.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9">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i w:val="1"/>
          <w:iCs w:val="1"/>
          <w:color w:val="auto"/>
        </w:rPr>
        <w:t>C. S. &amp; Y. Associates</w:t>
      </w:r>
    </w:p>
    <w:p>
      <w:pPr>
        <w:spacing w:after="0" w:line="114"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The Company owns the entire parcel on which Eldorado Reno is located, except for approximately 30,000 square feet which is leased from C. S. &amp; Y. Associates which is an entity partially owned by REI (the “CSY Lease”). The CSY Lease expires on June 30, 2057. Rent pursuant to the CSY Lease amounted to $0.6 million in each of the years ended December 31, 2019, 2018 and 2017. As of December 31, 2019 and 2018 there were no amounts due to or from C.S. &amp; Y. Associates.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Segment Information</w:t>
      </w:r>
    </w:p>
    <w:p>
      <w:pPr>
        <w:spacing w:after="0" w:line="118"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The executive decision maker of our Company reviews operating results, assesses performance and makes decisions on a “significant market” basis. Management views each of our casinos as an operating segment. Operating segments are aggregated based on their similar economic characteristics, types of customers, types of services and products provided, and their management and reporting structure. Prior to the Elgin and Tropicana acquisitions, the Company’s principal operating activities occurred in four geographic regions and reportable segments. Following the Elgin and Tropicana acquisitions a fifth segment, Central, was added in the third quarter of 2018. The reportable segments are based on the similar characteristics of the operating segments within the regions in which they operate. See Note 1 for a summary of these segments.</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60">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360"/>
          </w:cols>
          <w:pgMar w:left="240" w:top="660" w:right="299" w:bottom="1440" w:gutter="0" w:footer="0" w:header="0"/>
        </w:sectPr>
      </w:pPr>
    </w:p>
    <w:bookmarkStart w:id="138" w:name="page139"/>
    <w:bookmarkEnd w:id="138"/>
    <w:p>
      <w:pPr>
        <w:ind w:left="560"/>
        <w:spacing w:after="0"/>
        <w:rPr>
          <w:sz w:val="20"/>
          <w:szCs w:val="20"/>
          <w:color w:val="auto"/>
        </w:rPr>
      </w:pPr>
      <w:r>
        <w:rPr>
          <w:rFonts w:ascii="Arial" w:cs="Arial" w:eastAsia="Arial" w:hAnsi="Arial"/>
          <w:sz w:val="18"/>
          <w:szCs w:val="18"/>
          <w:color w:val="auto"/>
        </w:rPr>
        <w:t>The following tables set forth, for the periods indicated, certain operating data for our five reportable segments: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Year ended</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1"/>
              </w:rPr>
              <w:t>Ended December 31,</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5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1"/>
              <w:spacing w:after="0" w:line="154"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43"/>
              <w:spacing w:after="0" w:line="154"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1"/>
              <w:spacing w:after="0" w:line="154"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 and expenses</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8"/>
                <w:szCs w:val="18"/>
                <w:i w:val="1"/>
                <w:iCs w:val="1"/>
                <w:color w:val="auto"/>
              </w:rPr>
              <w:t>West:</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operating revenues</w:t>
            </w:r>
          </w:p>
        </w:tc>
        <w:tc>
          <w:tcPr>
            <w:tcW w:w="22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524,721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483,532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410,319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55,035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40,131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84,992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84,548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8"/>
                <w:szCs w:val="18"/>
                <w:i w:val="1"/>
                <w:iCs w:val="1"/>
                <w:color w:val="auto"/>
              </w:rPr>
              <w:t>Midwest:</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operating revenues</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378,577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397,008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25,145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33,083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114,180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105,809</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8"/>
                <w:szCs w:val="18"/>
                <w:i w:val="1"/>
                <w:iCs w:val="1"/>
                <w:color w:val="auto"/>
              </w:rPr>
              <w:t>South:</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operating revenues</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463,133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461,181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338,259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39,165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37,357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74,622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64,851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8"/>
                <w:szCs w:val="18"/>
                <w:i w:val="1"/>
                <w:iCs w:val="1"/>
                <w:color w:val="auto"/>
              </w:rPr>
              <w:t>East:</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operating revenues</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674,758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571,272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462,835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48,064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27,913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133,317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97,963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8"/>
                <w:szCs w:val="18"/>
                <w:i w:val="1"/>
                <w:iCs w:val="1"/>
                <w:color w:val="auto"/>
              </w:rPr>
              <w:t>Central:</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operating revenues</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479,761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142,485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5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46,849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13,583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105,772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24,240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8"/>
                <w:szCs w:val="18"/>
                <w:i w:val="1"/>
                <w:iCs w:val="1"/>
                <w:color w:val="auto"/>
              </w:rPr>
              <w:t>Corporate:</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operating revenues</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7,267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5,362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loss</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(102,910)</w:t>
            </w:r>
          </w:p>
        </w:tc>
        <w:tc>
          <w:tcPr>
            <w:tcW w:w="10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(67,308)</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(105,150)</w:t>
            </w: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8"/>
                <w:szCs w:val="18"/>
                <w:color w:val="auto"/>
              </w:rPr>
              <w:t>Total Reportable Segments</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operating revenues</w:t>
            </w:r>
          </w:p>
        </w:tc>
        <w:tc>
          <w:tcPr>
            <w:tcW w:w="22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2,528,249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2,056,007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1,480,798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Depreciation and amortization</w:t>
            </w:r>
          </w:p>
        </w:tc>
        <w:tc>
          <w:tcPr>
            <w:tcW w:w="19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580" w:type="dxa"/>
            <w:vAlign w:val="bottom"/>
            <w:tcBorders>
              <w:bottom w:val="single" w:sz="8" w:color="CFF0FC"/>
            </w:tcBorders>
            <w:vMerge w:val="continue"/>
          </w:tcPr>
          <w:p>
            <w:pPr>
              <w:spacing w:after="0"/>
              <w:rPr>
                <w:sz w:val="21"/>
                <w:szCs w:val="21"/>
                <w:color w:val="auto"/>
              </w:rPr>
            </w:pPr>
          </w:p>
        </w:tc>
        <w:tc>
          <w:tcPr>
            <w:tcW w:w="19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221,525</w:t>
            </w:r>
          </w:p>
        </w:tc>
        <w:tc>
          <w:tcPr>
            <w:tcW w:w="2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157,429</w:t>
            </w:r>
          </w:p>
        </w:tc>
        <w:tc>
          <w:tcPr>
            <w:tcW w:w="24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105,891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5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19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409,973</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310,103</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Reconciliations to consolidated net income:</w:t>
            </w:r>
          </w:p>
        </w:tc>
        <w:tc>
          <w:tcPr>
            <w:tcW w:w="1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8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2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409,973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310,103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8"/>
                <w:szCs w:val="18"/>
                <w:color w:val="auto"/>
              </w:rPr>
              <w:t>Unallocated income and expenses:</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(286,248)</w:t>
            </w:r>
          </w:p>
        </w:tc>
        <w:tc>
          <w:tcPr>
            <w:tcW w:w="10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(171,732)</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(99,769)</w:t>
            </w:r>
          </w:p>
        </w:tc>
        <w:tc>
          <w:tcPr>
            <w:tcW w:w="0" w:type="dxa"/>
            <w:vAlign w:val="bottom"/>
          </w:tcPr>
          <w:p>
            <w:pPr>
              <w:spacing w:after="0"/>
              <w:rPr>
                <w:sz w:val="1"/>
                <w:szCs w:val="1"/>
                <w:color w:val="auto"/>
              </w:rPr>
            </w:pPr>
          </w:p>
        </w:tc>
      </w:tr>
      <w:tr>
        <w:trPr>
          <w:trHeight w:val="227"/>
        </w:trPr>
        <w:tc>
          <w:tcPr>
            <w:tcW w:w="4580" w:type="dxa"/>
            <w:vAlign w:val="bottom"/>
          </w:tcPr>
          <w:p>
            <w:pPr>
              <w:ind w:left="260"/>
              <w:spacing w:after="0"/>
              <w:rPr>
                <w:sz w:val="20"/>
                <w:szCs w:val="20"/>
                <w:color w:val="auto"/>
              </w:rPr>
            </w:pPr>
            <w:r>
              <w:rPr>
                <w:rFonts w:ascii="Arial" w:cs="Arial" w:eastAsia="Arial" w:hAnsi="Arial"/>
                <w:sz w:val="18"/>
                <w:szCs w:val="18"/>
                <w:color w:val="auto"/>
              </w:rPr>
              <w:t>Loss on early retirement of debt, net</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(7,512)</w:t>
            </w:r>
          </w:p>
        </w:tc>
        <w:tc>
          <w:tcPr>
            <w:tcW w:w="100" w:type="dxa"/>
            <w:vAlign w:val="bottom"/>
          </w:tcPr>
          <w:p>
            <w:pPr>
              <w:spacing w:after="0"/>
              <w:rPr>
                <w:sz w:val="19"/>
                <w:szCs w:val="19"/>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(162)</w:t>
            </w: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(38,430)</w:t>
            </w:r>
          </w:p>
        </w:tc>
        <w:tc>
          <w:tcPr>
            <w:tcW w:w="0" w:type="dxa"/>
            <w:vAlign w:val="bottom"/>
          </w:tcPr>
          <w:p>
            <w:pPr>
              <w:spacing w:after="0"/>
              <w:rPr>
                <w:sz w:val="1"/>
                <w:szCs w:val="1"/>
                <w:color w:val="auto"/>
              </w:rPr>
            </w:pPr>
          </w:p>
        </w:tc>
      </w:tr>
      <w:tr>
        <w:trPr>
          <w:trHeight w:val="228"/>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on restricted investment</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(2,587)</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580" w:type="dxa"/>
            <w:vAlign w:val="bottom"/>
          </w:tcPr>
          <w:p>
            <w:pPr>
              <w:ind w:left="260"/>
              <w:spacing w:after="0"/>
              <w:rPr>
                <w:sz w:val="20"/>
                <w:szCs w:val="20"/>
                <w:color w:val="auto"/>
              </w:rPr>
            </w:pPr>
            <w:r>
              <w:rPr>
                <w:rFonts w:ascii="Arial" w:cs="Arial" w:eastAsia="Arial" w:hAnsi="Arial"/>
                <w:sz w:val="18"/>
                <w:szCs w:val="18"/>
                <w:color w:val="auto"/>
              </w:rPr>
              <w:t>(Provision) benefit for income taxes</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(43,977)</w:t>
            </w:r>
          </w:p>
        </w:tc>
        <w:tc>
          <w:tcPr>
            <w:tcW w:w="100" w:type="dxa"/>
            <w:vAlign w:val="bottom"/>
          </w:tcPr>
          <w:p>
            <w:pPr>
              <w:spacing w:after="0"/>
              <w:rPr>
                <w:sz w:val="19"/>
                <w:szCs w:val="19"/>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(40,387)</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9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81,001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95,235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940" w:type="dxa"/>
            <w:vAlign w:val="bottom"/>
            <w:vMerge w:val="restart"/>
          </w:tcPr>
          <w:p>
            <w:pPr>
              <w:jc w:val="right"/>
              <w:ind w:right="591"/>
              <w:spacing w:after="0"/>
              <w:rPr>
                <w:sz w:val="20"/>
                <w:szCs w:val="20"/>
                <w:color w:val="auto"/>
              </w:rPr>
            </w:pPr>
            <w:r>
              <w:rPr>
                <w:rFonts w:ascii="Arial" w:cs="Arial" w:eastAsia="Arial" w:hAnsi="Arial"/>
                <w:sz w:val="18"/>
                <w:szCs w:val="18"/>
                <w:color w:val="auto"/>
              </w:rPr>
              <w:t>137</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58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7231380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4"/>
                <w:szCs w:val="14"/>
                <w:b w:val="1"/>
                <w:bCs w:val="1"/>
                <w:color w:val="auto"/>
              </w:rPr>
              <w:t>For the Year Ended December 31,</w:t>
            </w: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4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(in thousands)</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Capital Expenditures, Net</w:t>
            </w:r>
          </w:p>
        </w:tc>
        <w:tc>
          <w:tcPr>
            <w:tcW w:w="19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460" w:type="dxa"/>
            <w:vAlign w:val="bottom"/>
          </w:tcPr>
          <w:p>
            <w:pPr>
              <w:ind w:left="120"/>
              <w:spacing w:after="0"/>
              <w:rPr>
                <w:sz w:val="20"/>
                <w:szCs w:val="20"/>
                <w:color w:val="auto"/>
              </w:rPr>
            </w:pPr>
            <w:r>
              <w:rPr>
                <w:rFonts w:ascii="Arial" w:cs="Arial" w:eastAsia="Arial" w:hAnsi="Arial"/>
                <w:sz w:val="18"/>
                <w:szCs w:val="18"/>
                <w:color w:val="auto"/>
              </w:rPr>
              <w:t>West</w:t>
            </w:r>
          </w:p>
        </w:tc>
        <w:tc>
          <w:tcPr>
            <w:tcW w:w="230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83,643</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75,297</w:t>
            </w:r>
          </w:p>
        </w:tc>
        <w:tc>
          <w:tcPr>
            <w:tcW w:w="240" w:type="dxa"/>
            <w:vAlign w:val="bottom"/>
          </w:tcPr>
          <w:p>
            <w:pPr>
              <w:spacing w:after="0"/>
              <w:rPr>
                <w:sz w:val="20"/>
                <w:szCs w:val="20"/>
                <w:color w:val="auto"/>
              </w:rPr>
            </w:pPr>
          </w:p>
        </w:tc>
        <w:tc>
          <w:tcPr>
            <w:tcW w:w="460" w:type="dxa"/>
            <w:vAlign w:val="bottom"/>
            <w:gridSpan w:val="2"/>
          </w:tcPr>
          <w:p>
            <w:pPr>
              <w:jc w:val="right"/>
              <w:ind w:right="380"/>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44,952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Midwest</w:t>
            </w:r>
          </w:p>
        </w:tc>
        <w:tc>
          <w:tcPr>
            <w:tcW w:w="19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60" w:type="dxa"/>
            <w:vAlign w:val="bottom"/>
          </w:tcPr>
          <w:p>
            <w:pPr>
              <w:ind w:left="120"/>
              <w:spacing w:after="0"/>
              <w:rPr>
                <w:sz w:val="20"/>
                <w:szCs w:val="20"/>
                <w:color w:val="auto"/>
              </w:rPr>
            </w:pPr>
            <w:r>
              <w:rPr>
                <w:rFonts w:ascii="Arial" w:cs="Arial" w:eastAsia="Arial" w:hAnsi="Arial"/>
                <w:sz w:val="18"/>
                <w:szCs w:val="18"/>
                <w:color w:val="auto"/>
              </w:rPr>
              <w:t>South</w:t>
            </w:r>
          </w:p>
        </w:tc>
        <w:tc>
          <w:tcPr>
            <w:tcW w:w="1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21,956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18,149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East</w:t>
            </w:r>
          </w:p>
        </w:tc>
        <w:tc>
          <w:tcPr>
            <w:tcW w:w="19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34,978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60" w:type="dxa"/>
            <w:vAlign w:val="bottom"/>
          </w:tcPr>
          <w:p>
            <w:pPr>
              <w:ind w:left="120"/>
              <w:spacing w:after="0"/>
              <w:rPr>
                <w:sz w:val="20"/>
                <w:szCs w:val="20"/>
                <w:color w:val="auto"/>
              </w:rPr>
            </w:pPr>
            <w:r>
              <w:rPr>
                <w:rFonts w:ascii="Arial" w:cs="Arial" w:eastAsia="Arial" w:hAnsi="Arial"/>
                <w:sz w:val="18"/>
                <w:szCs w:val="18"/>
                <w:color w:val="auto"/>
              </w:rPr>
              <w:t>Central</w:t>
            </w:r>
          </w:p>
        </w:tc>
        <w:tc>
          <w:tcPr>
            <w:tcW w:w="1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11,166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3,868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4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Corporate</w:t>
            </w:r>
          </w:p>
        </w:tc>
        <w:tc>
          <w:tcPr>
            <w:tcW w:w="196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5,473</w:t>
            </w:r>
          </w:p>
        </w:tc>
        <w:tc>
          <w:tcPr>
            <w:tcW w:w="2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11,878</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11,628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r>
              <w:rPr>
                <w:rFonts w:ascii="Arial" w:cs="Arial" w:eastAsia="Arial" w:hAnsi="Arial"/>
                <w:sz w:val="18"/>
                <w:szCs w:val="18"/>
                <w:color w:val="auto"/>
              </w:rPr>
              <w:t>Total</w:t>
            </w:r>
          </w:p>
        </w:tc>
        <w:tc>
          <w:tcPr>
            <w:tcW w:w="1960" w:type="dxa"/>
            <w:vAlign w:val="bottom"/>
          </w:tcPr>
          <w:p>
            <w:pPr>
              <w:spacing w:after="0"/>
              <w:rPr>
                <w:sz w:val="20"/>
                <w:szCs w:val="20"/>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170,766</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147,415</w:t>
            </w:r>
          </w:p>
        </w:tc>
        <w:tc>
          <w:tcPr>
            <w:tcW w:w="240" w:type="dxa"/>
            <w:vAlign w:val="bottom"/>
          </w:tcPr>
          <w:p>
            <w:pPr>
              <w:spacing w:after="0"/>
              <w:rPr>
                <w:sz w:val="20"/>
                <w:szCs w:val="20"/>
                <w:color w:val="auto"/>
              </w:rPr>
            </w:pPr>
          </w:p>
        </w:tc>
        <w:tc>
          <w:tcPr>
            <w:tcW w:w="4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83,161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4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Balance Sheet as of December 31,</w:t>
            </w: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9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60" w:type="dxa"/>
            <w:vAlign w:val="bottom"/>
          </w:tcPr>
          <w:p>
            <w:pPr>
              <w:ind w:left="120"/>
              <w:spacing w:after="0"/>
              <w:rPr>
                <w:sz w:val="20"/>
                <w:szCs w:val="20"/>
                <w:color w:val="auto"/>
              </w:rPr>
            </w:pPr>
            <w:r>
              <w:rPr>
                <w:rFonts w:ascii="Arial" w:cs="Arial" w:eastAsia="Arial" w:hAnsi="Arial"/>
                <w:sz w:val="18"/>
                <w:szCs w:val="18"/>
                <w:color w:val="auto"/>
              </w:rPr>
              <w:t>West</w:t>
            </w:r>
          </w:p>
        </w:tc>
        <w:tc>
          <w:tcPr>
            <w:tcW w:w="1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1,816,033</w:t>
            </w:r>
          </w:p>
        </w:tc>
        <w:tc>
          <w:tcPr>
            <w:tcW w:w="240" w:type="dxa"/>
            <w:vAlign w:val="bottom"/>
          </w:tcPr>
          <w:p>
            <w:pPr>
              <w:spacing w:after="0"/>
              <w:rPr>
                <w:sz w:val="19"/>
                <w:szCs w:val="19"/>
                <w:color w:val="auto"/>
              </w:rPr>
            </w:pPr>
          </w:p>
        </w:tc>
        <w:tc>
          <w:tcPr>
            <w:tcW w:w="460" w:type="dxa"/>
            <w:vAlign w:val="bottom"/>
            <w:gridSpan w:val="2"/>
          </w:tcPr>
          <w:p>
            <w:pPr>
              <w:jc w:val="right"/>
              <w:ind w:right="38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1,710,375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Midwest</w:t>
            </w:r>
          </w:p>
        </w:tc>
        <w:tc>
          <w:tcPr>
            <w:tcW w:w="19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1,157,882</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1,245,521</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460" w:type="dxa"/>
            <w:vAlign w:val="bottom"/>
          </w:tcPr>
          <w:p>
            <w:pPr>
              <w:ind w:left="120"/>
              <w:spacing w:after="0"/>
              <w:rPr>
                <w:sz w:val="20"/>
                <w:szCs w:val="20"/>
                <w:color w:val="auto"/>
              </w:rPr>
            </w:pPr>
            <w:r>
              <w:rPr>
                <w:rFonts w:ascii="Arial" w:cs="Arial" w:eastAsia="Arial" w:hAnsi="Arial"/>
                <w:sz w:val="18"/>
                <w:szCs w:val="18"/>
                <w:color w:val="auto"/>
              </w:rPr>
              <w:t>South</w:t>
            </w:r>
          </w:p>
        </w:tc>
        <w:tc>
          <w:tcPr>
            <w:tcW w:w="1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1,161,622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1,068,258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East</w:t>
            </w:r>
          </w:p>
        </w:tc>
        <w:tc>
          <w:tcPr>
            <w:tcW w:w="19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1,590,364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2,166,730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460" w:type="dxa"/>
            <w:vAlign w:val="bottom"/>
          </w:tcPr>
          <w:p>
            <w:pPr>
              <w:ind w:left="120"/>
              <w:spacing w:after="0"/>
              <w:rPr>
                <w:sz w:val="20"/>
                <w:szCs w:val="20"/>
                <w:color w:val="auto"/>
              </w:rPr>
            </w:pPr>
            <w:r>
              <w:rPr>
                <w:rFonts w:ascii="Arial" w:cs="Arial" w:eastAsia="Arial" w:hAnsi="Arial"/>
                <w:sz w:val="18"/>
                <w:szCs w:val="18"/>
                <w:color w:val="auto"/>
              </w:rPr>
              <w:t>Central</w:t>
            </w: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1,539,894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1,457,961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Corporate, Other &amp; Eliminations</w:t>
            </w:r>
          </w:p>
        </w:tc>
        <w:tc>
          <w:tcPr>
            <w:tcW w:w="19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(1,625,242)</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(1,737,383)</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460" w:type="dxa"/>
            <w:vAlign w:val="bottom"/>
            <w:vMerge w:val="continue"/>
          </w:tcPr>
          <w:p>
            <w:pPr>
              <w:spacing w:after="0"/>
              <w:rPr>
                <w:sz w:val="19"/>
                <w:szCs w:val="19"/>
                <w:color w:val="auto"/>
              </w:rPr>
            </w:pPr>
          </w:p>
        </w:tc>
        <w:tc>
          <w:tcPr>
            <w:tcW w:w="1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5,640,553</w:t>
            </w:r>
          </w:p>
        </w:tc>
        <w:tc>
          <w:tcPr>
            <w:tcW w:w="240" w:type="dxa"/>
            <w:vAlign w:val="bottom"/>
          </w:tcPr>
          <w:p>
            <w:pPr>
              <w:spacing w:after="0"/>
              <w:rPr>
                <w:sz w:val="19"/>
                <w:szCs w:val="19"/>
                <w:color w:val="auto"/>
              </w:rPr>
            </w:pPr>
          </w:p>
        </w:tc>
        <w:tc>
          <w:tcPr>
            <w:tcW w:w="460" w:type="dxa"/>
            <w:vAlign w:val="bottom"/>
            <w:gridSpan w:val="2"/>
          </w:tcPr>
          <w:p>
            <w:pPr>
              <w:jc w:val="right"/>
              <w:ind w:right="38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5,911,462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Consolidating Condensed Financial Information</w:t>
      </w:r>
    </w:p>
    <w:p>
      <w:pPr>
        <w:spacing w:after="0" w:line="118" w:lineRule="exact"/>
        <w:rPr>
          <w:sz w:val="20"/>
          <w:szCs w:val="20"/>
          <w:color w:val="auto"/>
        </w:rPr>
      </w:pPr>
    </w:p>
    <w:p>
      <w:pPr>
        <w:ind w:right="200" w:firstLine="555"/>
        <w:spacing w:after="0" w:line="271" w:lineRule="auto"/>
        <w:rPr>
          <w:sz w:val="20"/>
          <w:szCs w:val="20"/>
          <w:color w:val="auto"/>
        </w:rPr>
      </w:pPr>
      <w:r>
        <w:rPr>
          <w:rFonts w:ascii="Arial" w:cs="Arial" w:eastAsia="Arial" w:hAnsi="Arial"/>
          <w:sz w:val="18"/>
          <w:szCs w:val="18"/>
          <w:color w:val="auto"/>
        </w:rPr>
        <w:t>Certain of our wholly-owned subsidiaries have fully and unconditionally guaranteed on a joint and several basis, the payment of all obligations under our 7% Senior Notes due 2023, 6% Senior Notes due 2025, 6% Senior Notes due 2026 and Credit Facility.</w:t>
      </w:r>
    </w:p>
    <w:p>
      <w:pPr>
        <w:spacing w:after="0" w:line="175" w:lineRule="exact"/>
        <w:rPr>
          <w:sz w:val="20"/>
          <w:szCs w:val="20"/>
          <w:color w:val="auto"/>
        </w:rPr>
      </w:pPr>
    </w:p>
    <w:p>
      <w:pPr>
        <w:ind w:right="60" w:firstLine="555"/>
        <w:spacing w:after="0" w:line="283" w:lineRule="auto"/>
        <w:rPr>
          <w:sz w:val="20"/>
          <w:szCs w:val="20"/>
          <w:color w:val="auto"/>
        </w:rPr>
      </w:pPr>
      <w:r>
        <w:rPr>
          <w:rFonts w:ascii="Arial" w:cs="Arial" w:eastAsia="Arial" w:hAnsi="Arial"/>
          <w:sz w:val="16"/>
          <w:szCs w:val="16"/>
          <w:color w:val="auto"/>
        </w:rPr>
        <w:t>The following wholly-owned subsidiaries of the Company are guarantors, on a joint and several basis, under the 7% Senior Notes due 2023, 6% Senior Notes due 2025, 6% Senior Notes due 2026 and Credit Facility: Isle of Capri Casinos LLC; Eldorado Holdco LLC; Eldorado Resorts LLC; Eldorado Shreveport #1, LLC; Eldorado Shreveport #2, LLC; Eldorado Casino Shreveport Joint Venture; MTR Gaming Group, Inc.; Old PID, Inc. (f/k/a Presque Isle Downs, Inc.); Scioto Downs, Inc.; Eldorado Limited Liability Company; Circus and Eldorado Joint Venture, LLC; CC-Reno, LLC; CCR Newco, LLC; Black Hawk Holdings, L.L.C.; IC Holdings Colorado, Inc.; CCSC/Blackhawk, Inc.; Isle of Capri Black Hawk, L.L.C.; IOC-Black Hawk Distribution Company, LLC; IOC-Black Hawk County, Inc.; Isle of Capri Bettendorf, L.C.; PPI, Inc.; Pompano Park Holdings, L.L.C.; IOC-Lula, Inc.; IOC-Kansas City, Inc.; IOC-Boonville, Inc.; IOC-Vicksburg, Inc.; IOC-Vicksburg, L.L.C.; Rainbow Casino-Vicksburg Partnership, L.P.; IOC Holdings L.L.C.; St. Charles Gaming Company, L.L.C; Elgin Riverboat Resort-Riverboat Casino; Elgin Holdings I LLC; Elgin Holdings II LLC, PPI Development Holdings LLC; PPI Development LLC; Tropicana Entertainment, Inc.; New Tropicana Holdings, Inc.; New Tropicana OpCo, Inc.; TropWorld Games LLC; TEI R7 Investment LLC; Tropicana St. Louis LLC; TEI (ST. LOUIS RE), LLC; TEI (STLH), LLC; TEI (ES), LLC; Aztar Riverboat Holding Company, LLC; Aztar Indiana Gaming Company, LLC ; New Jazz Enterprises, LLC; Catfish Queen Partnership in Commendam; Centroplex Centre Convention Hotel, L.L.C.; Columbia Properties Tahoe, LLC; MB Development, LLC; Lighthouse Point, LLC; Tropicana Atlantic City Corp.; Tropicana St. Louis RE LLC, Tropicana Laughlin, LLC, ELDO FIT, LLC and CRS ANNEX, LLC. Each of the subsidiaries’ guarantees is joint and several with the guarantees of the other subsidiaries.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3">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40" w:name="page141"/>
    <w:bookmarkEnd w:id="140"/>
    <w:p>
      <w:pPr>
        <w:ind w:left="560"/>
        <w:spacing w:after="0"/>
        <w:rPr>
          <w:sz w:val="20"/>
          <w:szCs w:val="20"/>
          <w:color w:val="auto"/>
        </w:rPr>
      </w:pPr>
      <w:r>
        <w:rPr>
          <w:rFonts w:ascii="Arial" w:cs="Arial" w:eastAsia="Arial" w:hAnsi="Arial"/>
          <w:sz w:val="18"/>
          <w:szCs w:val="18"/>
          <w:color w:val="auto"/>
        </w:rPr>
        <w:t>The consolidating condensed balance sheet as of December 31, 2019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Eldorado</w:t>
            </w:r>
          </w:p>
        </w:tc>
        <w:tc>
          <w:tcPr>
            <w:tcW w:w="180" w:type="dxa"/>
            <w:vAlign w:val="bottom"/>
          </w:tcPr>
          <w:p>
            <w:pPr>
              <w:spacing w:after="0"/>
              <w:rPr>
                <w:sz w:val="14"/>
                <w:szCs w:val="14"/>
                <w:color w:val="auto"/>
              </w:rPr>
            </w:pPr>
          </w:p>
        </w:tc>
        <w:tc>
          <w:tcPr>
            <w:tcW w:w="114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Guarantor</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Consolidating</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7"/>
        </w:trPr>
        <w:tc>
          <w:tcPr>
            <w:tcW w:w="3060" w:type="dxa"/>
            <w:vAlign w:val="bottom"/>
            <w:vMerge w:val="restart"/>
          </w:tcPr>
          <w:p>
            <w:pPr>
              <w:ind w:left="1200"/>
              <w:spacing w:after="0"/>
              <w:rPr>
                <w:sz w:val="20"/>
                <w:szCs w:val="20"/>
                <w:color w:val="auto"/>
              </w:rPr>
            </w:pPr>
            <w:r>
              <w:rPr>
                <w:rFonts w:ascii="Arial" w:cs="Arial" w:eastAsia="Arial" w:hAnsi="Arial"/>
                <w:sz w:val="16"/>
                <w:szCs w:val="16"/>
                <w:b w:val="1"/>
                <w:bCs w:val="1"/>
                <w:color w:val="auto"/>
              </w:rPr>
              <w:t>Balance Sheet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2"/>
              </w:rPr>
              <w:t>Resorts, Inc.</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3"/>
              </w:rPr>
              <w:t>and Eliminating</w:t>
            </w: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0"/>
        </w:trPr>
        <w:tc>
          <w:tcPr>
            <w:tcW w:w="30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(Parent Obligor)</w:t>
            </w:r>
          </w:p>
        </w:tc>
        <w:tc>
          <w:tcPr>
            <w:tcW w:w="180" w:type="dxa"/>
            <w:vAlign w:val="bottom"/>
          </w:tcPr>
          <w:p>
            <w:pPr>
              <w:spacing w:after="0"/>
              <w:rPr>
                <w:sz w:val="14"/>
                <w:szCs w:val="14"/>
                <w:color w:val="auto"/>
              </w:rPr>
            </w:pPr>
          </w:p>
        </w:tc>
        <w:tc>
          <w:tcPr>
            <w:tcW w:w="1140" w:type="dxa"/>
            <w:vAlign w:val="bottom"/>
          </w:tcPr>
          <w:p>
            <w:pPr>
              <w:jc w:val="right"/>
              <w:ind w:right="221"/>
              <w:spacing w:after="0"/>
              <w:rPr>
                <w:sz w:val="20"/>
                <w:szCs w:val="20"/>
                <w:color w:val="auto"/>
              </w:rPr>
            </w:pPr>
            <w:r>
              <w:rPr>
                <w:rFonts w:ascii="Arial" w:cs="Arial" w:eastAsia="Arial" w:hAnsi="Arial"/>
                <w:sz w:val="14"/>
                <w:szCs w:val="14"/>
                <w:b w:val="1"/>
                <w:bCs w:val="1"/>
                <w:color w:val="auto"/>
                <w:w w:val="98"/>
              </w:rPr>
              <w:t>Subsidiaries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07"/>
        </w:trPr>
        <w:tc>
          <w:tcPr>
            <w:tcW w:w="3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79,522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516,500</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21,725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(13,104)</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604,643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tcPr>
          <w:p>
            <w:pPr>
              <w:spacing w:after="0"/>
              <w:rPr>
                <w:sz w:val="20"/>
                <w:szCs w:val="20"/>
                <w:color w:val="auto"/>
              </w:rPr>
            </w:pPr>
            <w:r>
              <w:rPr>
                <w:rFonts w:ascii="Arial" w:cs="Arial" w:eastAsia="Arial" w:hAnsi="Arial"/>
                <w:sz w:val="16"/>
                <w:szCs w:val="16"/>
                <w:color w:val="auto"/>
              </w:rPr>
              <w:t>Intercompany receivables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(562,128)</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796,390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(1,786)</w:t>
            </w:r>
          </w:p>
        </w:tc>
        <w:tc>
          <w:tcPr>
            <w:tcW w:w="1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(232,476)</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Investment in and advances to</w:t>
            </w: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0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unconsolidated affiliates</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127,062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8,769</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135,828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tcPr>
          <w:p>
            <w:pPr>
              <w:spacing w:after="0"/>
              <w:rPr>
                <w:sz w:val="20"/>
                <w:szCs w:val="20"/>
                <w:color w:val="auto"/>
              </w:rPr>
            </w:pPr>
            <w:r>
              <w:rPr>
                <w:rFonts w:ascii="Arial" w:cs="Arial" w:eastAsia="Arial" w:hAnsi="Arial"/>
                <w:sz w:val="16"/>
                <w:szCs w:val="16"/>
                <w:color w:val="auto"/>
              </w:rPr>
              <w:t>Investments in subsidiaries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3,854,405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(3,854,405)</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17,552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2,596,344</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2,614,524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tcPr>
          <w:p>
            <w:pPr>
              <w:spacing w:after="0"/>
              <w:rPr>
                <w:sz w:val="20"/>
                <w:szCs w:val="20"/>
                <w:color w:val="auto"/>
              </w:rPr>
            </w:pPr>
            <w:r>
              <w:rPr>
                <w:rFonts w:ascii="Arial" w:cs="Arial" w:eastAsia="Arial" w:hAnsi="Arial"/>
                <w:sz w:val="16"/>
                <w:szCs w:val="16"/>
                <w:color w:val="auto"/>
              </w:rPr>
              <w:t>Other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111,476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2,228,933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(70,061)</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2,285,558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FF0FC"/>
          </w:tcPr>
          <w:p>
            <w:pPr>
              <w:ind w:left="120"/>
              <w:spacing w:after="0"/>
              <w:rPr>
                <w:sz w:val="20"/>
                <w:szCs w:val="20"/>
                <w:color w:val="auto"/>
              </w:rPr>
            </w:pPr>
            <w:r>
              <w:rPr>
                <w:rFonts w:ascii="Arial" w:cs="Arial" w:eastAsia="Arial" w:hAnsi="Arial"/>
                <w:sz w:val="16"/>
                <w:szCs w:val="16"/>
                <w:color w:val="auto"/>
              </w:rPr>
              <w:t>Total assets</w:t>
            </w:r>
          </w:p>
        </w:tc>
        <w:tc>
          <w:tcPr>
            <w:tcW w:w="4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060" w:type="dxa"/>
            <w:vAlign w:val="bottom"/>
            <w:vMerge w:val="continue"/>
            <w:shd w:val="clear" w:color="auto" w:fill="CFF0FC"/>
          </w:tcPr>
          <w:p>
            <w:pPr>
              <w:spacing w:after="0"/>
              <w:rPr>
                <w:sz w:val="18"/>
                <w:szCs w:val="1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3,627,889</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6,146,936</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35,774</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(4,170,046)</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5,640,553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162,158</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524,346</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15,046</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(13,104)</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688,446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tcPr>
          <w:p>
            <w:pPr>
              <w:spacing w:after="0"/>
              <w:rPr>
                <w:sz w:val="20"/>
                <w:szCs w:val="20"/>
                <w:color w:val="auto"/>
              </w:rPr>
            </w:pPr>
            <w:r>
              <w:rPr>
                <w:rFonts w:ascii="Arial" w:cs="Arial" w:eastAsia="Arial" w:hAnsi="Arial"/>
                <w:sz w:val="16"/>
                <w:szCs w:val="16"/>
                <w:color w:val="auto"/>
              </w:rPr>
              <w:t>Intercompany payables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232,473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(232,476)</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Long-term financing obligation to GLPI</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970,519</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970,519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tcPr>
          <w:p>
            <w:pPr>
              <w:spacing w:after="0"/>
              <w:rPr>
                <w:sz w:val="20"/>
                <w:szCs w:val="20"/>
                <w:color w:val="auto"/>
              </w:rPr>
            </w:pPr>
            <w:r>
              <w:rPr>
                <w:rFonts w:ascii="Arial" w:cs="Arial" w:eastAsia="Arial" w:hAnsi="Arial"/>
                <w:sz w:val="16"/>
                <w:szCs w:val="16"/>
                <w:color w:val="auto"/>
              </w:rPr>
              <w:t>Long-term debt, less current maturities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1,949,398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375,143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2,324,541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 liabilities</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267,029</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(70,061)</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197,266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tcPr>
          <w:p>
            <w:pPr>
              <w:spacing w:after="0"/>
              <w:rPr>
                <w:sz w:val="20"/>
                <w:szCs w:val="20"/>
                <w:color w:val="auto"/>
              </w:rPr>
            </w:pPr>
            <w:r>
              <w:rPr>
                <w:rFonts w:ascii="Arial" w:cs="Arial" w:eastAsia="Arial" w:hAnsi="Arial"/>
                <w:sz w:val="16"/>
                <w:szCs w:val="16"/>
                <w:color w:val="auto"/>
              </w:rPr>
              <w:t>Other accrued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166,660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175,864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342,524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1,116,880</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3,834,032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20,750</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(3,854,405)</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1,117,257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060" w:type="dxa"/>
            <w:vAlign w:val="bottom"/>
          </w:tcPr>
          <w:p>
            <w:pPr>
              <w:ind w:left="120"/>
              <w:spacing w:after="0"/>
              <w:rPr>
                <w:sz w:val="20"/>
                <w:szCs w:val="20"/>
                <w:color w:val="auto"/>
              </w:rPr>
            </w:pPr>
            <w:r>
              <w:rPr>
                <w:rFonts w:ascii="Arial" w:cs="Arial" w:eastAsia="Arial" w:hAnsi="Arial"/>
                <w:sz w:val="16"/>
                <w:szCs w:val="16"/>
                <w:color w:val="auto"/>
              </w:rPr>
              <w:t>Total liabilities and stockholders’</w:t>
            </w:r>
          </w:p>
        </w:tc>
        <w:tc>
          <w:tcPr>
            <w:tcW w:w="4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060" w:type="dxa"/>
            <w:vAlign w:val="bottom"/>
          </w:tcPr>
          <w:p>
            <w:pPr>
              <w:ind w:left="240"/>
              <w:spacing w:after="0"/>
              <w:rPr>
                <w:sz w:val="20"/>
                <w:szCs w:val="20"/>
                <w:color w:val="auto"/>
              </w:rPr>
            </w:pPr>
            <w:r>
              <w:rPr>
                <w:rFonts w:ascii="Arial" w:cs="Arial" w:eastAsia="Arial" w:hAnsi="Arial"/>
                <w:sz w:val="16"/>
                <w:szCs w:val="16"/>
                <w:color w:val="auto"/>
              </w:rPr>
              <w:t>equity</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3,627,889</w:t>
            </w:r>
          </w:p>
        </w:tc>
        <w:tc>
          <w:tcPr>
            <w:tcW w:w="3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6,146,936</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35,774</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(4,170,046)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5,640,553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consolidating condensed balance sheet as of December 31, 2018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Eldorado</w:t>
            </w:r>
          </w:p>
        </w:tc>
        <w:tc>
          <w:tcPr>
            <w:tcW w:w="180" w:type="dxa"/>
            <w:vAlign w:val="bottom"/>
          </w:tcPr>
          <w:p>
            <w:pPr>
              <w:spacing w:after="0"/>
              <w:rPr>
                <w:sz w:val="14"/>
                <w:szCs w:val="14"/>
                <w:color w:val="auto"/>
              </w:rPr>
            </w:pPr>
          </w:p>
        </w:tc>
        <w:tc>
          <w:tcPr>
            <w:tcW w:w="114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Guarantor</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Consolidating</w:t>
            </w: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7"/>
        </w:trPr>
        <w:tc>
          <w:tcPr>
            <w:tcW w:w="3060" w:type="dxa"/>
            <w:vAlign w:val="bottom"/>
            <w:vMerge w:val="restart"/>
          </w:tcPr>
          <w:p>
            <w:pPr>
              <w:ind w:left="1200"/>
              <w:spacing w:after="0"/>
              <w:rPr>
                <w:sz w:val="20"/>
                <w:szCs w:val="20"/>
                <w:color w:val="auto"/>
              </w:rPr>
            </w:pPr>
            <w:r>
              <w:rPr>
                <w:rFonts w:ascii="Arial" w:cs="Arial" w:eastAsia="Arial" w:hAnsi="Arial"/>
                <w:sz w:val="16"/>
                <w:szCs w:val="16"/>
                <w:b w:val="1"/>
                <w:bCs w:val="1"/>
                <w:color w:val="auto"/>
              </w:rPr>
              <w:t>Balance Sheet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2"/>
              </w:rPr>
              <w:t>Resorts, Inc.</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3"/>
              </w:rPr>
              <w:t>and Eliminating</w:t>
            </w: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0"/>
        </w:trPr>
        <w:tc>
          <w:tcPr>
            <w:tcW w:w="30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(Parent Obligor)</w:t>
            </w:r>
          </w:p>
        </w:tc>
        <w:tc>
          <w:tcPr>
            <w:tcW w:w="180" w:type="dxa"/>
            <w:vAlign w:val="bottom"/>
          </w:tcPr>
          <w:p>
            <w:pPr>
              <w:spacing w:after="0"/>
              <w:rPr>
                <w:sz w:val="14"/>
                <w:szCs w:val="14"/>
                <w:color w:val="auto"/>
              </w:rPr>
            </w:pPr>
          </w:p>
        </w:tc>
        <w:tc>
          <w:tcPr>
            <w:tcW w:w="1140" w:type="dxa"/>
            <w:vAlign w:val="bottom"/>
          </w:tcPr>
          <w:p>
            <w:pPr>
              <w:jc w:val="right"/>
              <w:ind w:right="221"/>
              <w:spacing w:after="0"/>
              <w:rPr>
                <w:sz w:val="20"/>
                <w:szCs w:val="20"/>
                <w:color w:val="auto"/>
              </w:rPr>
            </w:pPr>
            <w:r>
              <w:rPr>
                <w:rFonts w:ascii="Arial" w:cs="Arial" w:eastAsia="Arial" w:hAnsi="Arial"/>
                <w:sz w:val="14"/>
                <w:szCs w:val="14"/>
                <w:b w:val="1"/>
                <w:bCs w:val="1"/>
                <w:color w:val="auto"/>
                <w:w w:val="98"/>
              </w:rPr>
              <w:t>Subsidiaries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Entries</w:t>
            </w:r>
          </w:p>
        </w:tc>
        <w:tc>
          <w:tcPr>
            <w:tcW w:w="2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1"/>
        </w:trPr>
        <w:tc>
          <w:tcPr>
            <w:tcW w:w="3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60" w:type="dxa"/>
            <w:vAlign w:val="bottom"/>
          </w:tcPr>
          <w:p>
            <w:pPr>
              <w:spacing w:after="0"/>
              <w:rPr>
                <w:sz w:val="20"/>
                <w:szCs w:val="20"/>
                <w:color w:val="auto"/>
              </w:rPr>
            </w:pPr>
            <w:r>
              <w:rPr>
                <w:rFonts w:ascii="Arial" w:cs="Arial" w:eastAsia="Arial" w:hAnsi="Arial"/>
                <w:sz w:val="16"/>
                <w:szCs w:val="16"/>
                <w:color w:val="auto"/>
              </w:rPr>
              <w:t>Current assets</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48,268</w:t>
            </w:r>
          </w:p>
        </w:tc>
        <w:tc>
          <w:tcPr>
            <w:tcW w:w="3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497,309</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27,619</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573,196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Intercompany receivables</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7,831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28,042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(35,873)</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060" w:type="dxa"/>
            <w:vAlign w:val="bottom"/>
          </w:tcPr>
          <w:p>
            <w:pPr>
              <w:spacing w:after="0"/>
              <w:rPr>
                <w:sz w:val="20"/>
                <w:szCs w:val="20"/>
                <w:color w:val="auto"/>
              </w:rPr>
            </w:pPr>
            <w:r>
              <w:rPr>
                <w:rFonts w:ascii="Arial" w:cs="Arial" w:eastAsia="Arial" w:hAnsi="Arial"/>
                <w:sz w:val="16"/>
                <w:szCs w:val="16"/>
                <w:color w:val="auto"/>
              </w:rPr>
              <w:t>Investment in and advances to</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060" w:type="dxa"/>
            <w:vAlign w:val="bottom"/>
          </w:tcPr>
          <w:p>
            <w:pPr>
              <w:ind w:left="120"/>
              <w:spacing w:after="0"/>
              <w:rPr>
                <w:sz w:val="20"/>
                <w:szCs w:val="20"/>
                <w:color w:val="auto"/>
              </w:rPr>
            </w:pPr>
            <w:r>
              <w:rPr>
                <w:rFonts w:ascii="Arial" w:cs="Arial" w:eastAsia="Arial" w:hAnsi="Arial"/>
                <w:sz w:val="16"/>
                <w:szCs w:val="16"/>
                <w:color w:val="auto"/>
              </w:rPr>
              <w:t>unconsolidated affiliates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1,892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Investments in subsidiaries</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3,648,961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(3,648,961)</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0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18,555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2,863,311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2,882,606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35,072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2,423,807</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26,674</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(31,785)</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2,453,768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ind w:left="120"/>
              <w:spacing w:after="0"/>
              <w:rPr>
                <w:sz w:val="20"/>
                <w:szCs w:val="20"/>
                <w:color w:val="auto"/>
              </w:rPr>
            </w:pPr>
            <w:r>
              <w:rPr>
                <w:rFonts w:ascii="Arial" w:cs="Arial" w:eastAsia="Arial" w:hAnsi="Arial"/>
                <w:sz w:val="16"/>
                <w:szCs w:val="16"/>
                <w:color w:val="auto"/>
              </w:rPr>
              <w:t>Total assets</w:t>
            </w: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060" w:type="dxa"/>
            <w:vAlign w:val="bottom"/>
            <w:vMerge w:val="continue"/>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3,750,856</w:t>
            </w:r>
          </w:p>
        </w:tc>
        <w:tc>
          <w:tcPr>
            <w:tcW w:w="300" w:type="dxa"/>
            <w:vAlign w:val="bottom"/>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5,794,150</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83,075</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(3,716,619)</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5,911,462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06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060" w:type="dxa"/>
            <w:vAlign w:val="bottom"/>
          </w:tcPr>
          <w:p>
            <w:pPr>
              <w:spacing w:after="0"/>
              <w:rPr>
                <w:sz w:val="20"/>
                <w:szCs w:val="20"/>
                <w:color w:val="auto"/>
              </w:rPr>
            </w:pPr>
            <w:r>
              <w:rPr>
                <w:rFonts w:ascii="Arial" w:cs="Arial" w:eastAsia="Arial" w:hAnsi="Arial"/>
                <w:sz w:val="16"/>
                <w:szCs w:val="16"/>
                <w:color w:val="auto"/>
              </w:rPr>
              <w:t>Current liabilities</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48,579</w:t>
            </w:r>
          </w:p>
        </w:tc>
        <w:tc>
          <w:tcPr>
            <w:tcW w:w="3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328,319</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25,279</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402,177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Intercompany payables</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10,873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25,000</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(35,873)</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060" w:type="dxa"/>
            <w:vAlign w:val="bottom"/>
          </w:tcPr>
          <w:p>
            <w:pPr>
              <w:spacing w:after="0"/>
              <w:rPr>
                <w:sz w:val="20"/>
                <w:szCs w:val="20"/>
                <w:color w:val="auto"/>
              </w:rPr>
            </w:pPr>
            <w:r>
              <w:rPr>
                <w:rFonts w:ascii="Arial" w:cs="Arial" w:eastAsia="Arial" w:hAnsi="Arial"/>
                <w:sz w:val="16"/>
                <w:szCs w:val="16"/>
                <w:color w:val="auto"/>
              </w:rPr>
              <w:t>Long-term financing obligation to GLPI</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959,835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959,835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Long-term debt, less current maturities</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2,640,046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621,193</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3,261,273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tcPr>
          <w:p>
            <w:pPr>
              <w:spacing w:after="0"/>
              <w:rPr>
                <w:sz w:val="20"/>
                <w:szCs w:val="20"/>
                <w:color w:val="auto"/>
              </w:rPr>
            </w:pPr>
            <w:r>
              <w:rPr>
                <w:rFonts w:ascii="Arial" w:cs="Arial" w:eastAsia="Arial" w:hAnsi="Arial"/>
                <w:sz w:val="16"/>
                <w:szCs w:val="16"/>
                <w:color w:val="auto"/>
              </w:rPr>
              <w:t>Deferred income tax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231,795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(31,785)</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200,010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Other accrued liabilities</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22,206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36,808</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59,014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tcPr>
          <w:p>
            <w:pPr>
              <w:spacing w:after="0"/>
              <w:rPr>
                <w:sz w:val="20"/>
                <w:szCs w:val="20"/>
                <w:color w:val="auto"/>
              </w:rPr>
            </w:pPr>
            <w:r>
              <w:rPr>
                <w:rFonts w:ascii="Arial" w:cs="Arial" w:eastAsia="Arial" w:hAnsi="Arial"/>
                <w:sz w:val="16"/>
                <w:szCs w:val="16"/>
                <w:color w:val="auto"/>
              </w:rPr>
              <w:t>Stockholders’ equity</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1,029,152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3,616,200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32,762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(3,648,961)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1,029,153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06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Total liabilities and stockholders’</w:t>
            </w:r>
          </w:p>
        </w:tc>
        <w:tc>
          <w:tcPr>
            <w:tcW w:w="4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0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equity</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3,750,856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5,794,150</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83,075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(3,716,619)</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5,911,462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4">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41" w:name="page142"/>
    <w:bookmarkEnd w:id="141"/>
    <w:p>
      <w:pPr>
        <w:ind w:left="560"/>
        <w:spacing w:after="0"/>
        <w:rPr>
          <w:sz w:val="20"/>
          <w:szCs w:val="20"/>
          <w:color w:val="auto"/>
        </w:rPr>
      </w:pPr>
      <w:r>
        <w:rPr>
          <w:rFonts w:ascii="Arial" w:cs="Arial" w:eastAsia="Arial" w:hAnsi="Arial"/>
          <w:sz w:val="18"/>
          <w:szCs w:val="18"/>
          <w:color w:val="auto"/>
        </w:rPr>
        <w:t>The consolidating condensed statements of income for the year ended December 31, 2019 is as follows: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Eldorado</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Consolidating</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0"/>
              </w:rPr>
              <w:t>Resorts, Inc.</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0"/>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(Parent Obligor)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Subsidiaries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07"/>
        </w:trPr>
        <w:tc>
          <w:tcPr>
            <w:tcW w:w="3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00" w:type="dxa"/>
            <w:vAlign w:val="bottom"/>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600" w:type="dxa"/>
            <w:vAlign w:val="bottom"/>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1,803,515</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4,671</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1,808,186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6,751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707,063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6,249</w:t>
            </w:r>
          </w:p>
        </w:tc>
        <w:tc>
          <w:tcPr>
            <w:tcW w:w="2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720,063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600" w:type="dxa"/>
            <w:vAlign w:val="bottom"/>
          </w:tcPr>
          <w:p>
            <w:pPr>
              <w:ind w:left="120"/>
              <w:spacing w:after="0"/>
              <w:rPr>
                <w:sz w:val="20"/>
                <w:szCs w:val="20"/>
                <w:color w:val="auto"/>
              </w:rPr>
            </w:pPr>
            <w:r>
              <w:rPr>
                <w:rFonts w:ascii="Arial" w:cs="Arial" w:eastAsia="Arial" w:hAnsi="Arial"/>
                <w:sz w:val="16"/>
                <w:szCs w:val="16"/>
                <w:color w:val="auto"/>
              </w:rPr>
              <w:t>Net revenues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6,751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2,510,578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10,920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2,528,249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799,163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802,327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tcPr>
          <w:p>
            <w:pPr>
              <w:spacing w:after="0"/>
              <w:rPr>
                <w:sz w:val="20"/>
                <w:szCs w:val="20"/>
                <w:color w:val="auto"/>
              </w:rPr>
            </w:pPr>
            <w:r>
              <w:rPr>
                <w:rFonts w:ascii="Arial" w:cs="Arial" w:eastAsia="Arial" w:hAnsi="Arial"/>
                <w:sz w:val="16"/>
                <w:szCs w:val="16"/>
                <w:color w:val="auto"/>
              </w:rPr>
              <w:t>Non-gaming</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383,422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383,822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Marketing and promotions</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129,123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129,373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475,549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476,751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65,128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65,996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tcPr>
          <w:p>
            <w:pPr>
              <w:spacing w:after="0"/>
              <w:rPr>
                <w:sz w:val="20"/>
                <w:szCs w:val="20"/>
                <w:color w:val="auto"/>
              </w:rPr>
            </w:pPr>
            <w:r>
              <w:rPr>
                <w:rFonts w:ascii="Arial" w:cs="Arial" w:eastAsia="Arial" w:hAnsi="Arial"/>
                <w:sz w:val="16"/>
                <w:szCs w:val="16"/>
                <w:color w:val="auto"/>
              </w:rPr>
              <w:t>Impairment charges</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Management fee</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(22,334)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22,334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6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5,076</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216,337</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221,525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47,870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2,027,115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5,767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2,080,752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Gain on sale of asset or disposal of</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29,032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20,476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tcPr>
          <w:p>
            <w:pPr>
              <w:spacing w:after="0"/>
              <w:rPr>
                <w:sz w:val="20"/>
                <w:szCs w:val="20"/>
                <w:color w:val="auto"/>
              </w:rPr>
            </w:pPr>
            <w:r>
              <w:rPr>
                <w:rFonts w:ascii="Arial" w:cs="Arial" w:eastAsia="Arial" w:hAnsi="Arial"/>
                <w:sz w:val="16"/>
                <w:szCs w:val="16"/>
                <w:color w:val="auto"/>
              </w:rPr>
              <w:t>Transaction expenses</w:t>
            </w:r>
          </w:p>
        </w:tc>
        <w:tc>
          <w:tcPr>
            <w:tcW w:w="1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(83,498)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(246)</w:t>
            </w: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(84,658)</w:t>
            </w:r>
          </w:p>
        </w:tc>
        <w:tc>
          <w:tcPr>
            <w:tcW w:w="0" w:type="dxa"/>
            <w:vAlign w:val="bottom"/>
          </w:tcPr>
          <w:p>
            <w:pPr>
              <w:spacing w:after="0"/>
              <w:rPr>
                <w:sz w:val="1"/>
                <w:szCs w:val="1"/>
                <w:color w:val="auto"/>
              </w:rPr>
            </w:pPr>
          </w:p>
        </w:tc>
      </w:tr>
      <w:tr>
        <w:trPr>
          <w:trHeight w:val="207"/>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(Loss) from equity in unconsolidated</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affiliate</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(2,656)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(2,441)</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6"/>
                <w:szCs w:val="16"/>
                <w:color w:val="auto"/>
              </w:rPr>
              <w:t>Operating (loss) income</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(98,241)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503,240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4,974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409,973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tcPr>
          <w:p>
            <w:pPr>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(141,081)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(159,275)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14,108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(286,248)</w:t>
            </w: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Loss on early retirement of debt, net</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(7,512)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(7,512)</w:t>
            </w:r>
          </w:p>
        </w:tc>
        <w:tc>
          <w:tcPr>
            <w:tcW w:w="0" w:type="dxa"/>
            <w:vAlign w:val="bottom"/>
          </w:tcPr>
          <w:p>
            <w:pPr>
              <w:spacing w:after="0"/>
              <w:rPr>
                <w:sz w:val="1"/>
                <w:szCs w:val="1"/>
                <w:color w:val="auto"/>
              </w:rPr>
            </w:pPr>
          </w:p>
        </w:tc>
      </w:tr>
      <w:tr>
        <w:trPr>
          <w:trHeight w:val="211"/>
        </w:trPr>
        <w:tc>
          <w:tcPr>
            <w:tcW w:w="3600" w:type="dxa"/>
            <w:vAlign w:val="bottom"/>
          </w:tcPr>
          <w:p>
            <w:pPr>
              <w:spacing w:after="0"/>
              <w:rPr>
                <w:sz w:val="20"/>
                <w:szCs w:val="20"/>
                <w:color w:val="auto"/>
              </w:rPr>
            </w:pPr>
            <w:r>
              <w:rPr>
                <w:rFonts w:ascii="Arial" w:cs="Arial" w:eastAsia="Arial" w:hAnsi="Arial"/>
                <w:sz w:val="16"/>
                <w:szCs w:val="16"/>
                <w:color w:val="auto"/>
              </w:rPr>
              <w:t>Unrealized gain on restricted investment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Subsidiary income (loss)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210,144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(210,144)</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3600" w:type="dxa"/>
            <w:vAlign w:val="bottom"/>
          </w:tcPr>
          <w:p>
            <w:pPr>
              <w:spacing w:after="0"/>
              <w:rPr>
                <w:sz w:val="20"/>
                <w:szCs w:val="20"/>
                <w:color w:val="auto"/>
              </w:rPr>
            </w:pPr>
            <w:r>
              <w:rPr>
                <w:rFonts w:ascii="Arial" w:cs="Arial" w:eastAsia="Arial" w:hAnsi="Arial"/>
                <w:sz w:val="16"/>
                <w:szCs w:val="16"/>
                <w:color w:val="auto"/>
              </w:rPr>
              <w:t>Net (loss) income before income</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600" w:type="dxa"/>
            <w:vAlign w:val="bottom"/>
          </w:tcPr>
          <w:p>
            <w:pPr>
              <w:ind w:left="120"/>
              <w:spacing w:after="0"/>
              <w:rPr>
                <w:sz w:val="20"/>
                <w:szCs w:val="20"/>
                <w:color w:val="auto"/>
              </w:rPr>
            </w:pPr>
            <w:r>
              <w:rPr>
                <w:rFonts w:ascii="Arial" w:cs="Arial" w:eastAsia="Arial" w:hAnsi="Arial"/>
                <w:sz w:val="16"/>
                <w:szCs w:val="16"/>
                <w:color w:val="auto"/>
              </w:rPr>
              <w:t>taxes</w:t>
            </w:r>
          </w:p>
        </w:tc>
        <w:tc>
          <w:tcPr>
            <w:tcW w:w="1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(27,925)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343,965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19,082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(210,144)</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124,978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 (provision)</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108,926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(148,308)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(4,595)</w:t>
            </w: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(43,977)</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6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81,001</w:t>
            </w:r>
          </w:p>
        </w:tc>
        <w:tc>
          <w:tcPr>
            <w:tcW w:w="14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195,657</w:t>
            </w:r>
          </w:p>
        </w:tc>
        <w:tc>
          <w:tcPr>
            <w:tcW w:w="14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14,487</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(210,144)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81,001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5">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142" w:name="page143"/>
    <w:bookmarkEnd w:id="142"/>
    <w:p>
      <w:pPr>
        <w:ind w:left="560"/>
        <w:spacing w:after="0"/>
        <w:rPr>
          <w:sz w:val="20"/>
          <w:szCs w:val="20"/>
          <w:color w:val="auto"/>
        </w:rPr>
      </w:pPr>
      <w:r>
        <w:rPr>
          <w:rFonts w:ascii="Arial" w:cs="Arial" w:eastAsia="Arial" w:hAnsi="Arial"/>
          <w:sz w:val="18"/>
          <w:szCs w:val="18"/>
          <w:color w:val="auto"/>
        </w:rPr>
        <w:t>The consolidating condensed statements of income for the year ended December 31, 2018 is as follows: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Eldorado</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Consolidating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0"/>
              </w:rPr>
              <w:t>Resorts, Inc.</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5"/>
              </w:rPr>
              <w:t>and Eliminating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0"/>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(Parent Obligor)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Subsidiaries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07"/>
        </w:trPr>
        <w:tc>
          <w:tcPr>
            <w:tcW w:w="3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00" w:type="dxa"/>
            <w:vAlign w:val="bottom"/>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600" w:type="dxa"/>
            <w:vAlign w:val="bottom"/>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1,522,559</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30,819</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1,553,378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492,692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9,926</w:t>
            </w:r>
          </w:p>
        </w:tc>
        <w:tc>
          <w:tcPr>
            <w:tcW w:w="2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502,629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600" w:type="dxa"/>
            <w:vAlign w:val="bottom"/>
          </w:tcPr>
          <w:p>
            <w:pPr>
              <w:ind w:left="120"/>
              <w:spacing w:after="0"/>
              <w:rPr>
                <w:sz w:val="20"/>
                <w:szCs w:val="20"/>
                <w:color w:val="auto"/>
              </w:rPr>
            </w:pPr>
            <w:r>
              <w:rPr>
                <w:rFonts w:ascii="Arial" w:cs="Arial" w:eastAsia="Arial" w:hAnsi="Arial"/>
                <w:sz w:val="16"/>
                <w:szCs w:val="16"/>
                <w:color w:val="auto"/>
              </w:rPr>
              <w:t>Net revenues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2,015,251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40,745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2,056,007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728,709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20,580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749,289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tcPr>
          <w:p>
            <w:pPr>
              <w:spacing w:after="0"/>
              <w:rPr>
                <w:sz w:val="20"/>
                <w:szCs w:val="20"/>
                <w:color w:val="auto"/>
              </w:rPr>
            </w:pPr>
            <w:r>
              <w:rPr>
                <w:rFonts w:ascii="Arial" w:cs="Arial" w:eastAsia="Arial" w:hAnsi="Arial"/>
                <w:sz w:val="16"/>
                <w:szCs w:val="16"/>
                <w:color w:val="auto"/>
              </w:rPr>
              <w:t>Non-gaming</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303,706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2,597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306,303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Marketing and promotions</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104,402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106,161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342,185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349,598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42,466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tcPr>
          <w:p>
            <w:pPr>
              <w:spacing w:after="0"/>
              <w:rPr>
                <w:sz w:val="20"/>
                <w:szCs w:val="20"/>
                <w:color w:val="auto"/>
              </w:rPr>
            </w:pPr>
            <w:r>
              <w:rPr>
                <w:rFonts w:ascii="Arial" w:cs="Arial" w:eastAsia="Arial" w:hAnsi="Arial"/>
                <w:sz w:val="16"/>
                <w:szCs w:val="16"/>
                <w:color w:val="auto"/>
              </w:rPr>
              <w:t>Impairment charges</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3,787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Management fee</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(25,340)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25,340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6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3,655</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153,396</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157,429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20,781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1,669,969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38,264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1,729,014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Loss on sale of asset or disposal of</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11"/>
        </w:trPr>
        <w:tc>
          <w:tcPr>
            <w:tcW w:w="3600" w:type="dxa"/>
            <w:vAlign w:val="bottom"/>
          </w:tcPr>
          <w:p>
            <w:pPr>
              <w:spacing w:after="0"/>
              <w:rPr>
                <w:sz w:val="20"/>
                <w:szCs w:val="20"/>
                <w:color w:val="auto"/>
              </w:rPr>
            </w:pPr>
            <w:r>
              <w:rPr>
                <w:rFonts w:ascii="Arial" w:cs="Arial" w:eastAsia="Arial" w:hAnsi="Arial"/>
                <w:sz w:val="16"/>
                <w:szCs w:val="16"/>
                <w:color w:val="auto"/>
              </w:rPr>
              <w:t>Proceeds from terminated sale</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Transaction expenses</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(11,369)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(9,473)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(20,842)</w:t>
            </w:r>
          </w:p>
        </w:tc>
        <w:tc>
          <w:tcPr>
            <w:tcW w:w="0" w:type="dxa"/>
            <w:vAlign w:val="bottom"/>
          </w:tcPr>
          <w:p>
            <w:pPr>
              <w:spacing w:after="0"/>
              <w:rPr>
                <w:sz w:val="1"/>
                <w:szCs w:val="1"/>
                <w:color w:val="auto"/>
              </w:rPr>
            </w:pPr>
          </w:p>
        </w:tc>
      </w:tr>
      <w:tr>
        <w:trPr>
          <w:trHeight w:val="204"/>
        </w:trPr>
        <w:tc>
          <w:tcPr>
            <w:tcW w:w="3600" w:type="dxa"/>
            <w:vAlign w:val="bottom"/>
          </w:tcPr>
          <w:p>
            <w:pPr>
              <w:spacing w:after="0"/>
              <w:rPr>
                <w:sz w:val="20"/>
                <w:szCs w:val="20"/>
                <w:color w:val="auto"/>
              </w:rPr>
            </w:pPr>
            <w:r>
              <w:rPr>
                <w:rFonts w:ascii="Arial" w:cs="Arial" w:eastAsia="Arial" w:hAnsi="Arial"/>
                <w:sz w:val="16"/>
                <w:szCs w:val="16"/>
                <w:color w:val="auto"/>
              </w:rPr>
              <w:t>Loss from unconsolidated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600" w:type="dxa"/>
            <w:vAlign w:val="bottom"/>
          </w:tcPr>
          <w:p>
            <w:pPr>
              <w:ind w:left="120"/>
              <w:spacing w:after="0"/>
              <w:rPr>
                <w:sz w:val="20"/>
                <w:szCs w:val="20"/>
                <w:color w:val="auto"/>
              </w:rPr>
            </w:pPr>
            <w:r>
              <w:rPr>
                <w:rFonts w:ascii="Arial" w:cs="Arial" w:eastAsia="Arial" w:hAnsi="Arial"/>
                <w:sz w:val="16"/>
                <w:szCs w:val="16"/>
                <w:color w:val="auto"/>
              </w:rPr>
              <w:t>affiliate</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0"/>
        </w:trPr>
        <w:tc>
          <w:tcPr>
            <w:tcW w:w="36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income (loss)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(27,139)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334,768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310,103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(115,745)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(54,226)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(1,761)</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(171,732)</w:t>
            </w:r>
          </w:p>
        </w:tc>
        <w:tc>
          <w:tcPr>
            <w:tcW w:w="0" w:type="dxa"/>
            <w:vAlign w:val="bottom"/>
          </w:tcPr>
          <w:p>
            <w:pPr>
              <w:spacing w:after="0"/>
              <w:rPr>
                <w:sz w:val="1"/>
                <w:szCs w:val="1"/>
                <w:color w:val="auto"/>
              </w:rPr>
            </w:pPr>
          </w:p>
        </w:tc>
      </w:tr>
      <w:tr>
        <w:trPr>
          <w:trHeight w:val="211"/>
        </w:trPr>
        <w:tc>
          <w:tcPr>
            <w:tcW w:w="3600" w:type="dxa"/>
            <w:vAlign w:val="bottom"/>
          </w:tcPr>
          <w:p>
            <w:pPr>
              <w:spacing w:after="0"/>
              <w:rPr>
                <w:sz w:val="20"/>
                <w:szCs w:val="20"/>
                <w:color w:val="auto"/>
              </w:rPr>
            </w:pPr>
            <w:r>
              <w:rPr>
                <w:rFonts w:ascii="Arial" w:cs="Arial" w:eastAsia="Arial" w:hAnsi="Arial"/>
                <w:sz w:val="16"/>
                <w:szCs w:val="16"/>
                <w:color w:val="auto"/>
              </w:rPr>
              <w:t>Loss on early retirement of debt, net</w:t>
            </w:r>
          </w:p>
        </w:tc>
        <w:tc>
          <w:tcPr>
            <w:tcW w:w="1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Unrealized loss on restricted investment</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(2,587)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(2,587)</w:t>
            </w:r>
          </w:p>
        </w:tc>
        <w:tc>
          <w:tcPr>
            <w:tcW w:w="0" w:type="dxa"/>
            <w:vAlign w:val="bottom"/>
          </w:tcPr>
          <w:p>
            <w:pPr>
              <w:spacing w:after="0"/>
              <w:rPr>
                <w:sz w:val="1"/>
                <w:szCs w:val="1"/>
                <w:color w:val="auto"/>
              </w:rPr>
            </w:pPr>
          </w:p>
        </w:tc>
      </w:tr>
      <w:tr>
        <w:trPr>
          <w:trHeight w:val="211"/>
        </w:trPr>
        <w:tc>
          <w:tcPr>
            <w:tcW w:w="3600" w:type="dxa"/>
            <w:vAlign w:val="bottom"/>
          </w:tcPr>
          <w:p>
            <w:pPr>
              <w:spacing w:after="0"/>
              <w:rPr>
                <w:sz w:val="20"/>
                <w:szCs w:val="20"/>
                <w:color w:val="auto"/>
              </w:rPr>
            </w:pPr>
            <w:r>
              <w:rPr>
                <w:rFonts w:ascii="Arial" w:cs="Arial" w:eastAsia="Arial" w:hAnsi="Arial"/>
                <w:sz w:val="16"/>
                <w:szCs w:val="16"/>
                <w:color w:val="auto"/>
              </w:rPr>
              <w:t>Subsidiary income (loss)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201,353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(201,353)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(loss) before income</w:t>
            </w:r>
          </w:p>
        </w:tc>
        <w:tc>
          <w:tcPr>
            <w:tcW w:w="1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taxes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55,720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280,542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(201,353)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135,622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tcPr>
          <w:p>
            <w:pPr>
              <w:spacing w:after="0"/>
              <w:rPr>
                <w:sz w:val="20"/>
                <w:szCs w:val="20"/>
                <w:color w:val="auto"/>
              </w:rPr>
            </w:pPr>
            <w:r>
              <w:rPr>
                <w:rFonts w:ascii="Arial" w:cs="Arial" w:eastAsia="Arial" w:hAnsi="Arial"/>
                <w:sz w:val="16"/>
                <w:szCs w:val="16"/>
                <w:color w:val="auto"/>
              </w:rPr>
              <w:t>Income tax benefit (provision)</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39,515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(80,474)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(40,387)</w:t>
            </w:r>
          </w:p>
        </w:tc>
        <w:tc>
          <w:tcPr>
            <w:tcW w:w="0" w:type="dxa"/>
            <w:vAlign w:val="bottom"/>
          </w:tcPr>
          <w:p>
            <w:pPr>
              <w:spacing w:after="0"/>
              <w:rPr>
                <w:sz w:val="1"/>
                <w:szCs w:val="1"/>
                <w:color w:val="auto"/>
              </w:rPr>
            </w:pPr>
          </w:p>
        </w:tc>
      </w:tr>
      <w:tr>
        <w:trPr>
          <w:trHeight w:val="20"/>
        </w:trPr>
        <w:tc>
          <w:tcPr>
            <w:tcW w:w="36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95,235</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200,068</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(201,353)</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95,235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6">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143" w:name="page144"/>
    <w:bookmarkEnd w:id="143"/>
    <w:p>
      <w:pPr>
        <w:ind w:left="560"/>
        <w:spacing w:after="0"/>
        <w:rPr>
          <w:sz w:val="20"/>
          <w:szCs w:val="20"/>
          <w:color w:val="auto"/>
        </w:rPr>
      </w:pPr>
      <w:r>
        <w:rPr>
          <w:rFonts w:ascii="Arial" w:cs="Arial" w:eastAsia="Arial" w:hAnsi="Arial"/>
          <w:sz w:val="18"/>
          <w:szCs w:val="18"/>
          <w:color w:val="auto"/>
        </w:rPr>
        <w:t>The consolidating condensed statements of income for the year ended December 31, 2017 is as follows: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Eldorado</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Consolidating</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0"/>
              </w:rPr>
              <w:t>Resorts, Inc.</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0"/>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(Parent Obligor)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Subsidiaries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54"/>
        </w:trPr>
        <w:tc>
          <w:tcPr>
            <w:tcW w:w="36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right"/>
              <w:ind w:right="440"/>
              <w:spacing w:after="0" w:line="154"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00" w:type="dxa"/>
            <w:vAlign w:val="bottom"/>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600" w:type="dxa"/>
            <w:vAlign w:val="bottom"/>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1,076,957</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22,070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1,099,027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374,246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7,525</w:t>
            </w:r>
          </w:p>
        </w:tc>
        <w:tc>
          <w:tcPr>
            <w:tcW w:w="2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381,771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600" w:type="dxa"/>
            <w:vAlign w:val="bottom"/>
          </w:tcPr>
          <w:p>
            <w:pPr>
              <w:ind w:left="120"/>
              <w:spacing w:after="0"/>
              <w:rPr>
                <w:sz w:val="20"/>
                <w:szCs w:val="20"/>
                <w:color w:val="auto"/>
              </w:rPr>
            </w:pPr>
            <w:r>
              <w:rPr>
                <w:rFonts w:ascii="Arial" w:cs="Arial" w:eastAsia="Arial" w:hAnsi="Arial"/>
                <w:sz w:val="16"/>
                <w:szCs w:val="16"/>
                <w:color w:val="auto"/>
              </w:rPr>
              <w:t>Net revenues</w:t>
            </w:r>
          </w:p>
        </w:tc>
        <w:tc>
          <w:tcPr>
            <w:tcW w:w="1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1,451,203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29,595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1,480,798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00" w:type="dxa"/>
            <w:vAlign w:val="bottom"/>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600" w:type="dxa"/>
            <w:vAlign w:val="bottom"/>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546,207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14,882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561,089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250,160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252,579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tcPr>
          <w:p>
            <w:pPr>
              <w:spacing w:after="0"/>
              <w:rPr>
                <w:sz w:val="20"/>
                <w:szCs w:val="20"/>
                <w:color w:val="auto"/>
              </w:rPr>
            </w:pPr>
            <w:r>
              <w:rPr>
                <w:rFonts w:ascii="Arial" w:cs="Arial" w:eastAsia="Arial" w:hAnsi="Arial"/>
                <w:sz w:val="16"/>
                <w:szCs w:val="16"/>
                <w:color w:val="auto"/>
              </w:rPr>
              <w:t>Marketing and promotions</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80,893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2,281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83,174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235,905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241,037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tcPr>
          <w:p>
            <w:pPr>
              <w:spacing w:after="0"/>
              <w:rPr>
                <w:sz w:val="20"/>
                <w:szCs w:val="20"/>
                <w:color w:val="auto"/>
              </w:rPr>
            </w:pPr>
            <w:r>
              <w:rPr>
                <w:rFonts w:ascii="Arial" w:cs="Arial" w:eastAsia="Arial" w:hAnsi="Arial"/>
                <w:sz w:val="16"/>
                <w:szCs w:val="16"/>
                <w:color w:val="auto"/>
              </w:rPr>
              <w:t>Corporate</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31,620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(4,318)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3,437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30,739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Impairment charges</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38,016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tcPr>
          <w:p>
            <w:pPr>
              <w:spacing w:after="0"/>
              <w:rPr>
                <w:sz w:val="20"/>
                <w:szCs w:val="20"/>
                <w:color w:val="auto"/>
              </w:rPr>
            </w:pPr>
            <w:r>
              <w:rPr>
                <w:rFonts w:ascii="Arial" w:cs="Arial" w:eastAsia="Arial" w:hAnsi="Arial"/>
                <w:sz w:val="16"/>
                <w:szCs w:val="16"/>
                <w:color w:val="auto"/>
              </w:rPr>
              <w:t>Management fee</w:t>
            </w:r>
          </w:p>
        </w:tc>
        <w:tc>
          <w:tcPr>
            <w:tcW w:w="1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(31,620)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31,620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104,454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407</w:t>
            </w:r>
          </w:p>
        </w:tc>
        <w:tc>
          <w:tcPr>
            <w:tcW w:w="2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105,891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600" w:type="dxa"/>
            <w:vAlign w:val="bottom"/>
          </w:tcPr>
          <w:p>
            <w:pPr>
              <w:ind w:left="120"/>
              <w:spacing w:after="0"/>
              <w:rPr>
                <w:sz w:val="20"/>
                <w:szCs w:val="20"/>
                <w:color w:val="auto"/>
              </w:rPr>
            </w:pPr>
            <w:r>
              <w:rPr>
                <w:rFonts w:ascii="Arial" w:cs="Arial" w:eastAsia="Arial" w:hAnsi="Arial"/>
                <w:sz w:val="16"/>
                <w:szCs w:val="16"/>
                <w:color w:val="auto"/>
              </w:rPr>
              <w:t>Total operating expenses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1,282,937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28,558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1,312,525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Loss on sale of asset or disposal of</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11"/>
        </w:trPr>
        <w:tc>
          <w:tcPr>
            <w:tcW w:w="3600" w:type="dxa"/>
            <w:vAlign w:val="bottom"/>
          </w:tcPr>
          <w:p>
            <w:pPr>
              <w:spacing w:after="0"/>
              <w:rPr>
                <w:sz w:val="20"/>
                <w:szCs w:val="20"/>
                <w:color w:val="auto"/>
              </w:rPr>
            </w:pPr>
            <w:r>
              <w:rPr>
                <w:rFonts w:ascii="Arial" w:cs="Arial" w:eastAsia="Arial" w:hAnsi="Arial"/>
                <w:sz w:val="16"/>
                <w:szCs w:val="16"/>
                <w:color w:val="auto"/>
              </w:rPr>
              <w:t>Proceeds from terminated sale</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Transaction expenses</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(70,865)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(21,912)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(92,777)</w:t>
            </w:r>
          </w:p>
        </w:tc>
        <w:tc>
          <w:tcPr>
            <w:tcW w:w="0" w:type="dxa"/>
            <w:vAlign w:val="bottom"/>
          </w:tcPr>
          <w:p>
            <w:pPr>
              <w:spacing w:after="0"/>
              <w:rPr>
                <w:sz w:val="1"/>
                <w:szCs w:val="1"/>
                <w:color w:val="auto"/>
              </w:rPr>
            </w:pPr>
          </w:p>
        </w:tc>
      </w:tr>
      <w:tr>
        <w:trPr>
          <w:trHeight w:val="204"/>
        </w:trPr>
        <w:tc>
          <w:tcPr>
            <w:tcW w:w="3600" w:type="dxa"/>
            <w:vAlign w:val="bottom"/>
          </w:tcPr>
          <w:p>
            <w:pPr>
              <w:spacing w:after="0"/>
              <w:rPr>
                <w:sz w:val="20"/>
                <w:szCs w:val="20"/>
                <w:color w:val="auto"/>
              </w:rPr>
            </w:pPr>
            <w:r>
              <w:rPr>
                <w:rFonts w:ascii="Arial" w:cs="Arial" w:eastAsia="Arial" w:hAnsi="Arial"/>
                <w:sz w:val="16"/>
                <w:szCs w:val="16"/>
                <w:color w:val="auto"/>
              </w:rPr>
              <w:t>Loss from unconsolidated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600" w:type="dxa"/>
            <w:vAlign w:val="bottom"/>
          </w:tcPr>
          <w:p>
            <w:pPr>
              <w:ind w:left="120"/>
              <w:spacing w:after="0"/>
              <w:rPr>
                <w:sz w:val="20"/>
                <w:szCs w:val="20"/>
                <w:color w:val="auto"/>
              </w:rPr>
            </w:pPr>
            <w:r>
              <w:rPr>
                <w:rFonts w:ascii="Arial" w:cs="Arial" w:eastAsia="Arial" w:hAnsi="Arial"/>
                <w:sz w:val="16"/>
                <w:szCs w:val="16"/>
                <w:color w:val="auto"/>
              </w:rPr>
              <w:t>affiliate</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0"/>
        </w:trPr>
        <w:tc>
          <w:tcPr>
            <w:tcW w:w="36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income (loss)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(71,915)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165,688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94,810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(73,448)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(25,221)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(1,100)</w:t>
            </w: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(99,769)</w:t>
            </w:r>
          </w:p>
        </w:tc>
        <w:tc>
          <w:tcPr>
            <w:tcW w:w="0" w:type="dxa"/>
            <w:vAlign w:val="bottom"/>
          </w:tcPr>
          <w:p>
            <w:pPr>
              <w:spacing w:after="0"/>
              <w:rPr>
                <w:sz w:val="1"/>
                <w:szCs w:val="1"/>
                <w:color w:val="auto"/>
              </w:rPr>
            </w:pPr>
          </w:p>
        </w:tc>
      </w:tr>
      <w:tr>
        <w:trPr>
          <w:trHeight w:val="211"/>
        </w:trPr>
        <w:tc>
          <w:tcPr>
            <w:tcW w:w="3600" w:type="dxa"/>
            <w:vAlign w:val="bottom"/>
          </w:tcPr>
          <w:p>
            <w:pPr>
              <w:spacing w:after="0"/>
              <w:rPr>
                <w:sz w:val="20"/>
                <w:szCs w:val="20"/>
                <w:color w:val="auto"/>
              </w:rPr>
            </w:pPr>
            <w:r>
              <w:rPr>
                <w:rFonts w:ascii="Arial" w:cs="Arial" w:eastAsia="Arial" w:hAnsi="Arial"/>
                <w:sz w:val="16"/>
                <w:szCs w:val="16"/>
                <w:color w:val="auto"/>
              </w:rPr>
              <w:t>Loss on early retirement of debt, net</w:t>
            </w:r>
          </w:p>
        </w:tc>
        <w:tc>
          <w:tcPr>
            <w:tcW w:w="1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(38,430)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(38,430)</w:t>
            </w: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Subsidiary income (loss)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205,251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(205,251)</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3600" w:type="dxa"/>
            <w:vAlign w:val="bottom"/>
          </w:tcPr>
          <w:p>
            <w:pPr>
              <w:spacing w:after="0"/>
              <w:rPr>
                <w:sz w:val="20"/>
                <w:szCs w:val="20"/>
                <w:color w:val="auto"/>
              </w:rPr>
            </w:pPr>
            <w:r>
              <w:rPr>
                <w:rFonts w:ascii="Arial" w:cs="Arial" w:eastAsia="Arial" w:hAnsi="Arial"/>
                <w:sz w:val="16"/>
                <w:szCs w:val="16"/>
                <w:color w:val="auto"/>
              </w:rPr>
              <w:t>Net income (loss) before income</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600" w:type="dxa"/>
            <w:vAlign w:val="bottom"/>
          </w:tcPr>
          <w:p>
            <w:pPr>
              <w:ind w:left="120"/>
              <w:spacing w:after="0"/>
              <w:rPr>
                <w:sz w:val="20"/>
                <w:szCs w:val="20"/>
                <w:color w:val="auto"/>
              </w:rPr>
            </w:pPr>
            <w:r>
              <w:rPr>
                <w:rFonts w:ascii="Arial" w:cs="Arial" w:eastAsia="Arial" w:hAnsi="Arial"/>
                <w:sz w:val="16"/>
                <w:szCs w:val="16"/>
                <w:color w:val="auto"/>
              </w:rPr>
              <w:t>taxes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21,458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140,467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(63)</w:t>
            </w: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(205,251)</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(43,389)</w:t>
            </w: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 (provision)</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51,922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69,787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(4,940)</w:t>
            </w: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116,769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6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73,380</w:t>
            </w:r>
          </w:p>
        </w:tc>
        <w:tc>
          <w:tcPr>
            <w:tcW w:w="14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210,254</w:t>
            </w:r>
          </w:p>
        </w:tc>
        <w:tc>
          <w:tcPr>
            <w:tcW w:w="14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(5,003)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(205,251)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73,380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7">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144" w:name="page145"/>
    <w:bookmarkEnd w:id="144"/>
    <w:p>
      <w:pPr>
        <w:ind w:left="560"/>
        <w:spacing w:after="0"/>
        <w:rPr>
          <w:sz w:val="20"/>
          <w:szCs w:val="20"/>
          <w:color w:val="auto"/>
        </w:rPr>
      </w:pPr>
      <w:r>
        <w:rPr>
          <w:rFonts w:ascii="Arial" w:cs="Arial" w:eastAsia="Arial" w:hAnsi="Arial"/>
          <w:sz w:val="18"/>
          <w:szCs w:val="18"/>
          <w:color w:val="auto"/>
        </w:rPr>
        <w:t>The consolidating condensed statement of cash flows for the year ended December 31, 2019 is as follows: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Eldorado</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160" w:type="dxa"/>
            <w:vAlign w:val="bottom"/>
          </w:tcPr>
          <w:p>
            <w:pPr>
              <w:jc w:val="center"/>
              <w:ind w:left="89"/>
              <w:spacing w:after="0"/>
              <w:rPr>
                <w:sz w:val="20"/>
                <w:szCs w:val="20"/>
                <w:color w:val="auto"/>
              </w:rPr>
            </w:pPr>
            <w:r>
              <w:rPr>
                <w:rFonts w:ascii="Arial" w:cs="Arial" w:eastAsia="Arial" w:hAnsi="Arial"/>
                <w:sz w:val="14"/>
                <w:szCs w:val="14"/>
                <w:b w:val="1"/>
                <w:bCs w:val="1"/>
                <w:color w:val="auto"/>
                <w:w w:val="89"/>
              </w:rPr>
              <w:t>Consolidating</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Resorts, Inc.</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left="89"/>
              <w:spacing w:after="0" w:line="147" w:lineRule="exact"/>
              <w:rPr>
                <w:sz w:val="20"/>
                <w:szCs w:val="20"/>
                <w:color w:val="auto"/>
              </w:rPr>
            </w:pPr>
            <w:r>
              <w:rPr>
                <w:rFonts w:ascii="Arial" w:cs="Arial" w:eastAsia="Arial" w:hAnsi="Arial"/>
                <w:sz w:val="14"/>
                <w:szCs w:val="14"/>
                <w:b w:val="1"/>
                <w:bCs w:val="1"/>
                <w:color w:val="auto"/>
                <w:w w:val="95"/>
              </w:rPr>
              <w:t>and Eliminating</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(Parent Obligor)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4"/>
                <w:szCs w:val="14"/>
                <w:color w:val="auto"/>
              </w:rPr>
            </w:pPr>
          </w:p>
        </w:tc>
        <w:tc>
          <w:tcPr>
            <w:tcW w:w="1160" w:type="dxa"/>
            <w:vAlign w:val="bottom"/>
          </w:tcPr>
          <w:p>
            <w:pPr>
              <w:jc w:val="center"/>
              <w:ind w:left="89"/>
              <w:spacing w:after="0"/>
              <w:rPr>
                <w:sz w:val="20"/>
                <w:szCs w:val="20"/>
                <w:color w:val="auto"/>
              </w:rPr>
            </w:pPr>
            <w:r>
              <w:rPr>
                <w:rFonts w:ascii="Arial" w:cs="Arial" w:eastAsia="Arial" w:hAnsi="Arial"/>
                <w:sz w:val="14"/>
                <w:szCs w:val="14"/>
                <w:b w:val="1"/>
                <w:bCs w:val="1"/>
                <w:color w:val="auto"/>
                <w:w w:val="92"/>
              </w:rPr>
              <w:t>Entries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ind w:right="300"/>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Net cash (used in) provided by operating activities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(64,023)</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390,562</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(14,013)</w:t>
            </w:r>
          </w:p>
        </w:tc>
        <w:tc>
          <w:tcPr>
            <w:tcW w:w="1280" w:type="dxa"/>
            <w:vAlign w:val="bottom"/>
            <w:gridSpan w:val="2"/>
            <w:shd w:val="clear" w:color="auto" w:fill="CFF0FC"/>
          </w:tcPr>
          <w:p>
            <w:pPr>
              <w:jc w:val="right"/>
              <w:ind w:right="1009"/>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312,526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60" w:type="dxa"/>
            <w:vAlign w:val="bottom"/>
            <w:gridSpan w:val="2"/>
          </w:tcPr>
          <w:p>
            <w:pPr>
              <w:spacing w:after="0" w:line="154" w:lineRule="exact"/>
              <w:rPr>
                <w:sz w:val="20"/>
                <w:szCs w:val="20"/>
                <w:color w:val="auto"/>
              </w:rPr>
            </w:pPr>
            <w:r>
              <w:rPr>
                <w:rFonts w:ascii="Arial" w:cs="Arial" w:eastAsia="Arial" w:hAnsi="Arial"/>
                <w:sz w:val="14"/>
                <w:szCs w:val="14"/>
                <w:color w:val="auto"/>
              </w:rPr>
              <w:t>INVESTING ACTIVITIES:</w:t>
            </w: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Purchase of property and equipment, net</w:t>
            </w:r>
          </w:p>
        </w:tc>
        <w:tc>
          <w:tcPr>
            <w:tcW w:w="1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(5,380)</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(165,386)</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(170,766)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Proceeds from sale of investments</w:t>
            </w:r>
          </w:p>
        </w:tc>
        <w:tc>
          <w:tcPr>
            <w:tcW w:w="120" w:type="dxa"/>
            <w:vAlign w:val="bottom"/>
          </w:tcPr>
          <w:p>
            <w:pPr>
              <w:spacing w:after="0"/>
              <w:rPr>
                <w:sz w:val="13"/>
                <w:szCs w:val="13"/>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4,944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shd w:val="clear" w:color="auto" w:fill="CFF0FC"/>
          </w:tcPr>
          <w:p>
            <w:pPr>
              <w:spacing w:after="0" w:line="142" w:lineRule="exact"/>
              <w:rPr>
                <w:sz w:val="20"/>
                <w:szCs w:val="20"/>
                <w:color w:val="auto"/>
              </w:rPr>
            </w:pPr>
            <w:r>
              <w:rPr>
                <w:rFonts w:ascii="Arial" w:cs="Arial" w:eastAsia="Arial" w:hAnsi="Arial"/>
                <w:sz w:val="14"/>
                <w:szCs w:val="14"/>
                <w:color w:val="auto"/>
              </w:rPr>
              <w:t>Proceeds from sale of businesses, property and</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equipment, net of cash sold</w:t>
            </w: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(208,911)</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765,714</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(20,670)</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536,133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line="142" w:lineRule="exact"/>
              <w:rPr>
                <w:sz w:val="20"/>
                <w:szCs w:val="20"/>
                <w:color w:val="auto"/>
              </w:rPr>
            </w:pPr>
            <w:r>
              <w:rPr>
                <w:rFonts w:ascii="Arial" w:cs="Arial" w:eastAsia="Arial" w:hAnsi="Arial"/>
                <w:sz w:val="14"/>
                <w:szCs w:val="14"/>
                <w:color w:val="auto"/>
              </w:rPr>
              <w:t>Investments in and advances to</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unconsolidated affiliate</w:t>
            </w:r>
          </w:p>
        </w:tc>
        <w:tc>
          <w:tcPr>
            <w:tcW w:w="12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(771)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tcBorders>
              <w:top w:val="single" w:sz="8" w:color="CFF0FC"/>
            </w:tcBorders>
            <w:shd w:val="clear" w:color="auto" w:fill="CFF0FC"/>
          </w:tcPr>
          <w:p>
            <w:pPr>
              <w:spacing w:after="0" w:line="135" w:lineRule="exact"/>
              <w:rPr>
                <w:sz w:val="20"/>
                <w:szCs w:val="20"/>
                <w:color w:val="auto"/>
              </w:rPr>
            </w:pPr>
            <w:r>
              <w:rPr>
                <w:rFonts w:ascii="Arial" w:cs="Arial" w:eastAsia="Arial" w:hAnsi="Arial"/>
                <w:sz w:val="14"/>
                <w:szCs w:val="14"/>
                <w:color w:val="auto"/>
              </w:rPr>
              <w:t>Net cash (used in) provided by investing</w:t>
            </w:r>
          </w:p>
        </w:tc>
        <w:tc>
          <w:tcPr>
            <w:tcW w:w="12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40" w:type="dxa"/>
            <w:vAlign w:val="bottom"/>
            <w:shd w:val="clear" w:color="auto" w:fill="CFF0FC"/>
          </w:tcPr>
          <w:p>
            <w:pPr>
              <w:ind w:left="60"/>
              <w:spacing w:after="0"/>
              <w:rPr>
                <w:sz w:val="20"/>
                <w:szCs w:val="20"/>
                <w:color w:val="auto"/>
              </w:rPr>
            </w:pPr>
            <w:r>
              <w:rPr>
                <w:rFonts w:ascii="Arial" w:cs="Arial" w:eastAsia="Arial" w:hAnsi="Arial"/>
                <w:sz w:val="14"/>
                <w:szCs w:val="14"/>
                <w:color w:val="auto"/>
              </w:rPr>
              <w:t>activities</w:t>
            </w: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(215,062)</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600,328</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(15,726)</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369,540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560" w:type="dxa"/>
            <w:vAlign w:val="bottom"/>
            <w:gridSpan w:val="2"/>
          </w:tcPr>
          <w:p>
            <w:pPr>
              <w:spacing w:after="0" w:line="154" w:lineRule="exact"/>
              <w:rPr>
                <w:sz w:val="20"/>
                <w:szCs w:val="20"/>
                <w:color w:val="auto"/>
              </w:rPr>
            </w:pPr>
            <w:r>
              <w:rPr>
                <w:rFonts w:ascii="Arial" w:cs="Arial" w:eastAsia="Arial" w:hAnsi="Arial"/>
                <w:sz w:val="14"/>
                <w:szCs w:val="14"/>
                <w:color w:val="auto"/>
              </w:rPr>
              <w:t>FINANCING ACTIVITIES:</w:t>
            </w: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Payments on Term Loan</w:t>
            </w:r>
          </w:p>
        </w:tc>
        <w:tc>
          <w:tcPr>
            <w:tcW w:w="1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(458,000)</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(458,000)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Borrowings under Revolving Credit Facility</w:t>
            </w: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33,000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Payments under Revolving Credit Facility</w:t>
            </w:r>
          </w:p>
        </w:tc>
        <w:tc>
          <w:tcPr>
            <w:tcW w:w="1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(278,000)</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(278,000)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line="142" w:lineRule="exact"/>
              <w:rPr>
                <w:sz w:val="20"/>
                <w:szCs w:val="20"/>
                <w:color w:val="auto"/>
              </w:rPr>
            </w:pPr>
            <w:r>
              <w:rPr>
                <w:rFonts w:ascii="Arial" w:cs="Arial" w:eastAsia="Arial" w:hAnsi="Arial"/>
                <w:sz w:val="14"/>
                <w:szCs w:val="14"/>
                <w:color w:val="auto"/>
              </w:rPr>
              <w:t>Net proceeds from (payments to) related</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40" w:type="dxa"/>
            <w:vAlign w:val="bottom"/>
          </w:tcPr>
          <w:p>
            <w:pPr>
              <w:ind w:left="60"/>
              <w:spacing w:after="0"/>
              <w:rPr>
                <w:sz w:val="20"/>
                <w:szCs w:val="20"/>
                <w:color w:val="auto"/>
              </w:rPr>
            </w:pPr>
            <w:r>
              <w:rPr>
                <w:rFonts w:ascii="Arial" w:cs="Arial" w:eastAsia="Arial" w:hAnsi="Arial"/>
                <w:sz w:val="14"/>
                <w:szCs w:val="14"/>
                <w:color w:val="auto"/>
              </w:rPr>
              <w:t>parties</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1,021,818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(1,051,647)</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29,829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Debt issuance costs</w:t>
            </w:r>
          </w:p>
        </w:tc>
        <w:tc>
          <w:tcPr>
            <w:tcW w:w="1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(456)</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line="142" w:lineRule="exact"/>
              <w:rPr>
                <w:sz w:val="20"/>
                <w:szCs w:val="20"/>
                <w:color w:val="auto"/>
              </w:rPr>
            </w:pPr>
            <w:r>
              <w:rPr>
                <w:rFonts w:ascii="Arial" w:cs="Arial" w:eastAsia="Arial" w:hAnsi="Arial"/>
                <w:sz w:val="14"/>
                <w:szCs w:val="14"/>
                <w:color w:val="auto"/>
              </w:rPr>
              <w:t>Taxes paid related to net share settlement</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of equity awards</w:t>
            </w:r>
          </w:p>
        </w:tc>
        <w:tc>
          <w:tcPr>
            <w:tcW w:w="12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(8,247)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(8,247)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Payments on other long-term payables</w:t>
            </w:r>
          </w:p>
        </w:tc>
        <w:tc>
          <w:tcPr>
            <w:tcW w:w="1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Dividends (paid) received</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7,900</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(7,900)</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tcBorders>
              <w:top w:val="single" w:sz="8" w:color="CFF0FC"/>
            </w:tcBorders>
            <w:shd w:val="clear" w:color="auto" w:fill="CFF0FC"/>
          </w:tcPr>
          <w:p>
            <w:pPr>
              <w:spacing w:after="0" w:line="135" w:lineRule="exact"/>
              <w:rPr>
                <w:sz w:val="20"/>
                <w:szCs w:val="20"/>
                <w:color w:val="auto"/>
              </w:rPr>
            </w:pPr>
            <w:r>
              <w:rPr>
                <w:rFonts w:ascii="Arial" w:cs="Arial" w:eastAsia="Arial" w:hAnsi="Arial"/>
                <w:sz w:val="14"/>
                <w:szCs w:val="14"/>
                <w:color w:val="auto"/>
              </w:rPr>
              <w:t>Net cash provided by (used in)</w:t>
            </w:r>
          </w:p>
        </w:tc>
        <w:tc>
          <w:tcPr>
            <w:tcW w:w="12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financing activities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310,018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(1,043,797)</w:t>
            </w: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21,600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(712,179)</w:t>
            </w: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line="135" w:lineRule="exact"/>
              <w:rPr>
                <w:sz w:val="20"/>
                <w:szCs w:val="20"/>
                <w:color w:val="auto"/>
              </w:rPr>
            </w:pPr>
            <w:r>
              <w:rPr>
                <w:rFonts w:ascii="Arial" w:cs="Arial" w:eastAsia="Arial" w:hAnsi="Arial"/>
                <w:sz w:val="14"/>
                <w:szCs w:val="14"/>
                <w:color w:val="auto"/>
              </w:rPr>
              <w:t>Increase in cash, cash equivalents and</w:t>
            </w: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restricted cash</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30,933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(52,907)</w:t>
            </w:r>
          </w:p>
        </w:tc>
        <w:tc>
          <w:tcPr>
            <w:tcW w:w="12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(8,139)</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(30,113)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shd w:val="clear" w:color="auto" w:fill="CFF0FC"/>
          </w:tcPr>
          <w:p>
            <w:pPr>
              <w:spacing w:after="0" w:line="142" w:lineRule="exact"/>
              <w:rPr>
                <w:sz w:val="20"/>
                <w:szCs w:val="20"/>
                <w:color w:val="auto"/>
              </w:rPr>
            </w:pPr>
            <w:r>
              <w:rPr>
                <w:rFonts w:ascii="Arial" w:cs="Arial" w:eastAsia="Arial" w:hAnsi="Arial"/>
                <w:sz w:val="14"/>
                <w:szCs w:val="14"/>
                <w:color w:val="auto"/>
              </w:rPr>
              <w:t>Cash, cash equivalents and restricted</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cash, beginning of period</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12,844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222,672</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11,175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246,691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line="135" w:lineRule="exact"/>
              <w:rPr>
                <w:sz w:val="20"/>
                <w:szCs w:val="20"/>
                <w:color w:val="auto"/>
              </w:rPr>
            </w:pPr>
            <w:r>
              <w:rPr>
                <w:rFonts w:ascii="Arial" w:cs="Arial" w:eastAsia="Arial" w:hAnsi="Arial"/>
                <w:sz w:val="14"/>
                <w:szCs w:val="14"/>
                <w:color w:val="auto"/>
              </w:rPr>
              <w:t>Cash, cash equivalents and restricted</w:t>
            </w: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cash, end of period</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43,777</w:t>
            </w:r>
          </w:p>
        </w:tc>
        <w:tc>
          <w:tcPr>
            <w:tcW w:w="16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169,765</w:t>
            </w:r>
          </w:p>
        </w:tc>
        <w:tc>
          <w:tcPr>
            <w:tcW w:w="280" w:type="dxa"/>
            <w:vAlign w:val="bottom"/>
          </w:tcPr>
          <w:p>
            <w:pPr>
              <w:spacing w:after="0"/>
              <w:rPr>
                <w:sz w:val="17"/>
                <w:szCs w:val="17"/>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3,036</w:t>
            </w:r>
          </w:p>
        </w:tc>
        <w:tc>
          <w:tcPr>
            <w:tcW w:w="160" w:type="dxa"/>
            <w:vAlign w:val="bottom"/>
          </w:tcPr>
          <w:p>
            <w:pPr>
              <w:spacing w:after="0"/>
              <w:rPr>
                <w:sz w:val="17"/>
                <w:szCs w:val="17"/>
                <w:color w:val="auto"/>
              </w:rPr>
            </w:pPr>
          </w:p>
        </w:tc>
        <w:tc>
          <w:tcPr>
            <w:tcW w:w="1280" w:type="dxa"/>
            <w:vAlign w:val="bottom"/>
            <w:gridSpan w:val="2"/>
          </w:tcPr>
          <w:p>
            <w:pPr>
              <w:jc w:val="right"/>
              <w:ind w:right="1009"/>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216,578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35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9520" w:type="dxa"/>
            <w:vAlign w:val="bottom"/>
            <w:gridSpan w:val="13"/>
          </w:tcPr>
          <w:p>
            <w:pPr>
              <w:spacing w:after="0" w:line="142" w:lineRule="exact"/>
              <w:rPr>
                <w:sz w:val="20"/>
                <w:szCs w:val="20"/>
                <w:color w:val="auto"/>
              </w:rPr>
            </w:pPr>
            <w:r>
              <w:rPr>
                <w:rFonts w:ascii="Arial" w:cs="Arial" w:eastAsia="Arial" w:hAnsi="Arial"/>
                <w:sz w:val="14"/>
                <w:szCs w:val="14"/>
                <w:color w:val="auto"/>
              </w:rPr>
              <w:t>RECONCILIATION OF CASH, CASH EQUIVALENTS AND RESTRICTED CASH TO AMOUNTS REPORTED WITHIN THE CONDENSED</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CONSOLIDATED BALANCE SHEETS:</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43,777</w:t>
            </w:r>
          </w:p>
        </w:tc>
        <w:tc>
          <w:tcPr>
            <w:tcW w:w="16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159,739</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2,801</w:t>
            </w: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009"/>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206,317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560" w:type="dxa"/>
            <w:vAlign w:val="bottom"/>
            <w:gridSpan w:val="2"/>
          </w:tcPr>
          <w:p>
            <w:pPr>
              <w:spacing w:after="0"/>
              <w:rPr>
                <w:sz w:val="20"/>
                <w:szCs w:val="20"/>
                <w:color w:val="auto"/>
              </w:rPr>
            </w:pPr>
            <w:r>
              <w:rPr>
                <w:rFonts w:ascii="Arial" w:cs="Arial" w:eastAsia="Arial" w:hAnsi="Arial"/>
                <w:sz w:val="14"/>
                <w:szCs w:val="14"/>
                <w:color w:val="auto"/>
              </w:rPr>
              <w:t>Restricted cash</w:t>
            </w: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3,272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shd w:val="clear" w:color="auto" w:fill="CFF0FC"/>
          </w:tcPr>
          <w:p>
            <w:pPr>
              <w:spacing w:after="0" w:line="142" w:lineRule="exact"/>
              <w:rPr>
                <w:sz w:val="20"/>
                <w:szCs w:val="20"/>
                <w:color w:val="auto"/>
              </w:rPr>
            </w:pPr>
            <w:r>
              <w:rPr>
                <w:rFonts w:ascii="Arial" w:cs="Arial" w:eastAsia="Arial" w:hAnsi="Arial"/>
                <w:sz w:val="14"/>
                <w:szCs w:val="14"/>
                <w:color w:val="auto"/>
              </w:rPr>
              <w:t>Restricted and escrow cash included in other</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noncurrent assets</w:t>
            </w: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6,754</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line="135" w:lineRule="exact"/>
              <w:rPr>
                <w:sz w:val="20"/>
                <w:szCs w:val="20"/>
                <w:color w:val="auto"/>
              </w:rPr>
            </w:pPr>
            <w:r>
              <w:rPr>
                <w:rFonts w:ascii="Arial" w:cs="Arial" w:eastAsia="Arial" w:hAnsi="Arial"/>
                <w:sz w:val="14"/>
                <w:szCs w:val="14"/>
                <w:color w:val="auto"/>
              </w:rPr>
              <w:t>Total cash, cash equivalents and restricted</w:t>
            </w: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cash</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43,777</w:t>
            </w:r>
          </w:p>
        </w:tc>
        <w:tc>
          <w:tcPr>
            <w:tcW w:w="16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169,765</w:t>
            </w:r>
          </w:p>
        </w:tc>
        <w:tc>
          <w:tcPr>
            <w:tcW w:w="28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3,036</w:t>
            </w:r>
          </w:p>
        </w:tc>
        <w:tc>
          <w:tcPr>
            <w:tcW w:w="160" w:type="dxa"/>
            <w:vAlign w:val="bottom"/>
          </w:tcPr>
          <w:p>
            <w:pPr>
              <w:spacing w:after="0"/>
              <w:rPr>
                <w:sz w:val="14"/>
                <w:szCs w:val="14"/>
                <w:color w:val="auto"/>
              </w:rPr>
            </w:pPr>
          </w:p>
        </w:tc>
        <w:tc>
          <w:tcPr>
            <w:tcW w:w="1280" w:type="dxa"/>
            <w:vAlign w:val="bottom"/>
            <w:gridSpan w:val="2"/>
          </w:tcPr>
          <w:p>
            <w:pPr>
              <w:jc w:val="right"/>
              <w:ind w:right="1009"/>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216,578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8">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145" w:name="page146"/>
    <w:bookmarkEnd w:id="145"/>
    <w:p>
      <w:pPr>
        <w:ind w:left="560"/>
        <w:spacing w:after="0"/>
        <w:rPr>
          <w:sz w:val="20"/>
          <w:szCs w:val="20"/>
          <w:color w:val="auto"/>
        </w:rPr>
      </w:pPr>
      <w:r>
        <w:rPr>
          <w:rFonts w:ascii="Arial" w:cs="Arial" w:eastAsia="Arial" w:hAnsi="Arial"/>
          <w:sz w:val="18"/>
          <w:szCs w:val="18"/>
          <w:color w:val="auto"/>
        </w:rPr>
        <w:t>The consolidating condensed statement of cash flows for the year ended December 31, 2018 is as follows: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Eldorado</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Consolidating</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Resorts, Inc.</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(Parent Obligor)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ind w:right="300"/>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shd w:val="clear" w:color="auto" w:fill="CFF0FC"/>
          </w:tcPr>
          <w:p>
            <w:pPr>
              <w:spacing w:after="0" w:line="142" w:lineRule="exact"/>
              <w:rPr>
                <w:sz w:val="20"/>
                <w:szCs w:val="20"/>
                <w:color w:val="auto"/>
              </w:rPr>
            </w:pPr>
            <w:r>
              <w:rPr>
                <w:rFonts w:ascii="Arial" w:cs="Arial" w:eastAsia="Arial" w:hAnsi="Arial"/>
                <w:sz w:val="14"/>
                <w:szCs w:val="14"/>
                <w:color w:val="auto"/>
              </w:rPr>
              <w:t>Net cash provided by (used in)</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operating activities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(65,836)</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387,576</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1,540</w:t>
            </w:r>
          </w:p>
        </w:tc>
        <w:tc>
          <w:tcPr>
            <w:tcW w:w="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ind w:left="10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323,280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560" w:type="dxa"/>
            <w:vAlign w:val="bottom"/>
            <w:gridSpan w:val="2"/>
          </w:tcPr>
          <w:p>
            <w:pPr>
              <w:spacing w:after="0" w:line="154" w:lineRule="exact"/>
              <w:rPr>
                <w:sz w:val="20"/>
                <w:szCs w:val="20"/>
                <w:color w:val="auto"/>
              </w:rPr>
            </w:pPr>
            <w:r>
              <w:rPr>
                <w:rFonts w:ascii="Arial" w:cs="Arial" w:eastAsia="Arial" w:hAnsi="Arial"/>
                <w:sz w:val="14"/>
                <w:szCs w:val="14"/>
                <w:color w:val="auto"/>
              </w:rPr>
              <w:t>INVESTING ACTIVITIES:</w:t>
            </w: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Purchase of property and equipment, net</w:t>
            </w:r>
          </w:p>
        </w:tc>
        <w:tc>
          <w:tcPr>
            <w:tcW w:w="1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(8,467)</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(136,102)</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(2,846)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ind w:left="10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(147,415)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Purchase of restricted investments</w:t>
            </w:r>
          </w:p>
        </w:tc>
        <w:tc>
          <w:tcPr>
            <w:tcW w:w="120" w:type="dxa"/>
            <w:vAlign w:val="bottom"/>
          </w:tcPr>
          <w:p>
            <w:pPr>
              <w:spacing w:after="0"/>
              <w:rPr>
                <w:sz w:val="13"/>
                <w:szCs w:val="13"/>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(8,008)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(8,008)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Proceeds from sale of property and equipment</w:t>
            </w:r>
          </w:p>
        </w:tc>
        <w:tc>
          <w:tcPr>
            <w:tcW w:w="1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1,002</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ind w:left="10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line="142" w:lineRule="exact"/>
              <w:rPr>
                <w:sz w:val="20"/>
                <w:szCs w:val="20"/>
                <w:color w:val="auto"/>
              </w:rPr>
            </w:pPr>
            <w:r>
              <w:rPr>
                <w:rFonts w:ascii="Arial" w:cs="Arial" w:eastAsia="Arial" w:hAnsi="Arial"/>
                <w:sz w:val="14"/>
                <w:szCs w:val="14"/>
                <w:color w:val="auto"/>
              </w:rPr>
              <w:t>Cash (used in) provided by business</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combinations</w:t>
            </w:r>
          </w:p>
        </w:tc>
        <w:tc>
          <w:tcPr>
            <w:tcW w:w="12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(1,010,175)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(103,052)</w:t>
            </w:r>
          </w:p>
        </w:tc>
        <w:tc>
          <w:tcPr>
            <w:tcW w:w="12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(1,113,227)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shd w:val="clear" w:color="auto" w:fill="CFF0FC"/>
          </w:tcPr>
          <w:p>
            <w:pPr>
              <w:spacing w:after="0" w:line="142" w:lineRule="exact"/>
              <w:rPr>
                <w:sz w:val="20"/>
                <w:szCs w:val="20"/>
                <w:color w:val="auto"/>
              </w:rPr>
            </w:pPr>
            <w:r>
              <w:rPr>
                <w:rFonts w:ascii="Arial" w:cs="Arial" w:eastAsia="Arial" w:hAnsi="Arial"/>
                <w:sz w:val="14"/>
                <w:szCs w:val="14"/>
                <w:color w:val="auto"/>
              </w:rPr>
              <w:t>Investments in and advances to unconsolidated</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affiliate</w:t>
            </w: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(581)</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line="135" w:lineRule="exact"/>
              <w:rPr>
                <w:sz w:val="20"/>
                <w:szCs w:val="20"/>
                <w:color w:val="auto"/>
              </w:rPr>
            </w:pPr>
            <w:r>
              <w:rPr>
                <w:rFonts w:ascii="Arial" w:cs="Arial" w:eastAsia="Arial" w:hAnsi="Arial"/>
                <w:sz w:val="14"/>
                <w:szCs w:val="14"/>
                <w:color w:val="auto"/>
              </w:rPr>
              <w:t>Net cash used in investing</w:t>
            </w: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40" w:type="dxa"/>
            <w:vAlign w:val="bottom"/>
          </w:tcPr>
          <w:p>
            <w:pPr>
              <w:ind w:left="60"/>
              <w:spacing w:after="0"/>
              <w:rPr>
                <w:sz w:val="20"/>
                <w:szCs w:val="20"/>
                <w:color w:val="auto"/>
              </w:rPr>
            </w:pPr>
            <w:r>
              <w:rPr>
                <w:rFonts w:ascii="Arial" w:cs="Arial" w:eastAsia="Arial" w:hAnsi="Arial"/>
                <w:sz w:val="14"/>
                <w:szCs w:val="14"/>
                <w:color w:val="auto"/>
              </w:rPr>
              <w:t>activities</w:t>
            </w:r>
          </w:p>
        </w:tc>
        <w:tc>
          <w:tcPr>
            <w:tcW w:w="12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(1,018,642)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(238,733)</w:t>
            </w:r>
          </w:p>
        </w:tc>
        <w:tc>
          <w:tcPr>
            <w:tcW w:w="12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(10,854)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(1,268,229)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40" w:type="dxa"/>
            <w:vAlign w:val="bottom"/>
            <w:tcBorders>
              <w:top w:val="single" w:sz="8" w:color="CFF0FC"/>
            </w:tcBorders>
            <w:shd w:val="clear" w:color="auto" w:fill="CFF0FC"/>
          </w:tcPr>
          <w:p>
            <w:pPr>
              <w:spacing w:after="0" w:line="154" w:lineRule="exact"/>
              <w:rPr>
                <w:sz w:val="20"/>
                <w:szCs w:val="20"/>
                <w:color w:val="auto"/>
              </w:rPr>
            </w:pPr>
            <w:r>
              <w:rPr>
                <w:rFonts w:ascii="Arial" w:cs="Arial" w:eastAsia="Arial" w:hAnsi="Arial"/>
                <w:sz w:val="14"/>
                <w:szCs w:val="14"/>
                <w:color w:val="auto"/>
              </w:rPr>
              <w:t>FINANCING ACTIVITIES:</w:t>
            </w:r>
          </w:p>
        </w:tc>
        <w:tc>
          <w:tcPr>
            <w:tcW w:w="12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Proceeds from issuance of long-term debt</w:t>
            </w: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600,000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246,000</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846,000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Borrowings under Revolving Credit Facility</w:t>
            </w: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315,358</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ind w:left="10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315,358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Payments under Revolving Credit Facility</w:t>
            </w:r>
          </w:p>
        </w:tc>
        <w:tc>
          <w:tcPr>
            <w:tcW w:w="120" w:type="dxa"/>
            <w:vAlign w:val="bottom"/>
          </w:tcPr>
          <w:p>
            <w:pPr>
              <w:spacing w:after="0"/>
              <w:rPr>
                <w:sz w:val="13"/>
                <w:szCs w:val="1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(70,358)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(70,358)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shd w:val="clear" w:color="auto" w:fill="CFF0FC"/>
          </w:tcPr>
          <w:p>
            <w:pPr>
              <w:spacing w:after="0" w:line="142" w:lineRule="exact"/>
              <w:rPr>
                <w:sz w:val="20"/>
                <w:szCs w:val="20"/>
                <w:color w:val="auto"/>
              </w:rPr>
            </w:pPr>
            <w:r>
              <w:rPr>
                <w:rFonts w:ascii="Arial" w:cs="Arial" w:eastAsia="Arial" w:hAnsi="Arial"/>
                <w:sz w:val="14"/>
                <w:szCs w:val="14"/>
                <w:color w:val="auto"/>
              </w:rPr>
              <w:t>Net proceeds from (payments to) related</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40" w:type="dxa"/>
            <w:vAlign w:val="bottom"/>
            <w:shd w:val="clear" w:color="auto" w:fill="CFF0FC"/>
          </w:tcPr>
          <w:p>
            <w:pPr>
              <w:ind w:left="60"/>
              <w:spacing w:after="0"/>
              <w:rPr>
                <w:sz w:val="20"/>
                <w:szCs w:val="20"/>
                <w:color w:val="auto"/>
              </w:rPr>
            </w:pPr>
            <w:r>
              <w:rPr>
                <w:rFonts w:ascii="Arial" w:cs="Arial" w:eastAsia="Arial" w:hAnsi="Arial"/>
                <w:sz w:val="14"/>
                <w:szCs w:val="14"/>
                <w:color w:val="auto"/>
              </w:rPr>
              <w:t>parties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285,026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(290,312)</w:t>
            </w: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5,286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Debt issuance costs</w:t>
            </w:r>
          </w:p>
        </w:tc>
        <w:tc>
          <w:tcPr>
            <w:tcW w:w="120" w:type="dxa"/>
            <w:vAlign w:val="bottom"/>
          </w:tcPr>
          <w:p>
            <w:pPr>
              <w:spacing w:after="0"/>
              <w:rPr>
                <w:sz w:val="13"/>
                <w:szCs w:val="1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(25,758)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(25,758)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shd w:val="clear" w:color="auto" w:fill="CFF0FC"/>
          </w:tcPr>
          <w:p>
            <w:pPr>
              <w:spacing w:after="0" w:line="142" w:lineRule="exact"/>
              <w:rPr>
                <w:sz w:val="20"/>
                <w:szCs w:val="20"/>
                <w:color w:val="auto"/>
              </w:rPr>
            </w:pPr>
            <w:r>
              <w:rPr>
                <w:rFonts w:ascii="Arial" w:cs="Arial" w:eastAsia="Arial" w:hAnsi="Arial"/>
                <w:sz w:val="14"/>
                <w:szCs w:val="14"/>
                <w:color w:val="auto"/>
              </w:rPr>
              <w:t>Taxes paid related to net share settlement</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of equity awards</w:t>
            </w: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(11,708)</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(11,708)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Proceeds from exercise of stock options</w:t>
            </w: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Purchase of treasury stock</w:t>
            </w:r>
          </w:p>
        </w:tc>
        <w:tc>
          <w:tcPr>
            <w:tcW w:w="1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(9,131)</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ind w:left="10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(9,131)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Payments on other long-term payables</w:t>
            </w:r>
          </w:p>
        </w:tc>
        <w:tc>
          <w:tcPr>
            <w:tcW w:w="120" w:type="dxa"/>
            <w:vAlign w:val="bottom"/>
          </w:tcPr>
          <w:p>
            <w:pPr>
              <w:spacing w:after="0"/>
              <w:rPr>
                <w:sz w:val="13"/>
                <w:szCs w:val="1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13"/>
                <w:szCs w:val="13"/>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tcBorders>
              <w:top w:val="single" w:sz="8" w:color="CFF0FC"/>
            </w:tcBorders>
            <w:shd w:val="clear" w:color="auto" w:fill="CFF0FC"/>
          </w:tcPr>
          <w:p>
            <w:pPr>
              <w:spacing w:after="0" w:line="135" w:lineRule="exact"/>
              <w:rPr>
                <w:sz w:val="20"/>
                <w:szCs w:val="20"/>
                <w:color w:val="auto"/>
              </w:rPr>
            </w:pPr>
            <w:r>
              <w:rPr>
                <w:rFonts w:ascii="Arial" w:cs="Arial" w:eastAsia="Arial" w:hAnsi="Arial"/>
                <w:sz w:val="14"/>
                <w:szCs w:val="14"/>
                <w:color w:val="auto"/>
              </w:rPr>
              <w:t>Net cash provided by (used in)</w:t>
            </w:r>
          </w:p>
        </w:tc>
        <w:tc>
          <w:tcPr>
            <w:tcW w:w="12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financing activities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1,083,491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(44,590)</w:t>
            </w: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4,990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1,043,891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line="135" w:lineRule="exact"/>
              <w:rPr>
                <w:sz w:val="20"/>
                <w:szCs w:val="20"/>
                <w:color w:val="auto"/>
              </w:rPr>
            </w:pPr>
            <w:r>
              <w:rPr>
                <w:rFonts w:ascii="Arial" w:cs="Arial" w:eastAsia="Arial" w:hAnsi="Arial"/>
                <w:sz w:val="14"/>
                <w:szCs w:val="14"/>
                <w:color w:val="auto"/>
              </w:rPr>
              <w:t>Increase in cash, cash equivalents and</w:t>
            </w: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restricted cash</w:t>
            </w:r>
          </w:p>
        </w:tc>
        <w:tc>
          <w:tcPr>
            <w:tcW w:w="12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(987)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104,253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(4,324)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98,942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shd w:val="clear" w:color="auto" w:fill="CFF0FC"/>
          </w:tcPr>
          <w:p>
            <w:pPr>
              <w:spacing w:after="0" w:line="142" w:lineRule="exact"/>
              <w:rPr>
                <w:sz w:val="20"/>
                <w:szCs w:val="20"/>
                <w:color w:val="auto"/>
              </w:rPr>
            </w:pPr>
            <w:r>
              <w:rPr>
                <w:rFonts w:ascii="Arial" w:cs="Arial" w:eastAsia="Arial" w:hAnsi="Arial"/>
                <w:sz w:val="14"/>
                <w:szCs w:val="14"/>
                <w:color w:val="auto"/>
              </w:rPr>
              <w:t>Cash, cash equivalents and restricted</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cash, beginning of period</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13,831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118,419</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15,499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147,749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line="135" w:lineRule="exact"/>
              <w:rPr>
                <w:sz w:val="20"/>
                <w:szCs w:val="20"/>
                <w:color w:val="auto"/>
              </w:rPr>
            </w:pPr>
            <w:r>
              <w:rPr>
                <w:rFonts w:ascii="Arial" w:cs="Arial" w:eastAsia="Arial" w:hAnsi="Arial"/>
                <w:sz w:val="14"/>
                <w:szCs w:val="14"/>
                <w:color w:val="auto"/>
              </w:rPr>
              <w:t>Cash, cash equivalents and restricted</w:t>
            </w: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cash, end of period</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12,844</w:t>
            </w:r>
          </w:p>
        </w:tc>
        <w:tc>
          <w:tcPr>
            <w:tcW w:w="16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222,672</w:t>
            </w:r>
          </w:p>
        </w:tc>
        <w:tc>
          <w:tcPr>
            <w:tcW w:w="280" w:type="dxa"/>
            <w:vAlign w:val="bottom"/>
          </w:tcPr>
          <w:p>
            <w:pPr>
              <w:spacing w:after="0"/>
              <w:rPr>
                <w:sz w:val="17"/>
                <w:szCs w:val="17"/>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11,175</w:t>
            </w:r>
          </w:p>
        </w:tc>
        <w:tc>
          <w:tcPr>
            <w:tcW w:w="160" w:type="dxa"/>
            <w:vAlign w:val="bottom"/>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246,691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35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8480" w:type="dxa"/>
            <w:vAlign w:val="bottom"/>
            <w:gridSpan w:val="13"/>
          </w:tcPr>
          <w:p>
            <w:pPr>
              <w:spacing w:after="0" w:line="142" w:lineRule="exact"/>
              <w:rPr>
                <w:sz w:val="20"/>
                <w:szCs w:val="20"/>
                <w:color w:val="auto"/>
              </w:rPr>
            </w:pPr>
            <w:r>
              <w:rPr>
                <w:rFonts w:ascii="Arial" w:cs="Arial" w:eastAsia="Arial" w:hAnsi="Arial"/>
                <w:sz w:val="14"/>
                <w:szCs w:val="14"/>
                <w:color w:val="auto"/>
                <w:w w:val="98"/>
              </w:rPr>
              <w:t>RECONCILIATION OF CASH, CASH EQUIVALENTS AND RESTRICTED CASH TO AMOUNTS REPORTED WITHIN THE CONDENSED</w:t>
            </w: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CONSOLIDATED BALANCE SHEETS:</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12,127</w:t>
            </w:r>
          </w:p>
        </w:tc>
        <w:tc>
          <w:tcPr>
            <w:tcW w:w="16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208,697</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9,928</w:t>
            </w:r>
          </w:p>
        </w:tc>
        <w:tc>
          <w:tcPr>
            <w:tcW w:w="1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ind w:left="10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230,752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560" w:type="dxa"/>
            <w:vAlign w:val="bottom"/>
            <w:gridSpan w:val="2"/>
          </w:tcPr>
          <w:p>
            <w:pPr>
              <w:spacing w:after="0"/>
              <w:rPr>
                <w:sz w:val="20"/>
                <w:szCs w:val="20"/>
                <w:color w:val="auto"/>
              </w:rPr>
            </w:pPr>
            <w:r>
              <w:rPr>
                <w:rFonts w:ascii="Arial" w:cs="Arial" w:eastAsia="Arial" w:hAnsi="Arial"/>
                <w:sz w:val="14"/>
                <w:szCs w:val="14"/>
                <w:color w:val="auto"/>
              </w:rPr>
              <w:t>Restricted cash</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717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7,920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8,884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shd w:val="clear" w:color="auto" w:fill="CFF0FC"/>
          </w:tcPr>
          <w:p>
            <w:pPr>
              <w:spacing w:after="0" w:line="142" w:lineRule="exact"/>
              <w:rPr>
                <w:sz w:val="20"/>
                <w:szCs w:val="20"/>
                <w:color w:val="auto"/>
              </w:rPr>
            </w:pPr>
            <w:r>
              <w:rPr>
                <w:rFonts w:ascii="Arial" w:cs="Arial" w:eastAsia="Arial" w:hAnsi="Arial"/>
                <w:sz w:val="14"/>
                <w:szCs w:val="14"/>
                <w:color w:val="auto"/>
              </w:rPr>
              <w:t>Restricted and escrow cash included in other noncurrent</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6,055</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line="135" w:lineRule="exact"/>
              <w:rPr>
                <w:sz w:val="20"/>
                <w:szCs w:val="20"/>
                <w:color w:val="auto"/>
              </w:rPr>
            </w:pPr>
            <w:r>
              <w:rPr>
                <w:rFonts w:ascii="Arial" w:cs="Arial" w:eastAsia="Arial" w:hAnsi="Arial"/>
                <w:sz w:val="14"/>
                <w:szCs w:val="14"/>
                <w:color w:val="auto"/>
              </w:rPr>
              <w:t>Total cash, cash equivalents and restricted</w:t>
            </w: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cash</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12,844</w:t>
            </w:r>
          </w:p>
        </w:tc>
        <w:tc>
          <w:tcPr>
            <w:tcW w:w="16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222,672</w:t>
            </w:r>
          </w:p>
        </w:tc>
        <w:tc>
          <w:tcPr>
            <w:tcW w:w="28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11,175</w:t>
            </w:r>
          </w:p>
        </w:tc>
        <w:tc>
          <w:tcPr>
            <w:tcW w:w="160" w:type="dxa"/>
            <w:vAlign w:val="bottom"/>
          </w:tcPr>
          <w:p>
            <w:pPr>
              <w:spacing w:after="0"/>
              <w:rPr>
                <w:sz w:val="14"/>
                <w:szCs w:val="1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246,691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9">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146" w:name="page147"/>
    <w:bookmarkEnd w:id="146"/>
    <w:p>
      <w:pPr>
        <w:ind w:left="560"/>
        <w:spacing w:after="0"/>
        <w:rPr>
          <w:sz w:val="20"/>
          <w:szCs w:val="20"/>
          <w:color w:val="auto"/>
        </w:rPr>
      </w:pPr>
      <w:r>
        <w:rPr>
          <w:rFonts w:ascii="Arial" w:cs="Arial" w:eastAsia="Arial" w:hAnsi="Arial"/>
          <w:sz w:val="18"/>
          <w:szCs w:val="18"/>
          <w:color w:val="auto"/>
        </w:rPr>
        <w:t>The consolidating condensed statement of cash flows for the year ended December 31, 2017 is as follows: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Eldorado</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200" w:type="dxa"/>
            <w:vAlign w:val="bottom"/>
          </w:tcPr>
          <w:p>
            <w:pPr>
              <w:jc w:val="center"/>
              <w:ind w:right="89"/>
              <w:spacing w:after="0"/>
              <w:rPr>
                <w:sz w:val="20"/>
                <w:szCs w:val="20"/>
                <w:color w:val="auto"/>
              </w:rPr>
            </w:pPr>
            <w:r>
              <w:rPr>
                <w:rFonts w:ascii="Arial" w:cs="Arial" w:eastAsia="Arial" w:hAnsi="Arial"/>
                <w:sz w:val="14"/>
                <w:szCs w:val="14"/>
                <w:b w:val="1"/>
                <w:bCs w:val="1"/>
                <w:color w:val="auto"/>
                <w:w w:val="89"/>
              </w:rPr>
              <w:t>Consolidating</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Resorts, Inc.</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89"/>
              <w:spacing w:after="0" w:line="147" w:lineRule="exact"/>
              <w:rPr>
                <w:sz w:val="20"/>
                <w:szCs w:val="20"/>
                <w:color w:val="auto"/>
              </w:rPr>
            </w:pPr>
            <w:r>
              <w:rPr>
                <w:rFonts w:ascii="Arial" w:cs="Arial" w:eastAsia="Arial" w:hAnsi="Arial"/>
                <w:sz w:val="14"/>
                <w:szCs w:val="14"/>
                <w:b w:val="1"/>
                <w:bCs w:val="1"/>
                <w:color w:val="auto"/>
                <w:w w:val="95"/>
              </w:rPr>
              <w:t>and Eliminating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0"/>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(Parent Obligor)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Subsidiaries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4"/>
                <w:szCs w:val="14"/>
                <w:color w:val="auto"/>
              </w:rPr>
            </w:pPr>
          </w:p>
        </w:tc>
        <w:tc>
          <w:tcPr>
            <w:tcW w:w="1200" w:type="dxa"/>
            <w:vAlign w:val="bottom"/>
          </w:tcPr>
          <w:p>
            <w:pPr>
              <w:jc w:val="center"/>
              <w:ind w:right="89"/>
              <w:spacing w:after="0"/>
              <w:rPr>
                <w:sz w:val="20"/>
                <w:szCs w:val="20"/>
                <w:color w:val="auto"/>
              </w:rPr>
            </w:pPr>
            <w:r>
              <w:rPr>
                <w:rFonts w:ascii="Arial" w:cs="Arial" w:eastAsia="Arial" w:hAnsi="Arial"/>
                <w:sz w:val="14"/>
                <w:szCs w:val="14"/>
                <w:b w:val="1"/>
                <w:bCs w:val="1"/>
                <w:color w:val="auto"/>
                <w:w w:val="92"/>
              </w:rPr>
              <w:t>Entries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8"/>
        </w:trPr>
        <w:tc>
          <w:tcPr>
            <w:tcW w:w="3600" w:type="dxa"/>
            <w:vAlign w:val="bottom"/>
            <w:vMerge w:val="restart"/>
          </w:tcPr>
          <w:p>
            <w:pPr>
              <w:spacing w:after="0"/>
              <w:rPr>
                <w:sz w:val="20"/>
                <w:szCs w:val="20"/>
                <w:color w:val="auto"/>
              </w:rPr>
            </w:pPr>
            <w:r>
              <w:rPr>
                <w:rFonts w:ascii="Arial" w:cs="Arial" w:eastAsia="Arial" w:hAnsi="Arial"/>
                <w:sz w:val="14"/>
                <w:szCs w:val="14"/>
                <w:color w:val="auto"/>
              </w:rPr>
              <w:t>Net cash provided by (used in)</w:t>
            </w: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3600" w:type="dxa"/>
            <w:vAlign w:val="bottom"/>
          </w:tcPr>
          <w:p>
            <w:pPr>
              <w:ind w:left="120"/>
              <w:spacing w:after="0"/>
              <w:rPr>
                <w:sz w:val="20"/>
                <w:szCs w:val="20"/>
                <w:color w:val="auto"/>
              </w:rPr>
            </w:pPr>
            <w:r>
              <w:rPr>
                <w:rFonts w:ascii="Arial" w:cs="Arial" w:eastAsia="Arial" w:hAnsi="Arial"/>
                <w:sz w:val="14"/>
                <w:szCs w:val="14"/>
                <w:color w:val="auto"/>
              </w:rPr>
              <w:t>operating activities</w:t>
            </w:r>
          </w:p>
        </w:tc>
        <w:tc>
          <w:tcPr>
            <w:tcW w:w="140" w:type="dxa"/>
            <w:vAlign w:val="bottom"/>
          </w:tcPr>
          <w:p>
            <w:pPr>
              <w:jc w:val="right"/>
              <w:ind w:right="24"/>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(44,737)</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170,553</w:t>
            </w:r>
          </w:p>
        </w:tc>
        <w:tc>
          <w:tcPr>
            <w:tcW w:w="140" w:type="dxa"/>
            <w:vAlign w:val="bottom"/>
          </w:tcPr>
          <w:p>
            <w:pPr>
              <w:spacing w:after="0"/>
              <w:rPr>
                <w:sz w:val="14"/>
                <w:szCs w:val="1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4,070</w:t>
            </w:r>
          </w:p>
        </w:tc>
        <w:tc>
          <w:tcPr>
            <w:tcW w:w="240" w:type="dxa"/>
            <w:vAlign w:val="bottom"/>
          </w:tcPr>
          <w:p>
            <w:pPr>
              <w:spacing w:after="0"/>
              <w:rPr>
                <w:sz w:val="14"/>
                <w:szCs w:val="1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200" w:type="dxa"/>
            <w:vAlign w:val="bottom"/>
          </w:tcPr>
          <w:p>
            <w:pPr>
              <w:ind w:left="1040"/>
              <w:spacing w:after="0"/>
              <w:rPr>
                <w:sz w:val="20"/>
                <w:szCs w:val="20"/>
                <w:color w:val="auto"/>
              </w:rPr>
            </w:pPr>
            <w:r>
              <w:rPr>
                <w:rFonts w:ascii="Arial" w:cs="Arial" w:eastAsia="Arial" w:hAnsi="Arial"/>
                <w:sz w:val="14"/>
                <w:szCs w:val="14"/>
                <w:color w:val="auto"/>
                <w:w w:val="99"/>
              </w:rPr>
              <w:t>—</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129,886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600" w:type="dxa"/>
            <w:vAlign w:val="bottom"/>
            <w:tcBorders>
              <w:top w:val="single" w:sz="8" w:color="CFF0FC"/>
            </w:tcBorders>
            <w:shd w:val="clear" w:color="auto" w:fill="CFF0FC"/>
          </w:tcPr>
          <w:p>
            <w:pPr>
              <w:spacing w:after="0" w:line="154" w:lineRule="exact"/>
              <w:rPr>
                <w:sz w:val="20"/>
                <w:szCs w:val="20"/>
                <w:color w:val="auto"/>
              </w:rPr>
            </w:pPr>
            <w:r>
              <w:rPr>
                <w:rFonts w:ascii="Arial" w:cs="Arial" w:eastAsia="Arial" w:hAnsi="Arial"/>
                <w:sz w:val="14"/>
                <w:szCs w:val="14"/>
                <w:color w:val="auto"/>
              </w:rPr>
              <w:t>INVESTING ACTIVITIES:</w:t>
            </w:r>
          </w:p>
        </w:tc>
        <w:tc>
          <w:tcPr>
            <w:tcW w:w="14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600" w:type="dxa"/>
            <w:vAlign w:val="bottom"/>
          </w:tcPr>
          <w:p>
            <w:pPr>
              <w:spacing w:after="0"/>
              <w:rPr>
                <w:sz w:val="20"/>
                <w:szCs w:val="20"/>
                <w:color w:val="auto"/>
              </w:rPr>
            </w:pPr>
            <w:r>
              <w:rPr>
                <w:rFonts w:ascii="Arial" w:cs="Arial" w:eastAsia="Arial" w:hAnsi="Arial"/>
                <w:sz w:val="14"/>
                <w:szCs w:val="14"/>
                <w:color w:val="auto"/>
              </w:rPr>
              <w:t>Purchase of property and equipment, net</w:t>
            </w:r>
          </w:p>
        </w:tc>
        <w:tc>
          <w:tcPr>
            <w:tcW w:w="14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(11,073)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(70,449)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(1,639)</w:t>
            </w:r>
          </w:p>
        </w:tc>
        <w:tc>
          <w:tcPr>
            <w:tcW w:w="160" w:type="dxa"/>
            <w:vAlign w:val="bottom"/>
          </w:tcPr>
          <w:p>
            <w:pPr>
              <w:spacing w:after="0"/>
              <w:rPr>
                <w:sz w:val="13"/>
                <w:szCs w:val="13"/>
                <w:color w:val="auto"/>
              </w:rPr>
            </w:pPr>
          </w:p>
        </w:tc>
        <w:tc>
          <w:tcPr>
            <w:tcW w:w="1200" w:type="dxa"/>
            <w:vAlign w:val="bottom"/>
          </w:tcPr>
          <w:p>
            <w:pPr>
              <w:ind w:left="10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(83,161)</w:t>
            </w:r>
          </w:p>
        </w:tc>
        <w:tc>
          <w:tcPr>
            <w:tcW w:w="0" w:type="dxa"/>
            <w:vAlign w:val="bottom"/>
          </w:tcPr>
          <w:p>
            <w:pPr>
              <w:spacing w:after="0"/>
              <w:rPr>
                <w:sz w:val="1"/>
                <w:szCs w:val="1"/>
                <w:color w:val="auto"/>
              </w:rPr>
            </w:pPr>
          </w:p>
        </w:tc>
      </w:tr>
      <w:tr>
        <w:trPr>
          <w:trHeight w:val="161"/>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Proceeds from sale of property and equipment</w:t>
            </w:r>
          </w:p>
        </w:tc>
        <w:tc>
          <w:tcPr>
            <w:tcW w:w="14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ind w:left="10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4"/>
                <w:szCs w:val="14"/>
                <w:color w:val="auto"/>
              </w:rPr>
              <w:t>Net cash (used in) provided by business</w:t>
            </w: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600" w:type="dxa"/>
            <w:vAlign w:val="bottom"/>
          </w:tcPr>
          <w:p>
            <w:pPr>
              <w:spacing w:after="0"/>
              <w:rPr>
                <w:sz w:val="20"/>
                <w:szCs w:val="20"/>
                <w:color w:val="auto"/>
              </w:rPr>
            </w:pPr>
            <w:r>
              <w:rPr>
                <w:rFonts w:ascii="Arial" w:cs="Arial" w:eastAsia="Arial" w:hAnsi="Arial"/>
                <w:sz w:val="14"/>
                <w:szCs w:val="14"/>
                <w:color w:val="auto"/>
              </w:rPr>
              <w:t>combinations</w:t>
            </w:r>
          </w:p>
        </w:tc>
        <w:tc>
          <w:tcPr>
            <w:tcW w:w="14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(1,355,370)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37,103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5,216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ind w:left="10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(1,313,051)</w:t>
            </w:r>
          </w:p>
        </w:tc>
        <w:tc>
          <w:tcPr>
            <w:tcW w:w="0" w:type="dxa"/>
            <w:vAlign w:val="bottom"/>
          </w:tcPr>
          <w:p>
            <w:pPr>
              <w:spacing w:after="0"/>
              <w:rPr>
                <w:sz w:val="1"/>
                <w:szCs w:val="1"/>
                <w:color w:val="auto"/>
              </w:rPr>
            </w:pPr>
          </w:p>
        </w:tc>
      </w:tr>
      <w:tr>
        <w:trPr>
          <w:trHeight w:val="142"/>
        </w:trPr>
        <w:tc>
          <w:tcPr>
            <w:tcW w:w="3600" w:type="dxa"/>
            <w:vAlign w:val="bottom"/>
            <w:shd w:val="clear" w:color="auto" w:fill="CFF0FC"/>
          </w:tcPr>
          <w:p>
            <w:pPr>
              <w:spacing w:after="0" w:line="142" w:lineRule="exact"/>
              <w:rPr>
                <w:sz w:val="20"/>
                <w:szCs w:val="20"/>
                <w:color w:val="auto"/>
              </w:rPr>
            </w:pPr>
            <w:r>
              <w:rPr>
                <w:rFonts w:ascii="Arial" w:cs="Arial" w:eastAsia="Arial" w:hAnsi="Arial"/>
                <w:sz w:val="14"/>
                <w:szCs w:val="14"/>
                <w:color w:val="auto"/>
              </w:rPr>
              <w:t>Investments in and advances to unconsolidated</w:t>
            </w: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affiliate</w:t>
            </w:r>
          </w:p>
        </w:tc>
        <w:tc>
          <w:tcPr>
            <w:tcW w:w="1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(604)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ind w:left="10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54"/>
        </w:trPr>
        <w:tc>
          <w:tcPr>
            <w:tcW w:w="3600" w:type="dxa"/>
            <w:vAlign w:val="bottom"/>
            <w:tcBorders>
              <w:bottom w:val="single" w:sz="8" w:color="CFF0FC"/>
            </w:tcBorders>
          </w:tcPr>
          <w:p>
            <w:pPr>
              <w:spacing w:after="0" w:line="154" w:lineRule="exact"/>
              <w:rPr>
                <w:sz w:val="20"/>
                <w:szCs w:val="20"/>
                <w:color w:val="auto"/>
              </w:rPr>
            </w:pPr>
            <w:r>
              <w:rPr>
                <w:rFonts w:ascii="Arial" w:cs="Arial" w:eastAsia="Arial" w:hAnsi="Arial"/>
                <w:sz w:val="14"/>
                <w:szCs w:val="14"/>
                <w:color w:val="auto"/>
              </w:rPr>
              <w:t>Net cash provided by (used in) investing activities</w:t>
            </w:r>
          </w:p>
        </w:tc>
        <w:tc>
          <w:tcPr>
            <w:tcW w:w="1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(1,366,443)</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(33,815)</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3,577</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ind w:left="1040"/>
              <w:spacing w:after="0" w:line="154"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(1,396,681)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00" w:type="dxa"/>
            <w:vAlign w:val="bottom"/>
            <w:shd w:val="clear" w:color="auto" w:fill="CFF0FC"/>
          </w:tcPr>
          <w:p>
            <w:pPr>
              <w:spacing w:after="0" w:line="154" w:lineRule="exact"/>
              <w:rPr>
                <w:sz w:val="20"/>
                <w:szCs w:val="20"/>
                <w:color w:val="auto"/>
              </w:rPr>
            </w:pPr>
            <w:r>
              <w:rPr>
                <w:rFonts w:ascii="Arial" w:cs="Arial" w:eastAsia="Arial" w:hAnsi="Arial"/>
                <w:sz w:val="14"/>
                <w:szCs w:val="14"/>
                <w:color w:val="auto"/>
              </w:rPr>
              <w:t>FINANCING ACTIVITIES:</w:t>
            </w: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600" w:type="dxa"/>
            <w:vAlign w:val="bottom"/>
          </w:tcPr>
          <w:p>
            <w:pPr>
              <w:spacing w:after="0"/>
              <w:rPr>
                <w:sz w:val="20"/>
                <w:szCs w:val="20"/>
                <w:color w:val="auto"/>
              </w:rPr>
            </w:pPr>
            <w:r>
              <w:rPr>
                <w:rFonts w:ascii="Arial" w:cs="Arial" w:eastAsia="Arial" w:hAnsi="Arial"/>
                <w:sz w:val="14"/>
                <w:szCs w:val="14"/>
                <w:color w:val="auto"/>
              </w:rPr>
              <w:t>Proceeds from issuance of long-term debt</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2,325,000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0" w:type="dxa"/>
            <w:vAlign w:val="bottom"/>
          </w:tcPr>
          <w:p>
            <w:pPr>
              <w:ind w:left="10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2,325,000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FF0FC"/>
          </w:tcPr>
          <w:p>
            <w:pPr>
              <w:spacing w:after="0" w:line="142" w:lineRule="exact"/>
              <w:rPr>
                <w:sz w:val="20"/>
                <w:szCs w:val="20"/>
                <w:color w:val="auto"/>
              </w:rPr>
            </w:pPr>
            <w:r>
              <w:rPr>
                <w:rFonts w:ascii="Arial" w:cs="Arial" w:eastAsia="Arial" w:hAnsi="Arial"/>
                <w:sz w:val="14"/>
                <w:szCs w:val="14"/>
                <w:color w:val="auto"/>
              </w:rPr>
              <w:t>Borrowings under Revolving Credit</w:t>
            </w: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6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Facility</w:t>
            </w: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207,953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ind w:left="10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207,953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00" w:type="dxa"/>
            <w:vAlign w:val="bottom"/>
          </w:tcPr>
          <w:p>
            <w:pPr>
              <w:spacing w:after="0"/>
              <w:rPr>
                <w:sz w:val="20"/>
                <w:szCs w:val="20"/>
                <w:color w:val="auto"/>
              </w:rPr>
            </w:pPr>
            <w:r>
              <w:rPr>
                <w:rFonts w:ascii="Arial" w:cs="Arial" w:eastAsia="Arial" w:hAnsi="Arial"/>
                <w:sz w:val="14"/>
                <w:szCs w:val="14"/>
                <w:color w:val="auto"/>
              </w:rPr>
              <w:t>Payments under long-term debt</w:t>
            </w:r>
          </w:p>
        </w:tc>
        <w:tc>
          <w:tcPr>
            <w:tcW w:w="14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(911,875)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0" w:type="dxa"/>
            <w:vAlign w:val="bottom"/>
          </w:tcPr>
          <w:p>
            <w:pPr>
              <w:ind w:left="10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(911,875)</w:t>
            </w:r>
          </w:p>
        </w:tc>
        <w:tc>
          <w:tcPr>
            <w:tcW w:w="0" w:type="dxa"/>
            <w:vAlign w:val="bottom"/>
          </w:tcPr>
          <w:p>
            <w:pPr>
              <w:spacing w:after="0"/>
              <w:rPr>
                <w:sz w:val="1"/>
                <w:szCs w:val="1"/>
                <w:color w:val="auto"/>
              </w:rPr>
            </w:pPr>
          </w:p>
        </w:tc>
      </w:tr>
      <w:tr>
        <w:trPr>
          <w:trHeight w:val="161"/>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Payments under Revolving Credit Facility</w:t>
            </w:r>
          </w:p>
        </w:tc>
        <w:tc>
          <w:tcPr>
            <w:tcW w:w="14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(236,953)</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ind w:left="10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(236,953)</w:t>
            </w:r>
          </w:p>
        </w:tc>
        <w:tc>
          <w:tcPr>
            <w:tcW w:w="0" w:type="dxa"/>
            <w:vAlign w:val="bottom"/>
          </w:tcPr>
          <w:p>
            <w:pPr>
              <w:spacing w:after="0"/>
              <w:rPr>
                <w:sz w:val="1"/>
                <w:szCs w:val="1"/>
                <w:color w:val="auto"/>
              </w:rPr>
            </w:pP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4"/>
                <w:szCs w:val="14"/>
                <w:color w:val="auto"/>
              </w:rPr>
              <w:t>Net proceeds from (payments to) related</w:t>
            </w: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600" w:type="dxa"/>
            <w:vAlign w:val="bottom"/>
          </w:tcPr>
          <w:p>
            <w:pPr>
              <w:ind w:left="120"/>
              <w:spacing w:after="0"/>
              <w:rPr>
                <w:sz w:val="20"/>
                <w:szCs w:val="20"/>
                <w:color w:val="auto"/>
              </w:rPr>
            </w:pPr>
            <w:r>
              <w:rPr>
                <w:rFonts w:ascii="Arial" w:cs="Arial" w:eastAsia="Arial" w:hAnsi="Arial"/>
                <w:sz w:val="14"/>
                <w:szCs w:val="14"/>
                <w:color w:val="auto"/>
              </w:rPr>
              <w:t>parties</w:t>
            </w: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72,011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(79,634)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7,623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ind w:left="10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Debt premium proceeds</w:t>
            </w: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27,500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600" w:type="dxa"/>
            <w:vAlign w:val="bottom"/>
          </w:tcPr>
          <w:p>
            <w:pPr>
              <w:spacing w:after="0"/>
              <w:rPr>
                <w:sz w:val="20"/>
                <w:szCs w:val="20"/>
                <w:color w:val="auto"/>
              </w:rPr>
            </w:pPr>
            <w:r>
              <w:rPr>
                <w:rFonts w:ascii="Arial" w:cs="Arial" w:eastAsia="Arial" w:hAnsi="Arial"/>
                <w:sz w:val="14"/>
                <w:szCs w:val="14"/>
                <w:color w:val="auto"/>
              </w:rPr>
              <w:t>Payments on other long-term payables</w:t>
            </w:r>
          </w:p>
        </w:tc>
        <w:tc>
          <w:tcPr>
            <w:tcW w:w="14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(172)</w:t>
            </w:r>
          </w:p>
        </w:tc>
        <w:tc>
          <w:tcPr>
            <w:tcW w:w="160" w:type="dxa"/>
            <w:vAlign w:val="bottom"/>
          </w:tcPr>
          <w:p>
            <w:pPr>
              <w:spacing w:after="0"/>
              <w:rPr>
                <w:sz w:val="13"/>
                <w:szCs w:val="13"/>
                <w:color w:val="auto"/>
              </w:rPr>
            </w:pPr>
          </w:p>
        </w:tc>
        <w:tc>
          <w:tcPr>
            <w:tcW w:w="1200" w:type="dxa"/>
            <w:vAlign w:val="bottom"/>
          </w:tcPr>
          <w:p>
            <w:pPr>
              <w:ind w:left="10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161"/>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Debt issuance costs</w:t>
            </w:r>
          </w:p>
        </w:tc>
        <w:tc>
          <w:tcPr>
            <w:tcW w:w="14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(51,526)</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ind w:left="10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(51,526)</w:t>
            </w:r>
          </w:p>
        </w:tc>
        <w:tc>
          <w:tcPr>
            <w:tcW w:w="0" w:type="dxa"/>
            <w:vAlign w:val="bottom"/>
          </w:tcPr>
          <w:p>
            <w:pPr>
              <w:spacing w:after="0"/>
              <w:rPr>
                <w:sz w:val="1"/>
                <w:szCs w:val="1"/>
                <w:color w:val="auto"/>
              </w:rPr>
            </w:pP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4"/>
                <w:szCs w:val="14"/>
                <w:color w:val="auto"/>
              </w:rPr>
              <w:t>Taxes paid related to net share settlement of</w:t>
            </w: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600" w:type="dxa"/>
            <w:vAlign w:val="bottom"/>
          </w:tcPr>
          <w:p>
            <w:pPr>
              <w:ind w:left="120"/>
              <w:spacing w:after="0"/>
              <w:rPr>
                <w:sz w:val="20"/>
                <w:szCs w:val="20"/>
                <w:color w:val="auto"/>
              </w:rPr>
            </w:pPr>
            <w:r>
              <w:rPr>
                <w:rFonts w:ascii="Arial" w:cs="Arial" w:eastAsia="Arial" w:hAnsi="Arial"/>
                <w:sz w:val="14"/>
                <w:szCs w:val="14"/>
                <w:color w:val="auto"/>
              </w:rPr>
              <w:t>equity awards</w:t>
            </w:r>
          </w:p>
        </w:tc>
        <w:tc>
          <w:tcPr>
            <w:tcW w:w="14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(11,365)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0" w:type="dxa"/>
            <w:vAlign w:val="bottom"/>
          </w:tcPr>
          <w:p>
            <w:pPr>
              <w:ind w:left="10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(11,365)</w:t>
            </w:r>
          </w:p>
        </w:tc>
        <w:tc>
          <w:tcPr>
            <w:tcW w:w="0" w:type="dxa"/>
            <w:vAlign w:val="bottom"/>
          </w:tcPr>
          <w:p>
            <w:pPr>
              <w:spacing w:after="0"/>
              <w:rPr>
                <w:sz w:val="1"/>
                <w:szCs w:val="1"/>
                <w:color w:val="auto"/>
              </w:rPr>
            </w:pPr>
          </w:p>
        </w:tc>
      </w:tr>
      <w:tr>
        <w:trPr>
          <w:trHeight w:val="161"/>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Proceeds from exercise of stock options</w:t>
            </w: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ind w:left="10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line="135" w:lineRule="exact"/>
              <w:rPr>
                <w:sz w:val="20"/>
                <w:szCs w:val="20"/>
                <w:color w:val="auto"/>
              </w:rPr>
            </w:pPr>
            <w:r>
              <w:rPr>
                <w:rFonts w:ascii="Arial" w:cs="Arial" w:eastAsia="Arial" w:hAnsi="Arial"/>
                <w:sz w:val="14"/>
                <w:szCs w:val="14"/>
                <w:color w:val="auto"/>
              </w:rPr>
              <w:t>Net cash provided by (used in)</w:t>
            </w: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600" w:type="dxa"/>
            <w:vAlign w:val="bottom"/>
          </w:tcPr>
          <w:p>
            <w:pPr>
              <w:ind w:left="120"/>
              <w:spacing w:after="0"/>
              <w:rPr>
                <w:sz w:val="20"/>
                <w:szCs w:val="20"/>
                <w:color w:val="auto"/>
              </w:rPr>
            </w:pPr>
            <w:r>
              <w:rPr>
                <w:rFonts w:ascii="Arial" w:cs="Arial" w:eastAsia="Arial" w:hAnsi="Arial"/>
                <w:sz w:val="14"/>
                <w:szCs w:val="14"/>
                <w:color w:val="auto"/>
              </w:rPr>
              <w:t>financing activities</w:t>
            </w: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1,423,602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(79,952)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7,451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ind w:left="10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1,351,101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600" w:type="dxa"/>
            <w:vAlign w:val="bottom"/>
            <w:tcBorders>
              <w:top w:val="single" w:sz="8" w:color="CFF0FC"/>
            </w:tcBorders>
            <w:shd w:val="clear" w:color="auto" w:fill="CFF0FC"/>
          </w:tcPr>
          <w:p>
            <w:pPr>
              <w:spacing w:after="0" w:line="135" w:lineRule="exact"/>
              <w:rPr>
                <w:sz w:val="20"/>
                <w:szCs w:val="20"/>
                <w:color w:val="auto"/>
              </w:rPr>
            </w:pPr>
            <w:r>
              <w:rPr>
                <w:rFonts w:ascii="Arial" w:cs="Arial" w:eastAsia="Arial" w:hAnsi="Arial"/>
                <w:sz w:val="14"/>
                <w:szCs w:val="14"/>
                <w:color w:val="auto"/>
              </w:rPr>
              <w:t>Increase in cash, cash equivalents and</w:t>
            </w:r>
          </w:p>
        </w:tc>
        <w:tc>
          <w:tcPr>
            <w:tcW w:w="14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6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restricted cash</w:t>
            </w: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12,422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56,786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15,098</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ind w:left="10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84,306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4"/>
                <w:szCs w:val="14"/>
                <w:color w:val="auto"/>
              </w:rPr>
              <w:t>Cash, cash equivalents and restricted</w:t>
            </w: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600" w:type="dxa"/>
            <w:vAlign w:val="bottom"/>
            <w:tcBorders>
              <w:bottom w:val="single" w:sz="8" w:color="CFF0FC"/>
            </w:tcBorders>
          </w:tcPr>
          <w:p>
            <w:pPr>
              <w:ind w:left="120"/>
              <w:spacing w:after="0"/>
              <w:rPr>
                <w:sz w:val="20"/>
                <w:szCs w:val="20"/>
                <w:color w:val="auto"/>
              </w:rPr>
            </w:pPr>
            <w:r>
              <w:rPr>
                <w:rFonts w:ascii="Arial" w:cs="Arial" w:eastAsia="Arial" w:hAnsi="Arial"/>
                <w:sz w:val="14"/>
                <w:szCs w:val="14"/>
                <w:color w:val="auto"/>
              </w:rPr>
              <w:t>cash, beginning of period</w:t>
            </w: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1,409</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61,633</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104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63,443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600" w:type="dxa"/>
            <w:vAlign w:val="bottom"/>
            <w:shd w:val="clear" w:color="auto" w:fill="CFF0FC"/>
          </w:tcPr>
          <w:p>
            <w:pPr>
              <w:spacing w:after="0" w:line="135" w:lineRule="exact"/>
              <w:rPr>
                <w:sz w:val="20"/>
                <w:szCs w:val="20"/>
                <w:color w:val="auto"/>
              </w:rPr>
            </w:pPr>
            <w:r>
              <w:rPr>
                <w:rFonts w:ascii="Arial" w:cs="Arial" w:eastAsia="Arial" w:hAnsi="Arial"/>
                <w:sz w:val="14"/>
                <w:szCs w:val="14"/>
                <w:color w:val="auto"/>
              </w:rPr>
              <w:t>Cash, cash equivalents and restricted</w:t>
            </w: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6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cash, end of period</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13,831</w:t>
            </w:r>
          </w:p>
        </w:tc>
        <w:tc>
          <w:tcPr>
            <w:tcW w:w="14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118,419</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15,499</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ind w:left="1040"/>
              <w:spacing w:after="0"/>
              <w:rPr>
                <w:sz w:val="20"/>
                <w:szCs w:val="20"/>
                <w:color w:val="auto"/>
              </w:rPr>
            </w:pPr>
            <w:r>
              <w:rPr>
                <w:rFonts w:ascii="Arial" w:cs="Arial" w:eastAsia="Arial" w:hAnsi="Arial"/>
                <w:sz w:val="14"/>
                <w:szCs w:val="14"/>
                <w:color w:val="auto"/>
                <w:w w:val="99"/>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147,749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80" w:type="dxa"/>
            <w:vAlign w:val="bottom"/>
            <w:gridSpan w:val="13"/>
            <w:shd w:val="clear" w:color="auto" w:fill="CFF0FC"/>
          </w:tcPr>
          <w:p>
            <w:pPr>
              <w:spacing w:after="0" w:line="142" w:lineRule="exact"/>
              <w:rPr>
                <w:sz w:val="20"/>
                <w:szCs w:val="20"/>
                <w:color w:val="auto"/>
              </w:rPr>
            </w:pPr>
            <w:r>
              <w:rPr>
                <w:rFonts w:ascii="Arial" w:cs="Arial" w:eastAsia="Arial" w:hAnsi="Arial"/>
                <w:sz w:val="14"/>
                <w:szCs w:val="14"/>
                <w:color w:val="auto"/>
                <w:w w:val="98"/>
              </w:rPr>
              <w:t>RECONCILIATION OF CASH, CASH EQUIVALENTS AND RESTRICTED CASH TO AMOUNTS REPORTED WITHIN THE CONDENSED</w:t>
            </w:r>
          </w:p>
        </w:tc>
        <w:tc>
          <w:tcPr>
            <w:tcW w:w="1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6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CONSOLIDATED BALANCE SHEETS:</w:t>
            </w: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60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ind w:right="24"/>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13,202</w:t>
            </w:r>
          </w:p>
        </w:tc>
        <w:tc>
          <w:tcPr>
            <w:tcW w:w="14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114,925</w:t>
            </w:r>
          </w:p>
        </w:tc>
        <w:tc>
          <w:tcPr>
            <w:tcW w:w="14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6,469</w:t>
            </w:r>
          </w:p>
        </w:tc>
        <w:tc>
          <w:tcPr>
            <w:tcW w:w="240" w:type="dxa"/>
            <w:vAlign w:val="bottom"/>
          </w:tcPr>
          <w:p>
            <w:pPr>
              <w:spacing w:after="0"/>
              <w:rPr>
                <w:sz w:val="20"/>
                <w:szCs w:val="20"/>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200" w:type="dxa"/>
            <w:vAlign w:val="bottom"/>
          </w:tcPr>
          <w:p>
            <w:pPr>
              <w:ind w:left="1040"/>
              <w:spacing w:after="0"/>
              <w:rPr>
                <w:sz w:val="20"/>
                <w:szCs w:val="20"/>
                <w:color w:val="auto"/>
              </w:rPr>
            </w:pPr>
            <w:r>
              <w:rPr>
                <w:rFonts w:ascii="Arial" w:cs="Arial" w:eastAsia="Arial" w:hAnsi="Arial"/>
                <w:sz w:val="14"/>
                <w:szCs w:val="14"/>
                <w:color w:val="auto"/>
                <w:w w:val="99"/>
              </w:rPr>
              <w:t>—</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134,596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Restricted cash</w:t>
            </w: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629</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2,495</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ind w:left="10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3,267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4"/>
                <w:szCs w:val="14"/>
                <w:color w:val="auto"/>
              </w:rPr>
              <w:t>Restricted cash included in other noncurrent</w:t>
            </w: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600" w:type="dxa"/>
            <w:vAlign w:val="bottom"/>
          </w:tcPr>
          <w:p>
            <w:pPr>
              <w:ind w:left="120"/>
              <w:spacing w:after="0"/>
              <w:rPr>
                <w:sz w:val="20"/>
                <w:szCs w:val="20"/>
                <w:color w:val="auto"/>
              </w:rPr>
            </w:pPr>
            <w:r>
              <w:rPr>
                <w:rFonts w:ascii="Arial" w:cs="Arial" w:eastAsia="Arial" w:hAnsi="Arial"/>
                <w:sz w:val="14"/>
                <w:szCs w:val="14"/>
                <w:color w:val="auto"/>
              </w:rPr>
              <w:t>assets</w:t>
            </w:r>
          </w:p>
        </w:tc>
        <w:tc>
          <w:tcPr>
            <w:tcW w:w="14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999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8,887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ind w:left="10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9,886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600" w:type="dxa"/>
            <w:vAlign w:val="bottom"/>
            <w:tcBorders>
              <w:top w:val="single" w:sz="8" w:color="CFF0FC"/>
            </w:tcBorders>
            <w:shd w:val="clear" w:color="auto" w:fill="CFF0FC"/>
          </w:tcPr>
          <w:p>
            <w:pPr>
              <w:spacing w:after="0" w:line="135" w:lineRule="exact"/>
              <w:rPr>
                <w:sz w:val="20"/>
                <w:szCs w:val="20"/>
                <w:color w:val="auto"/>
              </w:rPr>
            </w:pPr>
            <w:r>
              <w:rPr>
                <w:rFonts w:ascii="Arial" w:cs="Arial" w:eastAsia="Arial" w:hAnsi="Arial"/>
                <w:sz w:val="14"/>
                <w:szCs w:val="14"/>
                <w:color w:val="auto"/>
              </w:rPr>
              <w:t>Total cash, cash equivalents and restricted</w:t>
            </w:r>
          </w:p>
        </w:tc>
        <w:tc>
          <w:tcPr>
            <w:tcW w:w="14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6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cash</w:t>
            </w:r>
          </w:p>
        </w:tc>
        <w:tc>
          <w:tcPr>
            <w:tcW w:w="140" w:type="dxa"/>
            <w:vAlign w:val="bottom"/>
            <w:shd w:val="clear" w:color="auto" w:fill="CFF0FC"/>
          </w:tcPr>
          <w:p>
            <w:pPr>
              <w:jc w:val="right"/>
              <w:ind w:right="24"/>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13,831</w:t>
            </w:r>
          </w:p>
        </w:tc>
        <w:tc>
          <w:tcPr>
            <w:tcW w:w="14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118,419</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15,499</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ind w:left="1040"/>
              <w:spacing w:after="0"/>
              <w:rPr>
                <w:sz w:val="20"/>
                <w:szCs w:val="20"/>
                <w:color w:val="auto"/>
              </w:rPr>
            </w:pPr>
            <w:r>
              <w:rPr>
                <w:rFonts w:ascii="Arial" w:cs="Arial" w:eastAsia="Arial" w:hAnsi="Arial"/>
                <w:sz w:val="14"/>
                <w:szCs w:val="14"/>
                <w:color w:val="auto"/>
                <w:w w:val="99"/>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147,749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Pending Acquisitions and Divestitures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Caesars Entertainment Corporation</w:t>
      </w:r>
    </w:p>
    <w:p>
      <w:pPr>
        <w:spacing w:after="0" w:line="128" w:lineRule="exact"/>
        <w:rPr>
          <w:sz w:val="20"/>
          <w:szCs w:val="20"/>
          <w:color w:val="auto"/>
        </w:rPr>
      </w:pPr>
    </w:p>
    <w:p>
      <w:pPr>
        <w:ind w:firstLine="555"/>
        <w:spacing w:after="0" w:line="251" w:lineRule="auto"/>
        <w:rPr>
          <w:sz w:val="20"/>
          <w:szCs w:val="20"/>
          <w:color w:val="auto"/>
        </w:rPr>
      </w:pPr>
      <w:r>
        <w:rPr>
          <w:rFonts w:ascii="Arial" w:cs="Arial" w:eastAsia="Arial" w:hAnsi="Arial"/>
          <w:sz w:val="18"/>
          <w:szCs w:val="18"/>
          <w:color w:val="auto"/>
        </w:rPr>
        <w:t>On June 24, 2019, the Company entered into an Agreement and Plan of Merger (as amended by Amendment No. 1 to Agreement and Plan of Merger, dated as of August 15, 2019, and as it may be further amended from time to time, the “Merger Agreement”) with Caesars Entertainment Corporation (“Caesars”) pursuant to which a wholly-owned subsidiary of the Company will merge with and into Caesars, with Caesars surviving as a wholly-owned subsidiary of the Company (the “Merger”). Based on the terms and subject to the conditions set forth in the Merger Agreement, the aggregate consideration payable by the Company in respect of outstanding shares of common stock of Caesars will be (a) an amount of cash equal to (i) the sum of (A) $8.40 plus (B) if applicable closing conditions set forth in the Merger Agreement are not satisfied by March 25, 2020, an amount equal to $0.003333 for each day from March 25, 2020 until the closing date of the Merger, multiplied by (ii) a number of shares of Caesars common stock equal to (A) 682,161,838 (which includes 8,271,660 shares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70">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147" w:name="page148"/>
    <w:bookmarkEnd w:id="147"/>
    <w:p>
      <w:pPr>
        <w:ind w:right="60"/>
        <w:spacing w:after="0" w:line="285" w:lineRule="auto"/>
        <w:rPr>
          <w:sz w:val="20"/>
          <w:szCs w:val="20"/>
          <w:color w:val="auto"/>
        </w:rPr>
      </w:pPr>
      <w:r>
        <w:rPr>
          <w:rFonts w:ascii="Arial" w:cs="Arial" w:eastAsia="Arial" w:hAnsi="Arial"/>
          <w:sz w:val="16"/>
          <w:szCs w:val="16"/>
          <w:color w:val="auto"/>
        </w:rPr>
        <w:t>being held in escrow trust to satisfy unsecured claims pursuant to the Third Amended Joint Plan of Reorganization, filed with the U.S. Bankruptcy Court for the Northern District of Illinois in Chicago on January 13, 2017, at Docket No. 6318, which shares are not entitled to vote) plus (B) the number of shares of Caesars common stock (the “Aggregate Caesars Share Amount”) issued after June 24, 2019 and prior to the effective time of the Merger pursuant to the exercise of certain equity awards issued under Caesars stock plans or conversion of Caesars’ outstanding convertible notes and (b) a number of shares of common stock of Eldorado equal to 0.0899 multiplied by the Aggregate Caesars Share Amount (such amount per share of Caesars common stock, the “Merger Consideration”). Based on the number of shares of ERI and Caesars outstanding as of December 31, 2019, following the consummation of the Merger (assuming that all Caesars convertible notes are converted immediately following consummation of the Merger into $8.40 in cash (plus any cash constituting Merger Consideration that may become payable after March 25, 2020) and 0.0899 shares of common stock of Eldorado for each share of Caesars common stock into which such Caesars convertible notes were convertible immediately prior to the Merger), Eldorado and former Caesars stockholders will hold approximately 50.5% and 49.5%, respectively, of the combined company's outstanding shares of common stock.</w:t>
      </w:r>
    </w:p>
    <w:p>
      <w:pPr>
        <w:spacing w:after="0" w:line="210" w:lineRule="exact"/>
        <w:rPr>
          <w:sz w:val="20"/>
          <w:szCs w:val="20"/>
          <w:color w:val="auto"/>
        </w:rPr>
      </w:pPr>
    </w:p>
    <w:p>
      <w:pPr>
        <w:ind w:right="240" w:firstLine="555"/>
        <w:spacing w:after="0" w:line="271" w:lineRule="auto"/>
        <w:rPr>
          <w:sz w:val="20"/>
          <w:szCs w:val="20"/>
          <w:color w:val="auto"/>
        </w:rPr>
      </w:pPr>
      <w:r>
        <w:rPr>
          <w:rFonts w:ascii="Arial" w:cs="Arial" w:eastAsia="Arial" w:hAnsi="Arial"/>
          <w:sz w:val="18"/>
          <w:szCs w:val="18"/>
          <w:color w:val="auto"/>
        </w:rPr>
        <w:t>The Merger Agreement contains customary representations and warranties by each of Caesars and Eldorado, and each party has agreed to customary covenants.</w:t>
      </w:r>
    </w:p>
    <w:p>
      <w:pPr>
        <w:spacing w:after="0" w:line="202" w:lineRule="exact"/>
        <w:rPr>
          <w:sz w:val="20"/>
          <w:szCs w:val="20"/>
          <w:color w:val="auto"/>
        </w:rPr>
      </w:pPr>
    </w:p>
    <w:p>
      <w:pPr>
        <w:ind w:right="20" w:firstLine="555"/>
        <w:spacing w:after="0" w:line="283" w:lineRule="auto"/>
        <w:rPr>
          <w:sz w:val="20"/>
          <w:szCs w:val="20"/>
          <w:color w:val="auto"/>
        </w:rPr>
      </w:pPr>
      <w:r>
        <w:rPr>
          <w:rFonts w:ascii="Arial" w:cs="Arial" w:eastAsia="Arial" w:hAnsi="Arial"/>
          <w:sz w:val="16"/>
          <w:szCs w:val="16"/>
          <w:color w:val="auto"/>
        </w:rPr>
        <w:t>The Merger Agreement also contains termination rights for each of Caesars and Eldorado under certain circumstances. If the Merger Agreement is terminated in certain circumstances relating to changes in the recommendation of the board of directors of Caesars in favor of the Merger, entry by Caesars into an alternative transaction or in certain circumstances following the failure of Caesars stockholders to approve the Merger, Caesars will be required to pay Eldorado a termination fee of approximately $418.4 million. The Merger Agreement provides that if it is terminated in certain circumstances relating to changes in the recommendation of the board of directors of Eldorado in favor of the issuance of shares of Eldorado common stock in the Merger or in certain circumstances following the failure of Eldorado stockholders to approve such issuance, then Eldorado will be required to pay Caesars a termination fee of approximately $154.9 million. It also provides that each party will be obligated to reimburse the other party’s expenses for an amount not to exceed $50.0 million if the Merger Agreement is terminated because of the failure to obtain the required approval of such party’s stockholders (creditable against any termination fee that may subsequently be paid by such party). The Merger Agreement also provides that Eldorado will be obligated to pay a termination fee of approximately $836.8 million to Caesars if the Merger Agreement is terminated (i) due to a law or order relating to gaming or antitrust laws that prohibits or permanently enjoins the consummation of the transactions, (ii) because the required regulatory approvals were not obtained prior to June 24, 2020 (subject to extension to a date no later than December 24, 2020 pursuant to the Merger Agreement) or (iii) due to Eldorado willfully and materially breaching certain obligations with respect to the actions required to be taken by Eldorado to obtain required antitrust approvals.</w:t>
      </w:r>
    </w:p>
    <w:p>
      <w:pPr>
        <w:spacing w:after="0" w:line="217" w:lineRule="exact"/>
        <w:rPr>
          <w:sz w:val="20"/>
          <w:szCs w:val="20"/>
          <w:color w:val="auto"/>
        </w:rPr>
      </w:pPr>
    </w:p>
    <w:p>
      <w:pPr>
        <w:ind w:firstLine="555"/>
        <w:spacing w:after="0" w:line="285" w:lineRule="auto"/>
        <w:rPr>
          <w:sz w:val="20"/>
          <w:szCs w:val="20"/>
          <w:color w:val="auto"/>
        </w:rPr>
      </w:pPr>
      <w:r>
        <w:rPr>
          <w:rFonts w:ascii="Arial" w:cs="Arial" w:eastAsia="Arial" w:hAnsi="Arial"/>
          <w:sz w:val="16"/>
          <w:szCs w:val="16"/>
          <w:color w:val="auto"/>
        </w:rPr>
        <w:t>Consummation of the Merger is subject to the satisfaction or waiver of certain conditions, including, among others, (1) the expiration or termination of any applicable waiting period under the HSR Act, and receipt of required gaming approvals, (2) the absence of any governmental order or law prohibiting the consummation of the Merger, (3) adoption of the Merger Agreement by holders of a majority of the outstanding shares of Caesars common stock, (4) the approval of the issuance of shares of Eldorado common stock in the Merger, (5) the effectiveness of the registration statement for Eldorado common stock to be issued in the Merger and the authorization for listing of those shares on the Nasdaq Stock Market, (6) absence of a material adverse effect on the other party, (7) the accuracy of the other party’s representations and warranties, subject to customary materiality standards, (8) compliance of the other party with its respective covenants under the Merger Agreement in all material respects and (9) conversion or certain amendments of, or another mutually agreed arrangement with respect to, Caesars’ 5.00% convertible senior notes due 2024. Caesars’ stockholders adopted the Merger Agreement, and the Company’s stockholders approved the issues of shares of Eldorado common stock in the Merger, at separate special meetings of stockholders on November 15, 2019. In addition, on November 27, 2019, Caesars entered into certain amendments with respect to Caesars’ 5.00% convertible senior notes due 2024.</w:t>
      </w:r>
    </w:p>
    <w:p>
      <w:pPr>
        <w:spacing w:after="0" w:line="210" w:lineRule="exact"/>
        <w:rPr>
          <w:sz w:val="20"/>
          <w:szCs w:val="20"/>
          <w:color w:val="auto"/>
        </w:rPr>
      </w:pPr>
    </w:p>
    <w:p>
      <w:pPr>
        <w:ind w:firstLine="555"/>
        <w:spacing w:after="0" w:line="251" w:lineRule="auto"/>
        <w:rPr>
          <w:sz w:val="20"/>
          <w:szCs w:val="20"/>
          <w:color w:val="auto"/>
        </w:rPr>
      </w:pPr>
      <w:r>
        <w:rPr>
          <w:rFonts w:ascii="Arial" w:cs="Arial" w:eastAsia="Arial" w:hAnsi="Arial"/>
          <w:sz w:val="18"/>
          <w:szCs w:val="18"/>
          <w:color w:val="auto"/>
        </w:rPr>
        <w:t>In connection with the execution of the Merger Agreement, on June 24, 2019, the Company entered into a debt financing commitment letter (the “Initial Commitment Letter”) and related fee letters with JPMorgan Chase Bank, N.A., Credit Suisse AG, Cayman Islands Branch, Credit Suisse Loan Funding LLC, Macquarie Capital (USA) Inc. and Macquarie Capital Funding LLC (the “Initial Commitment Parties”). On July 19, 2019, the Company entered into an amended and restated commitment letter (as amended, the “A&amp;R Commitment Letter”) and related fee letters, which amended and restated the Initial Commitment Letter and related fee letters in their entirety to, among other things, add additional arrangers and lenders, including Bank of America, N.A., BofA Securities, Inc., Deutsche Bank Securities Inc., Deutsche Bank AG New York Branch, Deutsche Bank AG Cayman Islands Branch, Goldman Sachs Bank USA, SunTrust Bank, SunTrust Robinson Humphrey, Inc., U.S. Bank National Association, KeyBank National Association, KeyBanc Capital Markets Inc., Fifth Third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1">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48" w:name="page149"/>
    <w:bookmarkEnd w:id="148"/>
    <w:p>
      <w:pPr>
        <w:spacing w:after="0" w:line="267" w:lineRule="auto"/>
        <w:rPr>
          <w:sz w:val="20"/>
          <w:szCs w:val="20"/>
          <w:color w:val="auto"/>
        </w:rPr>
      </w:pPr>
      <w:r>
        <w:rPr>
          <w:rFonts w:ascii="Arial" w:cs="Arial" w:eastAsia="Arial" w:hAnsi="Arial"/>
          <w:sz w:val="17"/>
          <w:szCs w:val="17"/>
          <w:color w:val="auto"/>
        </w:rPr>
        <w:t>Bank, and Citizens Bank, National Association (together with the Initial Commitment Parties, collectively, the “Commitment Parties”). Pursuant to the A&amp;R Commitment Letter, the Commitment Parties committed to arrange and provide (i) the Company with: (w) a $1,000.0 million senior secured revolving credit facility, (x) a $3,000.0 million senior secured term loan B facility, (y) a $3,250.0 million senior secured 364-day bridge facility and (z) a $1,800.0 million senior unsecured bridge loan facility and (ii) Caesars Resort Collection, LLC, a subsidiary of Caesars, with a $2,400.0 million senior secured incremental term loan B facility (collectively, the “Debt Financing”). The proceeds of the Debt Financing will be used (a) to pay all or a portion of the cash consideration payable in the Merger, (b) to refinance all of the Company’s existing syndicated bank credit facilities and outstanding senior notes, (c) to refinance certain of Caesars’ and its subsidiaries’ existing debt, (d) to pay transaction fees and expenses related to the Merger and related transactions and (e) for working capital and general corporate purposes. The availability of the borrowings under the Debt Financing is subject to the satisfaction of certain customary conditions including the substantially concurrent closing of the Merger.</w:t>
      </w:r>
    </w:p>
    <w:p>
      <w:pPr>
        <w:spacing w:after="0" w:line="211" w:lineRule="exact"/>
        <w:rPr>
          <w:sz w:val="20"/>
          <w:szCs w:val="20"/>
          <w:color w:val="auto"/>
        </w:rPr>
      </w:pPr>
    </w:p>
    <w:p>
      <w:pPr>
        <w:ind w:right="40" w:firstLine="555"/>
        <w:spacing w:after="0" w:line="252" w:lineRule="auto"/>
        <w:rPr>
          <w:sz w:val="20"/>
          <w:szCs w:val="20"/>
          <w:color w:val="auto"/>
        </w:rPr>
      </w:pPr>
      <w:r>
        <w:rPr>
          <w:rFonts w:ascii="Arial" w:cs="Arial" w:eastAsia="Arial" w:hAnsi="Arial"/>
          <w:sz w:val="18"/>
          <w:szCs w:val="18"/>
          <w:color w:val="auto"/>
        </w:rPr>
        <w:t>On July 19, 2019, the Company entered into a commitment and engagement letter (as amended, the “Increase Commitment Letter”) and related fee letters to, if elected by the Company, increase the total size of the Debt Financing, including an increase to the senior secured term loan B facility to be arranged on a commercially reasonable efforts basis by the Commitment Parties in an amount to be agreed upon by the parties and an increase to the revolving credit facility by $830.0 million, the proceeds of which, if the Company elects to incur such financing, may be used to refinance certain existing indebtedness of Caesars Resort Collection, LLC and its subsidiaries and for working capital and general corporate purposes upon consummation of the Merger. The Increase Commitment Letter and a related engagement letter also contemplate the possibility of new senior secured and/or senior unsecured notes to be issued by the Company.</w:t>
      </w:r>
    </w:p>
    <w:p>
      <w:pPr>
        <w:spacing w:after="0" w:line="232" w:lineRule="exact"/>
        <w:rPr>
          <w:sz w:val="20"/>
          <w:szCs w:val="20"/>
          <w:color w:val="auto"/>
        </w:rPr>
      </w:pPr>
    </w:p>
    <w:p>
      <w:pPr>
        <w:ind w:right="20" w:firstLine="555"/>
        <w:spacing w:after="0" w:line="284" w:lineRule="auto"/>
        <w:rPr>
          <w:sz w:val="20"/>
          <w:szCs w:val="20"/>
          <w:color w:val="auto"/>
        </w:rPr>
      </w:pPr>
      <w:r>
        <w:rPr>
          <w:rFonts w:ascii="Arial" w:cs="Arial" w:eastAsia="Arial" w:hAnsi="Arial"/>
          <w:sz w:val="16"/>
          <w:szCs w:val="16"/>
          <w:color w:val="auto"/>
        </w:rPr>
        <w:t>In connection with the execution of the Merger Agreement, on June 24, 2019, the Company entered into the MTA with VICI, pursuant to which, among other things, the Company has agreed, subject to the consummation of the Merger and the other applicable conditions set forth therein and in any related documents, (i) through one or more of its subsidiaries (after giving effect to the Merger) to consummate one or more sale and leaseback transactions with VICI and/or its affiliates with respect to certain property described in the MTA, including Harrah’s New Orleans, Harrah’s Laughlin and Harrah’s Atlantic City (or, under certain circumstances, if necessary, certain replacement properties specified in the MTA), (ii) through one or more of its subsidiaries (after giving effect to the Merger) to amend the CPLV Lease, the Non-CPLV Lease and the Joliet Lease (each as defined in the MTA) in accordance with the terms of the MTA and receive certain consideration from VICI or its affiliates in respect thereof, (iii) to provide a guaranty in respect of each of the CPLV Lease, the Non-CPLV Lease and the Joliet Lease in accordance with the terms of the MTA, (iv) to enter into (or cause its applicable subsidiaries (after giving effect to the Merger) to enter into) certain right of first refusal agreements and a put-call right agreement in accordance with the terms of the MTA and (v) to undertake certain related transactions in connection with or related to the foregoing. The Company expects to apply the proceeds of the VICI transactions to pay a portion of the cash consideration payable in the Merger and transaction expenses associated with the Merger and related transactions.</w:t>
      </w:r>
    </w:p>
    <w:p>
      <w:pPr>
        <w:spacing w:after="0" w:line="214" w:lineRule="exact"/>
        <w:rPr>
          <w:sz w:val="20"/>
          <w:szCs w:val="20"/>
          <w:color w:val="auto"/>
        </w:rPr>
      </w:pPr>
    </w:p>
    <w:p>
      <w:pPr>
        <w:ind w:right="100" w:firstLine="555"/>
        <w:spacing w:after="0" w:line="335" w:lineRule="auto"/>
        <w:rPr>
          <w:sz w:val="20"/>
          <w:szCs w:val="20"/>
          <w:color w:val="auto"/>
        </w:rPr>
      </w:pPr>
      <w:r>
        <w:rPr>
          <w:rFonts w:ascii="Arial" w:cs="Arial" w:eastAsia="Arial" w:hAnsi="Arial"/>
          <w:sz w:val="16"/>
          <w:szCs w:val="16"/>
          <w:color w:val="auto"/>
        </w:rPr>
        <w:t>On September 26, 2019, the Company and VICI entered into definitive Purchase and Sale Agreements to effect the purchase and sale of Harrah’s New Orleans, Harrah’s Laughlin and Harrah’s Atlantic City in connection with the transactions described in clause (i) of the preceding paragraph.</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expects that the Merger and related transactions will be consummated in the first half of 2020.</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Maverick Gaming LLC</w:t>
      </w:r>
    </w:p>
    <w:p>
      <w:pPr>
        <w:spacing w:after="0" w:line="128" w:lineRule="exact"/>
        <w:rPr>
          <w:sz w:val="20"/>
          <w:szCs w:val="20"/>
          <w:color w:val="auto"/>
        </w:rPr>
      </w:pPr>
    </w:p>
    <w:p>
      <w:pPr>
        <w:ind w:right="200" w:firstLine="555"/>
        <w:spacing w:after="0" w:line="271" w:lineRule="auto"/>
        <w:rPr>
          <w:sz w:val="20"/>
          <w:szCs w:val="20"/>
          <w:color w:val="auto"/>
        </w:rPr>
      </w:pPr>
      <w:r>
        <w:rPr>
          <w:rFonts w:ascii="Arial" w:cs="Arial" w:eastAsia="Arial" w:hAnsi="Arial"/>
          <w:sz w:val="18"/>
          <w:szCs w:val="18"/>
          <w:color w:val="auto"/>
        </w:rPr>
        <w:t>On January 13, 2020, we entered into a definitive agreement to sell Eldorado Resort Casino Shreveport for cash consideration of approximately $230 million, subject to a working capital adjustment.</w:t>
      </w:r>
    </w:p>
    <w:p>
      <w:pPr>
        <w:spacing w:after="0" w:line="215" w:lineRule="exact"/>
        <w:rPr>
          <w:sz w:val="20"/>
          <w:szCs w:val="20"/>
          <w:color w:val="auto"/>
        </w:rPr>
      </w:pPr>
    </w:p>
    <w:p>
      <w:pPr>
        <w:ind w:right="480" w:firstLine="555"/>
        <w:spacing w:after="0" w:line="271" w:lineRule="auto"/>
        <w:rPr>
          <w:sz w:val="20"/>
          <w:szCs w:val="20"/>
          <w:color w:val="auto"/>
        </w:rPr>
      </w:pPr>
      <w:r>
        <w:rPr>
          <w:rFonts w:ascii="Arial" w:cs="Arial" w:eastAsia="Arial" w:hAnsi="Arial"/>
          <w:sz w:val="18"/>
          <w:szCs w:val="18"/>
          <w:color w:val="auto"/>
        </w:rPr>
        <w:t>The definitive agreement provides that the consummation of the sale is subject to receipt of required regulatory approvals, the prior or concurrent closing of the Merger and other customary conditions. The transaction is expected to close in 2020.</w:t>
      </w:r>
    </w:p>
    <w:p>
      <w:pPr>
        <w:spacing w:after="0" w:line="202"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Eldorado Shreveport met the requirements for presentation as assets held for sale under generally accepted accounting principles as of January 13, 2020 and is not presented as assets held for sale as of the year ended December 31, 2019. Additionally, it did not meet the requirements for presentation as discontinued operations and will be included in income from continuing operations.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72">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Note 23. Quarterly Data (Unaudited)</w:t>
      </w:r>
    </w:p>
    <w:p>
      <w:pPr>
        <w:spacing w:after="0" w:line="118" w:lineRule="exact"/>
        <w:rPr>
          <w:sz w:val="20"/>
          <w:szCs w:val="20"/>
          <w:color w:val="auto"/>
        </w:rPr>
      </w:pPr>
    </w:p>
    <w:p>
      <w:pPr>
        <w:ind w:right="380" w:firstLine="555"/>
        <w:spacing w:after="0" w:line="307" w:lineRule="auto"/>
        <w:rPr>
          <w:sz w:val="20"/>
          <w:szCs w:val="20"/>
          <w:color w:val="auto"/>
        </w:rPr>
      </w:pPr>
      <w:r>
        <w:rPr>
          <w:rFonts w:ascii="Arial" w:cs="Arial" w:eastAsia="Arial" w:hAnsi="Arial"/>
          <w:sz w:val="16"/>
          <w:szCs w:val="16"/>
          <w:color w:val="auto"/>
        </w:rPr>
        <w:t>The following table sets forth certain consolidated quarterly financial information for the years ended December 31, 2019, 2018 and 2017. The quarterly information only includes the operations of Elgin from the Elgin Acquisition date through December 31, 2019, operations of Tropicana from the Tropicana Acquisition date through December 31, 2019 and operations of Isle from the Isle Acquisition Date through December 31, 2019.</w:t>
      </w:r>
    </w:p>
    <w:p>
      <w:pPr>
        <w:spacing w:after="0" w:line="222" w:lineRule="exact"/>
        <w:rPr>
          <w:sz w:val="20"/>
          <w:szCs w:val="20"/>
          <w:color w:val="auto"/>
        </w:rPr>
      </w:pPr>
    </w:p>
    <w:tbl>
      <w:tblPr>
        <w:tblLayout w:type="fixed"/>
        <w:tblInd w:w="30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jc w:val="right"/>
              <w:ind w:right="933"/>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54"/>
        </w:trPr>
        <w:tc>
          <w:tcPr>
            <w:tcW w:w="4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93"/>
              <w:spacing w:after="0" w:line="154" w:lineRule="exact"/>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74"/>
              <w:spacing w:after="0" w:line="154" w:lineRule="exact"/>
              <w:rPr>
                <w:sz w:val="20"/>
                <w:szCs w:val="20"/>
                <w:color w:val="auto"/>
              </w:rPr>
            </w:pPr>
            <w:r>
              <w:rPr>
                <w:rFonts w:ascii="Arial" w:cs="Arial" w:eastAsia="Arial" w:hAnsi="Arial"/>
                <w:sz w:val="14"/>
                <w:szCs w:val="14"/>
                <w:b w:val="1"/>
                <w:bCs w:val="1"/>
                <w:color w:val="auto"/>
              </w:rPr>
              <w:t>June 30,</w:t>
            </w: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93"/>
              <w:spacing w:after="0" w:line="154"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13"/>
              <w:spacing w:after="0" w:line="154" w:lineRule="exact"/>
              <w:rPr>
                <w:sz w:val="20"/>
                <w:szCs w:val="20"/>
                <w:color w:val="auto"/>
              </w:rPr>
            </w:pPr>
            <w:r>
              <w:rPr>
                <w:rFonts w:ascii="Arial" w:cs="Arial" w:eastAsia="Arial" w:hAnsi="Arial"/>
                <w:sz w:val="14"/>
                <w:szCs w:val="14"/>
                <w:b w:val="1"/>
                <w:bCs w:val="1"/>
                <w:color w:val="auto"/>
                <w:w w:val="94"/>
              </w:rPr>
              <w:t>December 31,</w:t>
            </w:r>
          </w:p>
        </w:tc>
      </w:tr>
      <w:tr>
        <w:trPr>
          <w:trHeight w:val="154"/>
        </w:trPr>
        <w:tc>
          <w:tcPr>
            <w:tcW w:w="4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0" w:type="dxa"/>
            <w:vAlign w:val="bottom"/>
            <w:gridSpan w:val="4"/>
          </w:tcPr>
          <w:p>
            <w:pPr>
              <w:jc w:val="right"/>
              <w:spacing w:after="0" w:line="154" w:lineRule="exact"/>
              <w:rPr>
                <w:sz w:val="20"/>
                <w:szCs w:val="20"/>
                <w:color w:val="auto"/>
              </w:rPr>
            </w:pPr>
            <w:r>
              <w:rPr>
                <w:rFonts w:ascii="Arial" w:cs="Arial" w:eastAsia="Arial" w:hAnsi="Arial"/>
                <w:sz w:val="14"/>
                <w:szCs w:val="14"/>
                <w:b w:val="1"/>
                <w:bCs w:val="1"/>
                <w:color w:val="auto"/>
                <w:w w:val="90"/>
              </w:rPr>
              <w:t>(Dollars in thousands, except per share amounts)</w:t>
            </w: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1"/>
        </w:trPr>
        <w:tc>
          <w:tcPr>
            <w:tcW w:w="44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2019:</w:t>
            </w: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r>
      <w:tr>
        <w:trPr>
          <w:trHeight w:val="227"/>
        </w:trPr>
        <w:tc>
          <w:tcPr>
            <w:tcW w:w="4460" w:type="dxa"/>
            <w:vAlign w:val="bottom"/>
          </w:tcPr>
          <w:p>
            <w:pPr>
              <w:spacing w:after="0"/>
              <w:rPr>
                <w:sz w:val="20"/>
                <w:szCs w:val="20"/>
                <w:color w:val="auto"/>
              </w:rPr>
            </w:pPr>
            <w:r>
              <w:rPr>
                <w:rFonts w:ascii="Arial" w:cs="Arial" w:eastAsia="Arial" w:hAnsi="Arial"/>
                <w:sz w:val="18"/>
                <w:szCs w:val="18"/>
                <w:color w:val="auto"/>
              </w:rPr>
              <w:t>Net revenues</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635,823</w:t>
            </w:r>
          </w:p>
        </w:tc>
        <w:tc>
          <w:tcPr>
            <w:tcW w:w="420" w:type="dxa"/>
            <w:vAlign w:val="bottom"/>
          </w:tcPr>
          <w:p>
            <w:pPr>
              <w:spacing w:after="0"/>
              <w:rPr>
                <w:sz w:val="19"/>
                <w:szCs w:val="19"/>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637,121</w:t>
            </w:r>
          </w:p>
        </w:tc>
        <w:tc>
          <w:tcPr>
            <w:tcW w:w="22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663,181</w:t>
            </w:r>
          </w:p>
        </w:tc>
        <w:tc>
          <w:tcPr>
            <w:tcW w:w="14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592,124</w:t>
            </w:r>
          </w:p>
        </w:tc>
      </w:tr>
      <w:tr>
        <w:trPr>
          <w:trHeight w:val="228"/>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533,248</w:t>
            </w: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525,691</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524,033</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497,780</w:t>
            </w:r>
          </w:p>
        </w:tc>
      </w:tr>
      <w:tr>
        <w:trPr>
          <w:trHeight w:val="227"/>
        </w:trPr>
        <w:tc>
          <w:tcPr>
            <w:tcW w:w="4460" w:type="dxa"/>
            <w:vAlign w:val="bottom"/>
          </w:tcPr>
          <w:p>
            <w:pPr>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123,604</w:t>
            </w:r>
          </w:p>
        </w:tc>
        <w:tc>
          <w:tcPr>
            <w:tcW w:w="420" w:type="dxa"/>
            <w:vAlign w:val="bottom"/>
          </w:tcPr>
          <w:p>
            <w:pPr>
              <w:spacing w:after="0"/>
              <w:rPr>
                <w:sz w:val="19"/>
                <w:szCs w:val="19"/>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102,550</w:t>
            </w:r>
          </w:p>
        </w:tc>
        <w:tc>
          <w:tcPr>
            <w:tcW w:w="22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124,907</w:t>
            </w:r>
          </w:p>
        </w:tc>
        <w:tc>
          <w:tcPr>
            <w:tcW w:w="14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58,912</w:t>
            </w:r>
          </w:p>
        </w:tc>
      </w:tr>
      <w:tr>
        <w:trPr>
          <w:trHeight w:val="228"/>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38,229</w:t>
            </w:r>
          </w:p>
        </w:tc>
        <w:tc>
          <w:tcPr>
            <w:tcW w:w="4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18,936</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37,055</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(13,219)</w:t>
            </w:r>
          </w:p>
        </w:tc>
      </w:tr>
      <w:tr>
        <w:trPr>
          <w:trHeight w:val="227"/>
        </w:trPr>
        <w:tc>
          <w:tcPr>
            <w:tcW w:w="4460" w:type="dxa"/>
            <w:vAlign w:val="bottom"/>
          </w:tcPr>
          <w:p>
            <w:pPr>
              <w:spacing w:after="0"/>
              <w:rPr>
                <w:sz w:val="20"/>
                <w:szCs w:val="20"/>
                <w:color w:val="auto"/>
              </w:rPr>
            </w:pPr>
            <w:r>
              <w:rPr>
                <w:rFonts w:ascii="Arial" w:cs="Arial" w:eastAsia="Arial" w:hAnsi="Arial"/>
                <w:sz w:val="18"/>
                <w:szCs w:val="18"/>
                <w:color w:val="auto"/>
              </w:rPr>
              <w:t>Basic net income (loss) per common share</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0.49</w:t>
            </w:r>
          </w:p>
        </w:tc>
        <w:tc>
          <w:tcPr>
            <w:tcW w:w="4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0.24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0.48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28"/>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common share</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4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0.24</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0.47</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r>
      <w:tr>
        <w:trPr>
          <w:trHeight w:val="227"/>
        </w:trPr>
        <w:tc>
          <w:tcPr>
            <w:tcW w:w="4460" w:type="dxa"/>
            <w:vAlign w:val="bottom"/>
          </w:tcPr>
          <w:p>
            <w:pPr>
              <w:spacing w:after="0"/>
              <w:rPr>
                <w:sz w:val="20"/>
                <w:szCs w:val="20"/>
                <w:color w:val="auto"/>
              </w:rPr>
            </w:pPr>
            <w:r>
              <w:rPr>
                <w:rFonts w:ascii="Arial" w:cs="Arial" w:eastAsia="Arial" w:hAnsi="Arial"/>
                <w:sz w:val="18"/>
                <w:szCs w:val="18"/>
                <w:color w:val="auto"/>
              </w:rPr>
              <w:t>Weighted average shares outstanding—basic</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77,567,147</w:t>
            </w:r>
          </w:p>
        </w:tc>
        <w:tc>
          <w:tcPr>
            <w:tcW w:w="420" w:type="dxa"/>
            <w:vAlign w:val="bottom"/>
          </w:tcPr>
          <w:p>
            <w:pPr>
              <w:spacing w:after="0"/>
              <w:rPr>
                <w:sz w:val="19"/>
                <w:szCs w:val="19"/>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77,682,759</w:t>
            </w:r>
          </w:p>
        </w:tc>
        <w:tc>
          <w:tcPr>
            <w:tcW w:w="22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77,721,353</w:t>
            </w:r>
          </w:p>
        </w:tc>
        <w:tc>
          <w:tcPr>
            <w:tcW w:w="14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77,735,826</w:t>
            </w:r>
          </w:p>
        </w:tc>
      </w:tr>
      <w:tr>
        <w:trPr>
          <w:trHeight w:val="228"/>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outstanding—diluted (1)</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78,589,110</w:t>
            </w: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78,725,289</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78,449,747</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77,735,826</w:t>
            </w:r>
          </w:p>
        </w:tc>
      </w:tr>
    </w:tbl>
    <w:p>
      <w:pPr>
        <w:spacing w:after="0" w:line="200" w:lineRule="exact"/>
        <w:rPr>
          <w:sz w:val="20"/>
          <w:szCs w:val="20"/>
          <w:color w:val="auto"/>
        </w:rPr>
      </w:pPr>
    </w:p>
    <w:p>
      <w:pPr>
        <w:ind w:left="560" w:right="100" w:hanging="553"/>
        <w:spacing w:after="0" w:line="271" w:lineRule="auto"/>
        <w:tabs>
          <w:tab w:leader="none" w:pos="5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Excluded from “Weighted average shares outstanding-diluted” are 108,272 stock options and 765,050 RSUs for the three months ended December 31, 2019 as the inclusion of these shares would have an anti-dilutive effect.</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jc w:val="right"/>
              <w:ind w:right="933"/>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4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93"/>
              <w:spacing w:after="0" w:line="154" w:lineRule="exact"/>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74"/>
              <w:spacing w:after="0" w:line="154" w:lineRule="exact"/>
              <w:rPr>
                <w:sz w:val="20"/>
                <w:szCs w:val="20"/>
                <w:color w:val="auto"/>
              </w:rPr>
            </w:pPr>
            <w:r>
              <w:rPr>
                <w:rFonts w:ascii="Arial" w:cs="Arial" w:eastAsia="Arial" w:hAnsi="Arial"/>
                <w:sz w:val="14"/>
                <w:szCs w:val="14"/>
                <w:b w:val="1"/>
                <w:bCs w:val="1"/>
                <w:color w:val="auto"/>
              </w:rPr>
              <w:t>June 30,</w:t>
            </w: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93"/>
              <w:spacing w:after="0" w:line="154"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13"/>
              <w:spacing w:after="0" w:line="154" w:lineRule="exact"/>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3"/>
                <w:szCs w:val="13"/>
                <w:color w:val="auto"/>
              </w:rPr>
            </w:pPr>
          </w:p>
        </w:tc>
      </w:tr>
      <w:tr>
        <w:trPr>
          <w:trHeight w:val="154"/>
        </w:trPr>
        <w:tc>
          <w:tcPr>
            <w:tcW w:w="4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0" w:type="dxa"/>
            <w:vAlign w:val="bottom"/>
            <w:gridSpan w:val="4"/>
          </w:tcPr>
          <w:p>
            <w:pPr>
              <w:jc w:val="right"/>
              <w:spacing w:after="0" w:line="154" w:lineRule="exact"/>
              <w:rPr>
                <w:sz w:val="20"/>
                <w:szCs w:val="20"/>
                <w:color w:val="auto"/>
              </w:rPr>
            </w:pPr>
            <w:r>
              <w:rPr>
                <w:rFonts w:ascii="Arial" w:cs="Arial" w:eastAsia="Arial" w:hAnsi="Arial"/>
                <w:sz w:val="14"/>
                <w:szCs w:val="14"/>
                <w:b w:val="1"/>
                <w:bCs w:val="1"/>
                <w:color w:val="auto"/>
                <w:w w:val="90"/>
              </w:rPr>
              <w:t>(Dollars in thousands, except per share amounts)</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44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2018:</w:t>
            </w: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27"/>
        </w:trPr>
        <w:tc>
          <w:tcPr>
            <w:tcW w:w="4460" w:type="dxa"/>
            <w:vAlign w:val="bottom"/>
          </w:tcPr>
          <w:p>
            <w:pPr>
              <w:spacing w:after="0"/>
              <w:rPr>
                <w:sz w:val="20"/>
                <w:szCs w:val="20"/>
                <w:color w:val="auto"/>
              </w:rPr>
            </w:pPr>
            <w:r>
              <w:rPr>
                <w:rFonts w:ascii="Arial" w:cs="Arial" w:eastAsia="Arial" w:hAnsi="Arial"/>
                <w:sz w:val="18"/>
                <w:szCs w:val="18"/>
                <w:color w:val="auto"/>
              </w:rPr>
              <w:t>Net revenues</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440,192</w:t>
            </w:r>
          </w:p>
        </w:tc>
        <w:tc>
          <w:tcPr>
            <w:tcW w:w="420" w:type="dxa"/>
            <w:vAlign w:val="bottom"/>
          </w:tcPr>
          <w:p>
            <w:pPr>
              <w:spacing w:after="0"/>
              <w:rPr>
                <w:sz w:val="19"/>
                <w:szCs w:val="19"/>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456,802</w:t>
            </w:r>
          </w:p>
        </w:tc>
        <w:tc>
          <w:tcPr>
            <w:tcW w:w="22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487,253</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671,760</w:t>
            </w:r>
          </w:p>
        </w:tc>
        <w:tc>
          <w:tcPr>
            <w:tcW w:w="100" w:type="dxa"/>
            <w:vAlign w:val="bottom"/>
          </w:tcPr>
          <w:p>
            <w:pPr>
              <w:spacing w:after="0"/>
              <w:rPr>
                <w:sz w:val="19"/>
                <w:szCs w:val="19"/>
                <w:color w:val="auto"/>
              </w:rPr>
            </w:pPr>
          </w:p>
        </w:tc>
      </w:tr>
      <w:tr>
        <w:trPr>
          <w:trHeight w:val="228"/>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382,659</w:t>
            </w: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376,439</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396,220</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573,696</w:t>
            </w:r>
          </w:p>
        </w:tc>
        <w:tc>
          <w:tcPr>
            <w:tcW w:w="100" w:type="dxa"/>
            <w:vAlign w:val="bottom"/>
            <w:shd w:val="clear" w:color="auto" w:fill="CFF0FC"/>
          </w:tcPr>
          <w:p>
            <w:pPr>
              <w:spacing w:after="0"/>
              <w:rPr>
                <w:sz w:val="19"/>
                <w:szCs w:val="19"/>
                <w:color w:val="auto"/>
              </w:rPr>
            </w:pPr>
          </w:p>
        </w:tc>
      </w:tr>
      <w:tr>
        <w:trPr>
          <w:trHeight w:val="227"/>
        </w:trPr>
        <w:tc>
          <w:tcPr>
            <w:tcW w:w="4460" w:type="dxa"/>
            <w:vAlign w:val="bottom"/>
          </w:tcPr>
          <w:p>
            <w:pPr>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54,194</w:t>
            </w:r>
          </w:p>
        </w:tc>
        <w:tc>
          <w:tcPr>
            <w:tcW w:w="420" w:type="dxa"/>
            <w:vAlign w:val="bottom"/>
          </w:tcPr>
          <w:p>
            <w:pPr>
              <w:spacing w:after="0"/>
              <w:rPr>
                <w:sz w:val="19"/>
                <w:szCs w:val="19"/>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77,414</w:t>
            </w:r>
          </w:p>
        </w:tc>
        <w:tc>
          <w:tcPr>
            <w:tcW w:w="22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91,769</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86,726</w:t>
            </w:r>
          </w:p>
        </w:tc>
        <w:tc>
          <w:tcPr>
            <w:tcW w:w="100" w:type="dxa"/>
            <w:vAlign w:val="bottom"/>
          </w:tcPr>
          <w:p>
            <w:pPr>
              <w:spacing w:after="0"/>
              <w:rPr>
                <w:sz w:val="19"/>
                <w:szCs w:val="19"/>
                <w:color w:val="auto"/>
              </w:rPr>
            </w:pPr>
          </w:p>
        </w:tc>
      </w:tr>
      <w:tr>
        <w:trPr>
          <w:trHeight w:val="228"/>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20,855</w:t>
            </w:r>
          </w:p>
        </w:tc>
        <w:tc>
          <w:tcPr>
            <w:tcW w:w="4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36,796</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37,704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(120)</w:t>
            </w:r>
          </w:p>
        </w:tc>
      </w:tr>
      <w:tr>
        <w:trPr>
          <w:trHeight w:val="227"/>
        </w:trPr>
        <w:tc>
          <w:tcPr>
            <w:tcW w:w="446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0.27</w:t>
            </w:r>
          </w:p>
        </w:tc>
        <w:tc>
          <w:tcPr>
            <w:tcW w:w="4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0.48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0.49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r>
      <w:tr>
        <w:trPr>
          <w:trHeight w:val="228"/>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per common share</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4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0.47</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0.48</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FF0FC"/>
          </w:tcPr>
          <w:p>
            <w:pPr>
              <w:spacing w:after="0"/>
              <w:rPr>
                <w:sz w:val="19"/>
                <w:szCs w:val="19"/>
                <w:color w:val="auto"/>
              </w:rPr>
            </w:pPr>
          </w:p>
        </w:tc>
      </w:tr>
      <w:tr>
        <w:trPr>
          <w:trHeight w:val="227"/>
        </w:trPr>
        <w:tc>
          <w:tcPr>
            <w:tcW w:w="4460" w:type="dxa"/>
            <w:vAlign w:val="bottom"/>
          </w:tcPr>
          <w:p>
            <w:pPr>
              <w:spacing w:after="0"/>
              <w:rPr>
                <w:sz w:val="20"/>
                <w:szCs w:val="20"/>
                <w:color w:val="auto"/>
              </w:rPr>
            </w:pPr>
            <w:r>
              <w:rPr>
                <w:rFonts w:ascii="Arial" w:cs="Arial" w:eastAsia="Arial" w:hAnsi="Arial"/>
                <w:sz w:val="18"/>
                <w:szCs w:val="18"/>
                <w:color w:val="auto"/>
              </w:rPr>
              <w:t>Weighted average shares outstanding—basic</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77,353,730</w:t>
            </w:r>
          </w:p>
        </w:tc>
        <w:tc>
          <w:tcPr>
            <w:tcW w:w="420" w:type="dxa"/>
            <w:vAlign w:val="bottom"/>
          </w:tcPr>
          <w:p>
            <w:pPr>
              <w:spacing w:after="0"/>
              <w:rPr>
                <w:sz w:val="19"/>
                <w:szCs w:val="19"/>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77,458,584</w:t>
            </w:r>
          </w:p>
        </w:tc>
        <w:tc>
          <w:tcPr>
            <w:tcW w:w="22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77,522,664</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77,503,732</w:t>
            </w:r>
          </w:p>
        </w:tc>
        <w:tc>
          <w:tcPr>
            <w:tcW w:w="100" w:type="dxa"/>
            <w:vAlign w:val="bottom"/>
          </w:tcPr>
          <w:p>
            <w:pPr>
              <w:spacing w:after="0"/>
              <w:rPr>
                <w:sz w:val="19"/>
                <w:szCs w:val="19"/>
                <w:color w:val="auto"/>
              </w:rPr>
            </w:pPr>
          </w:p>
        </w:tc>
      </w:tr>
      <w:tr>
        <w:trPr>
          <w:trHeight w:val="228"/>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outstanding—diluted (2)</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78,080,049</w:t>
            </w: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78,258,629</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78,283,588</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77,503,732</w:t>
            </w:r>
          </w:p>
        </w:tc>
        <w:tc>
          <w:tcPr>
            <w:tcW w:w="100" w:type="dxa"/>
            <w:vAlign w:val="bottom"/>
            <w:shd w:val="clear" w:color="auto" w:fill="CFF0FC"/>
          </w:tcPr>
          <w:p>
            <w:pPr>
              <w:spacing w:after="0"/>
              <w:rPr>
                <w:sz w:val="19"/>
                <w:szCs w:val="19"/>
                <w:color w:val="auto"/>
              </w:rPr>
            </w:pPr>
          </w:p>
        </w:tc>
      </w:tr>
    </w:tbl>
    <w:p>
      <w:pPr>
        <w:spacing w:after="0" w:line="240" w:lineRule="exact"/>
        <w:rPr>
          <w:sz w:val="20"/>
          <w:szCs w:val="20"/>
          <w:color w:val="auto"/>
        </w:rPr>
      </w:pPr>
    </w:p>
    <w:p>
      <w:pPr>
        <w:ind w:left="560" w:right="100" w:hanging="553"/>
        <w:spacing w:after="0" w:line="271" w:lineRule="auto"/>
        <w:tabs>
          <w:tab w:leader="none" w:pos="5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Excluded from “Weighted average shares outstanding-diluted” are 100,091 stock options and 905,420 RSUs for the three months ended December 31, 2018 as the inclusion of these shares would have an anti-dilutive effect</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jc w:val="right"/>
              <w:ind w:right="933"/>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4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93"/>
              <w:spacing w:after="0" w:line="154" w:lineRule="exact"/>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94"/>
              <w:spacing w:after="0" w:line="154" w:lineRule="exact"/>
              <w:rPr>
                <w:sz w:val="20"/>
                <w:szCs w:val="20"/>
                <w:color w:val="auto"/>
              </w:rPr>
            </w:pPr>
            <w:r>
              <w:rPr>
                <w:rFonts w:ascii="Arial" w:cs="Arial" w:eastAsia="Arial" w:hAnsi="Arial"/>
                <w:sz w:val="14"/>
                <w:szCs w:val="14"/>
                <w:b w:val="1"/>
                <w:bCs w:val="1"/>
                <w:color w:val="auto"/>
              </w:rPr>
              <w:t>June 30,</w:t>
            </w: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93"/>
              <w:spacing w:after="0" w:line="154"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13"/>
              <w:spacing w:after="0" w:line="154" w:lineRule="exact"/>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3"/>
                <w:szCs w:val="13"/>
                <w:color w:val="auto"/>
              </w:rPr>
            </w:pPr>
          </w:p>
        </w:tc>
      </w:tr>
      <w:tr>
        <w:trPr>
          <w:trHeight w:val="154"/>
        </w:trPr>
        <w:tc>
          <w:tcPr>
            <w:tcW w:w="4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0" w:type="dxa"/>
            <w:vAlign w:val="bottom"/>
            <w:gridSpan w:val="4"/>
          </w:tcPr>
          <w:p>
            <w:pPr>
              <w:jc w:val="right"/>
              <w:spacing w:after="0" w:line="154" w:lineRule="exact"/>
              <w:rPr>
                <w:sz w:val="20"/>
                <w:szCs w:val="20"/>
                <w:color w:val="auto"/>
              </w:rPr>
            </w:pPr>
            <w:r>
              <w:rPr>
                <w:rFonts w:ascii="Arial" w:cs="Arial" w:eastAsia="Arial" w:hAnsi="Arial"/>
                <w:sz w:val="14"/>
                <w:szCs w:val="14"/>
                <w:b w:val="1"/>
                <w:bCs w:val="1"/>
                <w:color w:val="auto"/>
                <w:w w:val="90"/>
              </w:rPr>
              <w:t>(Dollars in thousands, except per share amounts)</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44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2017:</w:t>
            </w: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27"/>
        </w:trPr>
        <w:tc>
          <w:tcPr>
            <w:tcW w:w="4460" w:type="dxa"/>
            <w:vAlign w:val="bottom"/>
          </w:tcPr>
          <w:p>
            <w:pPr>
              <w:spacing w:after="0"/>
              <w:rPr>
                <w:sz w:val="20"/>
                <w:szCs w:val="20"/>
                <w:color w:val="auto"/>
              </w:rPr>
            </w:pPr>
            <w:r>
              <w:rPr>
                <w:rFonts w:ascii="Arial" w:cs="Arial" w:eastAsia="Arial" w:hAnsi="Arial"/>
                <w:sz w:val="18"/>
                <w:szCs w:val="18"/>
                <w:color w:val="auto"/>
              </w:rPr>
              <w:t>Net revenues</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202,393</w:t>
            </w:r>
          </w:p>
        </w:tc>
        <w:tc>
          <w:tcPr>
            <w:tcW w:w="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375,626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472,878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429,901</w:t>
            </w:r>
          </w:p>
        </w:tc>
        <w:tc>
          <w:tcPr>
            <w:tcW w:w="100" w:type="dxa"/>
            <w:vAlign w:val="bottom"/>
          </w:tcPr>
          <w:p>
            <w:pPr>
              <w:spacing w:after="0"/>
              <w:rPr>
                <w:sz w:val="19"/>
                <w:szCs w:val="19"/>
                <w:color w:val="auto"/>
              </w:rPr>
            </w:pPr>
          </w:p>
        </w:tc>
      </w:tr>
      <w:tr>
        <w:trPr>
          <w:trHeight w:val="228"/>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186,561</w:t>
            </w: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320,480</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389,273</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416,211</w:t>
            </w:r>
          </w:p>
        </w:tc>
        <w:tc>
          <w:tcPr>
            <w:tcW w:w="100" w:type="dxa"/>
            <w:vAlign w:val="bottom"/>
            <w:shd w:val="clear" w:color="auto" w:fill="CFF0FC"/>
          </w:tcPr>
          <w:p>
            <w:pPr>
              <w:spacing w:after="0"/>
              <w:rPr>
                <w:sz w:val="19"/>
                <w:szCs w:val="19"/>
                <w:color w:val="auto"/>
              </w:rPr>
            </w:pPr>
          </w:p>
        </w:tc>
      </w:tr>
      <w:tr>
        <w:trPr>
          <w:trHeight w:val="227"/>
        </w:trPr>
        <w:tc>
          <w:tcPr>
            <w:tcW w:w="4460" w:type="dxa"/>
            <w:vAlign w:val="bottom"/>
          </w:tcPr>
          <w:p>
            <w:pPr>
              <w:spacing w:after="0"/>
              <w:rPr>
                <w:sz w:val="20"/>
                <w:szCs w:val="20"/>
                <w:color w:val="auto"/>
              </w:rPr>
            </w:pPr>
            <w:r>
              <w:rPr>
                <w:rFonts w:ascii="Arial" w:cs="Arial" w:eastAsia="Arial" w:hAnsi="Arial"/>
                <w:sz w:val="18"/>
                <w:szCs w:val="18"/>
                <w:color w:val="auto"/>
              </w:rPr>
              <w:t>Operating income (loss)</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14,028</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(30,467)</w:t>
            </w:r>
          </w:p>
        </w:tc>
        <w:tc>
          <w:tcPr>
            <w:tcW w:w="20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81,493</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29,756</w:t>
            </w:r>
          </w:p>
        </w:tc>
        <w:tc>
          <w:tcPr>
            <w:tcW w:w="100" w:type="dxa"/>
            <w:vAlign w:val="bottom"/>
          </w:tcPr>
          <w:p>
            <w:pPr>
              <w:spacing w:after="0"/>
              <w:rPr>
                <w:sz w:val="19"/>
                <w:szCs w:val="19"/>
                <w:color w:val="auto"/>
              </w:rPr>
            </w:pPr>
          </w:p>
        </w:tc>
      </w:tr>
      <w:tr>
        <w:trPr>
          <w:trHeight w:val="228"/>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w:t>
            </w:r>
          </w:p>
        </w:tc>
        <w:tc>
          <w:tcPr>
            <w:tcW w:w="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(46,190)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29,687</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88,938</w:t>
            </w:r>
          </w:p>
        </w:tc>
        <w:tc>
          <w:tcPr>
            <w:tcW w:w="100" w:type="dxa"/>
            <w:vAlign w:val="bottom"/>
            <w:shd w:val="clear" w:color="auto" w:fill="CFF0FC"/>
          </w:tcPr>
          <w:p>
            <w:pPr>
              <w:spacing w:after="0"/>
              <w:rPr>
                <w:sz w:val="19"/>
                <w:szCs w:val="19"/>
                <w:color w:val="auto"/>
              </w:rPr>
            </w:pPr>
          </w:p>
        </w:tc>
      </w:tr>
      <w:tr>
        <w:trPr>
          <w:trHeight w:val="227"/>
        </w:trPr>
        <w:tc>
          <w:tcPr>
            <w:tcW w:w="4460" w:type="dxa"/>
            <w:vAlign w:val="bottom"/>
          </w:tcPr>
          <w:p>
            <w:pPr>
              <w:spacing w:after="0"/>
              <w:rPr>
                <w:sz w:val="20"/>
                <w:szCs w:val="20"/>
                <w:color w:val="auto"/>
              </w:rPr>
            </w:pPr>
            <w:r>
              <w:rPr>
                <w:rFonts w:ascii="Arial" w:cs="Arial" w:eastAsia="Arial" w:hAnsi="Arial"/>
                <w:sz w:val="18"/>
                <w:szCs w:val="18"/>
                <w:color w:val="auto"/>
              </w:rPr>
              <w:t>Basic net income (loss) per common share</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0.02</w:t>
            </w:r>
          </w:p>
        </w:tc>
        <w:tc>
          <w:tcPr>
            <w:tcW w:w="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0.39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r>
      <w:tr>
        <w:trPr>
          <w:trHeight w:val="228"/>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common share</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0.38</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FF0FC"/>
          </w:tcPr>
          <w:p>
            <w:pPr>
              <w:spacing w:after="0"/>
              <w:rPr>
                <w:sz w:val="19"/>
                <w:szCs w:val="19"/>
                <w:color w:val="auto"/>
              </w:rPr>
            </w:pPr>
          </w:p>
        </w:tc>
      </w:tr>
      <w:tr>
        <w:trPr>
          <w:trHeight w:val="239"/>
        </w:trPr>
        <w:tc>
          <w:tcPr>
            <w:tcW w:w="4460" w:type="dxa"/>
            <w:vAlign w:val="bottom"/>
          </w:tcPr>
          <w:p>
            <w:pPr>
              <w:spacing w:after="0"/>
              <w:rPr>
                <w:sz w:val="20"/>
                <w:szCs w:val="20"/>
                <w:color w:val="auto"/>
              </w:rPr>
            </w:pPr>
            <w:r>
              <w:rPr>
                <w:rFonts w:ascii="Arial" w:cs="Arial" w:eastAsia="Arial" w:hAnsi="Arial"/>
                <w:sz w:val="18"/>
                <w:szCs w:val="18"/>
                <w:color w:val="auto"/>
              </w:rPr>
              <w:t>Weighted average shares outstanding—basic</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47,120,751</w:t>
            </w:r>
          </w:p>
        </w:tc>
        <w:tc>
          <w:tcPr>
            <w:tcW w:w="420" w:type="dxa"/>
            <w:vAlign w:val="bottom"/>
          </w:tcPr>
          <w:p>
            <w:pPr>
              <w:spacing w:after="0"/>
              <w:rPr>
                <w:sz w:val="20"/>
                <w:szCs w:val="20"/>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67,453,095</w:t>
            </w:r>
          </w:p>
        </w:tc>
        <w:tc>
          <w:tcPr>
            <w:tcW w:w="200" w:type="dxa"/>
            <w:vAlign w:val="bottom"/>
          </w:tcPr>
          <w:p>
            <w:pPr>
              <w:spacing w:after="0"/>
              <w:rPr>
                <w:sz w:val="20"/>
                <w:szCs w:val="20"/>
                <w:color w:val="auto"/>
              </w:rPr>
            </w:pP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76,902,070</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76,961,015</w:t>
            </w:r>
          </w:p>
        </w:tc>
        <w:tc>
          <w:tcPr>
            <w:tcW w:w="100" w:type="dxa"/>
            <w:vAlign w:val="bottom"/>
          </w:tcPr>
          <w:p>
            <w:pPr>
              <w:spacing w:after="0"/>
              <w:rPr>
                <w:sz w:val="20"/>
                <w:szCs w:val="20"/>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outstanding—diluted (3)</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48,081,281</w:t>
            </w: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67,453,095</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77,959,689</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77,998,742</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ind w:left="560" w:hanging="553"/>
        <w:spacing w:after="0" w:line="271" w:lineRule="auto"/>
        <w:tabs>
          <w:tab w:leader="none" w:pos="5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Excluded from “Weighted average shares outstanding-diluted” are 78,435 stock options and 937,661 RSUs for the three months ended June 30, 2017 as the inclusion of these shares would have an anti-dilutive effect.</w:t>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73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3">
                      <a:extLst>
                        <a:ext uri="{28A0092B-C50C-407E-A947-70E740481C1C}"/>
                      </a:extLst>
                    </a:blip>
                    <a:srcRect/>
                    <a:stretch>
                      <a:fillRect/>
                    </a:stretch>
                  </pic:blipFill>
                  <pic:spPr bwMode="auto">
                    <a:xfrm>
                      <a:off x="0" y="0"/>
                      <a:ext cx="7273290" cy="42545"/>
                    </a:xfrm>
                    <a:prstGeom prst="rect">
                      <a:avLst/>
                    </a:prstGeom>
                    <a:noFill/>
                  </pic:spPr>
                </pic:pic>
              </a:graphicData>
            </a:graphic>
          </wp:anchor>
        </w:drawing>
      </w:r>
    </w:p>
    <w:p>
      <w:pPr>
        <w:sectPr>
          <w:pgSz w:w="11900" w:h="16838" w:orient="portrait"/>
          <w:cols w:equalWidth="0" w:num="1">
            <w:col w:w="11380"/>
          </w:cols>
          <w:pgMar w:left="240" w:top="335" w:right="279" w:bottom="1440" w:gutter="0" w:footer="0" w:header="0"/>
        </w:sectPr>
      </w:pPr>
    </w:p>
    <w:bookmarkStart w:id="150" w:name="page151"/>
    <w:bookmarkEnd w:id="150"/>
    <w:p>
      <w:pPr>
        <w:ind w:left="4533"/>
        <w:spacing w:after="0"/>
        <w:rPr>
          <w:sz w:val="20"/>
          <w:szCs w:val="20"/>
          <w:color w:val="auto"/>
        </w:rPr>
      </w:pPr>
      <w:r>
        <w:rPr>
          <w:rFonts w:ascii="Arial" w:cs="Arial" w:eastAsia="Arial" w:hAnsi="Arial"/>
          <w:sz w:val="18"/>
          <w:szCs w:val="18"/>
          <w:b w:val="1"/>
          <w:bCs w:val="1"/>
          <w:color w:val="auto"/>
        </w:rPr>
        <w:t>ELDORADO RESORTS, INC.</w:t>
      </w:r>
    </w:p>
    <w:p>
      <w:pPr>
        <w:spacing w:after="0" w:line="114" w:lineRule="exact"/>
        <w:rPr>
          <w:sz w:val="20"/>
          <w:szCs w:val="20"/>
          <w:color w:val="auto"/>
        </w:rPr>
      </w:pPr>
    </w:p>
    <w:p>
      <w:pPr>
        <w:ind w:left="3173"/>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4" w:lineRule="exact"/>
        <w:rPr>
          <w:sz w:val="20"/>
          <w:szCs w:val="20"/>
          <w:color w:val="auto"/>
        </w:rPr>
      </w:pPr>
    </w:p>
    <w:p>
      <w:pPr>
        <w:jc w:val="center"/>
        <w:ind w:right="-572"/>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7" w:lineRule="exact"/>
        <w:rPr>
          <w:sz w:val="20"/>
          <w:szCs w:val="20"/>
          <w:color w:val="auto"/>
        </w:rPr>
      </w:pPr>
    </w:p>
    <w:p>
      <w:pPr>
        <w:jc w:val="center"/>
        <w:ind w:right="-572"/>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tbl>
      <w:tblPr>
        <w:tblLayout w:type="fixed"/>
        <w:tblInd w:w="573"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Column B</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Column F</w:t>
            </w:r>
          </w:p>
        </w:tc>
        <w:tc>
          <w:tcPr>
            <w:tcW w:w="0" w:type="dxa"/>
            <w:vAlign w:val="bottom"/>
          </w:tcPr>
          <w:p>
            <w:pPr>
              <w:spacing w:after="0"/>
              <w:rPr>
                <w:sz w:val="1"/>
                <w:szCs w:val="1"/>
                <w:color w:val="auto"/>
              </w:rPr>
            </w:pPr>
          </w:p>
        </w:tc>
      </w:tr>
      <w:tr>
        <w:trPr>
          <w:trHeight w:val="147"/>
        </w:trPr>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2"/>
                <w:szCs w:val="12"/>
                <w:color w:val="auto"/>
              </w:rPr>
            </w:pPr>
          </w:p>
        </w:tc>
        <w:tc>
          <w:tcPr>
            <w:tcW w:w="880" w:type="dxa"/>
            <w:vAlign w:val="bottom"/>
            <w:vMerge w:val="restart"/>
          </w:tcPr>
          <w:p>
            <w:pPr>
              <w:jc w:val="right"/>
              <w:ind w:right="58"/>
              <w:spacing w:after="0"/>
              <w:rPr>
                <w:sz w:val="20"/>
                <w:szCs w:val="20"/>
                <w:color w:val="auto"/>
              </w:rPr>
            </w:pPr>
            <w:r>
              <w:rPr>
                <w:rFonts w:ascii="Arial" w:cs="Arial" w:eastAsia="Arial" w:hAnsi="Arial"/>
                <w:sz w:val="14"/>
                <w:szCs w:val="14"/>
                <w:b w:val="1"/>
                <w:bCs w:val="1"/>
                <w:color w:val="auto"/>
              </w:rPr>
              <w:t>Column C</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Column 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Column E</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Column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1"/>
              </w:rPr>
              <w:t>Beginning of</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0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1"/>
              </w:rPr>
              <w:t>Balance at End</w:t>
            </w:r>
          </w:p>
        </w:tc>
        <w:tc>
          <w:tcPr>
            <w:tcW w:w="0" w:type="dxa"/>
            <w:vAlign w:val="bottom"/>
          </w:tcPr>
          <w:p>
            <w:pPr>
              <w:spacing w:after="0"/>
              <w:rPr>
                <w:sz w:val="1"/>
                <w:szCs w:val="1"/>
                <w:color w:val="auto"/>
              </w:rPr>
            </w:pPr>
          </w:p>
        </w:tc>
      </w:tr>
      <w:tr>
        <w:trPr>
          <w:trHeight w:val="170"/>
        </w:trPr>
        <w:tc>
          <w:tcPr>
            <w:tcW w:w="4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Period</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2"/>
              </w:rPr>
              <w:t>Acquisitions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18"/>
              <w:spacing w:after="0"/>
              <w:rPr>
                <w:sz w:val="20"/>
                <w:szCs w:val="20"/>
                <w:color w:val="auto"/>
              </w:rPr>
            </w:pPr>
            <w:r>
              <w:rPr>
                <w:rFonts w:ascii="Arial" w:cs="Arial" w:eastAsia="Arial" w:hAnsi="Arial"/>
                <w:sz w:val="14"/>
                <w:szCs w:val="14"/>
                <w:b w:val="1"/>
                <w:bCs w:val="1"/>
                <w:color w:val="auto"/>
                <w:w w:val="90"/>
              </w:rPr>
              <w:t>Additions(1)</w:t>
            </w:r>
          </w:p>
        </w:tc>
        <w:tc>
          <w:tcPr>
            <w:tcW w:w="20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Deductions(2)</w:t>
            </w:r>
          </w:p>
        </w:tc>
        <w:tc>
          <w:tcPr>
            <w:tcW w:w="1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21"/>
        </w:trPr>
        <w:tc>
          <w:tcPr>
            <w:tcW w:w="4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Year ended December 31, 2019:</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tcPr>
          <w:p>
            <w:pPr>
              <w:ind w:left="240"/>
              <w:spacing w:after="0"/>
              <w:rPr>
                <w:sz w:val="20"/>
                <w:szCs w:val="20"/>
                <w:color w:val="auto"/>
              </w:rPr>
            </w:pPr>
            <w:r>
              <w:rPr>
                <w:rFonts w:ascii="Arial" w:cs="Arial" w:eastAsia="Arial" w:hAnsi="Arial"/>
                <w:sz w:val="18"/>
                <w:szCs w:val="18"/>
                <w:color w:val="auto"/>
              </w:rPr>
              <w:t>Allowance for doubtful accounts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3,674</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1,095</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2018:</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tcPr>
          <w:p>
            <w:pPr>
              <w:ind w:left="240"/>
              <w:spacing w:after="0"/>
              <w:rPr>
                <w:sz w:val="20"/>
                <w:szCs w:val="20"/>
                <w:color w:val="auto"/>
              </w:rPr>
            </w:pPr>
            <w:r>
              <w:rPr>
                <w:rFonts w:ascii="Arial" w:cs="Arial" w:eastAsia="Arial" w:hAnsi="Arial"/>
                <w:sz w:val="18"/>
                <w:szCs w:val="18"/>
                <w:color w:val="auto"/>
              </w:rPr>
              <w:t>Allowance for doubtful accounts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1,220</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2,394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1,407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1,347</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2017:</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tcPr>
          <w:p>
            <w:pPr>
              <w:ind w:left="240"/>
              <w:spacing w:after="0"/>
              <w:rPr>
                <w:sz w:val="20"/>
                <w:szCs w:val="20"/>
                <w:color w:val="auto"/>
              </w:rPr>
            </w:pPr>
            <w:r>
              <w:rPr>
                <w:rFonts w:ascii="Arial" w:cs="Arial" w:eastAsia="Arial" w:hAnsi="Arial"/>
                <w:sz w:val="18"/>
                <w:szCs w:val="18"/>
                <w:color w:val="auto"/>
              </w:rPr>
              <w:t>Allowance for doubtful accounts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1,221</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993</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553" w:hanging="553"/>
        <w:spacing w:after="0"/>
        <w:tabs>
          <w:tab w:leader="none" w:pos="553"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Amounts charged to costs and expenses, net of recoveries.</w:t>
      </w:r>
    </w:p>
    <w:p>
      <w:pPr>
        <w:spacing w:after="0" w:line="19" w:lineRule="exact"/>
        <w:rPr>
          <w:rFonts w:ascii="Arial" w:cs="Arial" w:eastAsia="Arial" w:hAnsi="Arial"/>
          <w:sz w:val="18"/>
          <w:szCs w:val="18"/>
          <w:color w:val="auto"/>
        </w:rPr>
      </w:pPr>
    </w:p>
    <w:p>
      <w:pPr>
        <w:ind w:left="553" w:hanging="553"/>
        <w:spacing w:after="0"/>
        <w:tabs>
          <w:tab w:leader="none" w:pos="553" w:val="left"/>
        </w:tabs>
        <w:numPr>
          <w:ilvl w:val="0"/>
          <w:numId w:val="66"/>
        </w:numPr>
        <w:rPr>
          <w:rFonts w:ascii="Arial" w:cs="Arial" w:eastAsia="Arial" w:hAnsi="Arial"/>
          <w:sz w:val="17"/>
          <w:szCs w:val="17"/>
          <w:color w:val="auto"/>
        </w:rPr>
      </w:pPr>
      <w:r>
        <w:rPr>
          <w:rFonts w:ascii="Arial" w:cs="Arial" w:eastAsia="Arial" w:hAnsi="Arial"/>
          <w:sz w:val="17"/>
          <w:szCs w:val="17"/>
          <w:color w:val="auto"/>
        </w:rPr>
        <w:t>Uncollectible accounts written off, net of recoveries of $0.0 million, $0.1 million and $0.7 million in 2019, 2018 and 2017, respectively.</w:t>
      </w:r>
    </w:p>
    <w:p>
      <w:pPr>
        <w:spacing w:after="0" w:line="200" w:lineRule="exact"/>
        <w:rPr>
          <w:sz w:val="20"/>
          <w:szCs w:val="20"/>
          <w:color w:val="auto"/>
        </w:rPr>
      </w:pPr>
    </w:p>
    <w:p>
      <w:pPr>
        <w:spacing w:after="0" w:line="234" w:lineRule="exact"/>
        <w:rPr>
          <w:sz w:val="20"/>
          <w:szCs w:val="20"/>
          <w:color w:val="auto"/>
        </w:rPr>
      </w:pPr>
    </w:p>
    <w:p>
      <w:pPr>
        <w:ind w:left="5573"/>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0833"/>
          </w:cols>
          <w:pgMar w:left="247" w:top="335" w:right="81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4.17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jc w:val="both"/>
        <w:ind w:firstLine="555"/>
        <w:spacing w:after="0" w:line="269" w:lineRule="auto"/>
        <w:rPr>
          <w:sz w:val="20"/>
          <w:szCs w:val="20"/>
          <w:color w:val="auto"/>
        </w:rPr>
      </w:pPr>
      <w:r>
        <w:rPr>
          <w:rFonts w:ascii="Arial" w:cs="Arial" w:eastAsia="Arial" w:hAnsi="Arial"/>
          <w:sz w:val="17"/>
          <w:szCs w:val="17"/>
          <w:color w:val="auto"/>
        </w:rPr>
        <w:t>We have one class of securities registered under Section 12 of the Securities Exchange Act of 1934, as amended: our common stock, par value $0.00001 per share. The following is a general description of the terms and provisions of our capital stock and related provisions of our amended and restated certificate of incorporation and our amended and restated bylaws, in each case as currently in effect on the date of filing this Annual Report on Form 10-K of which this Exhibit 4.17 is a part. The following description is only a summary of the material provisions of our capital stock, our amended and restated certificate of incorporation and our amended and restated bylaws and does not purport to be complete and is qualified in its entirety by reference to the provisions of our amended and restated certificate of incorporation and our amended and restated bylaws, which are filed as exhibits to our Annual Report on Form 10-K, of which this Exhibit 4.17 is a part, and are incorporated by herein by reference.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authorized capital stock consists of 200,000,000 shares of common stock, par value $0.00001 per share.</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Dividend rights</w:t>
      </w:r>
    </w:p>
    <w:p>
      <w:pPr>
        <w:spacing w:after="0" w:line="114" w:lineRule="exact"/>
        <w:rPr>
          <w:sz w:val="20"/>
          <w:szCs w:val="20"/>
          <w:color w:val="auto"/>
        </w:rPr>
      </w:pPr>
    </w:p>
    <w:p>
      <w:pPr>
        <w:jc w:val="both"/>
        <w:ind w:firstLine="555"/>
        <w:spacing w:after="0" w:line="282" w:lineRule="auto"/>
        <w:rPr>
          <w:sz w:val="20"/>
          <w:szCs w:val="20"/>
          <w:color w:val="auto"/>
        </w:rPr>
      </w:pPr>
      <w:r>
        <w:rPr>
          <w:rFonts w:ascii="Arial" w:cs="Arial" w:eastAsia="Arial" w:hAnsi="Arial"/>
          <w:sz w:val="17"/>
          <w:szCs w:val="17"/>
          <w:color w:val="auto"/>
        </w:rPr>
        <w:t>We will be permitted to pay dividends if, as and when declared by our board of directors, subject to compliance with limitations imposed by the Nevada Revised Statutes. The holders of our common stock are entitled to receive and share equally in these dividends as they may be declared by our board of directors out of funds legally available for such purpose. We do not currently expect to pay dividends on our common stock.</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Voting rights</w:t>
      </w:r>
    </w:p>
    <w:p>
      <w:pPr>
        <w:spacing w:after="0" w:line="114"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Our common stock votes as a single class on all matters on which stockholders are entitled to vote, and each share of our common stock is entitled to cast one vote in person or by proxy on such matters. Holders of our common stock do not have the right to cumulate votes in the election of directors. Directors are elected by a plurality of the shares actually voting on the matter at each annual meeting or special meeting called for the purpose of electing such directors at which a quorum is present.</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Liquidation rights</w:t>
      </w:r>
    </w:p>
    <w:p>
      <w:pPr>
        <w:spacing w:after="0" w:line="114"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8"/>
          <w:szCs w:val="18"/>
          <w:color w:val="auto"/>
        </w:rPr>
        <w:t>Upon our liquidation, dissolution or winding-up, whether voluntary or involuntary, the holders of our common stock will be entitled to receive, after payment or provision for payment of all its debts and liabilities, all of our assets available for distribution.</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Preemptive rights</w:t>
      </w:r>
    </w:p>
    <w:p>
      <w:pPr>
        <w:spacing w:after="0" w:line="114"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Holders of our common stock are not entitled to any preemptive rights to subscribe for additional shares of our common stock, nor are they liable to further capital calls or to assessments by us. Therefore, if we issue additional shares without the opportunity for existing stockholders to purchase more shares, a stockholder’s ownership interest in our Company may be subject to dilution.</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Rights or Preferences</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has no sinking fund, redemption provisions, or conversion or exchange rights.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common stock is Continental Stock Transfer &amp; Trust Company.</w:t>
      </w:r>
    </w:p>
    <w:p>
      <w:pPr>
        <w:spacing w:after="0" w:line="228" w:lineRule="exact"/>
        <w:rPr>
          <w:sz w:val="20"/>
          <w:szCs w:val="20"/>
          <w:color w:val="auto"/>
        </w:rPr>
      </w:pPr>
    </w:p>
    <w:p>
      <w:pPr>
        <w:spacing w:after="0"/>
        <w:rPr>
          <w:sz w:val="20"/>
          <w:szCs w:val="20"/>
          <w:color w:val="auto"/>
        </w:rPr>
      </w:pPr>
      <w:r>
        <w:rPr>
          <w:rFonts w:ascii="Arial" w:cs="Arial" w:eastAsia="Arial" w:hAnsi="Arial"/>
          <w:sz w:val="9"/>
          <w:szCs w:val="9"/>
          <w:color w:val="FFFFFF"/>
        </w:rPr>
        <w:t>39337.00400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043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118"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have entered into indemnification agreements with certain of our executive officers and each of our directors pursuant to which we have agreed to indemnify such executive officers and directors against liability incurred by them by reason of their services as an executive officer or director to the fullest extent allowable under applicable law. We also provide liability insurance for each officer and director for certain losses arising from claims or charges made against them while acting in their capacities as our officer or director.</w:t>
      </w:r>
    </w:p>
    <w:p>
      <w:pPr>
        <w:spacing w:after="0" w:line="19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To the extent that indemnification for liabilities arising under the Securities Act may be permitted to our executive officers and directors pursuant to the foregoing, we have been informed that, in the opinion of the SEC, such indemnification is against public policy as expressed in the Securities Act and is therefore unenforceable.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market listing</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Select Market under the symbol “ERI.”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7247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9"/>
          <w:szCs w:val="9"/>
          <w:color w:val="FFFFFF"/>
        </w:rPr>
        <w:t>39337.00400</w:t>
      </w:r>
    </w:p>
    <w:p>
      <w:pPr>
        <w:sectPr>
          <w:pgSz w:w="11900" w:h="16838" w:orient="portrait"/>
          <w:cols w:equalWidth="0" w:num="1">
            <w:col w:w="11420"/>
          </w:cols>
          <w:pgMar w:left="240" w:top="656"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21"/>
          <w:szCs w:val="21"/>
          <w:b w:val="1"/>
          <w:bCs w:val="1"/>
          <w:color w:val="auto"/>
        </w:rPr>
        <w:t>Exhibit 10.18</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FIRST AMENDMENT TO PURCHASE AND SALE AGREEMENT</w:t>
      </w:r>
    </w:p>
    <w:p>
      <w:pPr>
        <w:spacing w:after="0" w:line="213" w:lineRule="exact"/>
        <w:rPr>
          <w:sz w:val="20"/>
          <w:szCs w:val="20"/>
          <w:color w:val="auto"/>
        </w:rPr>
      </w:pPr>
    </w:p>
    <w:p>
      <w:pPr>
        <w:jc w:val="both"/>
        <w:ind w:firstLine="878"/>
        <w:spacing w:after="0" w:line="251" w:lineRule="auto"/>
        <w:rPr>
          <w:sz w:val="20"/>
          <w:szCs w:val="20"/>
          <w:color w:val="auto"/>
        </w:rPr>
      </w:pPr>
      <w:r>
        <w:rPr>
          <w:rFonts w:ascii="Arial" w:cs="Arial" w:eastAsia="Arial" w:hAnsi="Arial"/>
          <w:sz w:val="21"/>
          <w:szCs w:val="21"/>
          <w:b w:val="1"/>
          <w:bCs w:val="1"/>
          <w:color w:val="auto"/>
        </w:rPr>
        <w:t xml:space="preserve">THIS FIRST AMENDMENT TO PURCHASE AND SALE AGREEMENT </w:t>
      </w:r>
      <w:r>
        <w:rPr>
          <w:rFonts w:ascii="Arial" w:cs="Arial" w:eastAsia="Arial" w:hAnsi="Arial"/>
          <w:sz w:val="21"/>
          <w:szCs w:val="21"/>
          <w:color w:val="auto"/>
        </w:rPr>
        <w:t>(this “</w:t>
      </w:r>
      <w:r>
        <w:rPr>
          <w:rFonts w:ascii="Arial" w:cs="Arial" w:eastAsia="Arial" w:hAnsi="Arial"/>
          <w:sz w:val="21"/>
          <w:szCs w:val="21"/>
          <w:u w:val="single" w:color="auto"/>
          <w:color w:val="auto"/>
        </w:rPr>
        <w:t>Amendment</w:t>
      </w:r>
      <w:r>
        <w:rPr>
          <w:rFonts w:ascii="Arial" w:cs="Arial" w:eastAsia="Arial" w:hAnsi="Arial"/>
          <w:sz w:val="21"/>
          <w:szCs w:val="21"/>
          <w:color w:val="auto"/>
        </w:rPr>
        <w:t>”) is made as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February __, 2020, by and between </w:t>
      </w:r>
      <w:r>
        <w:rPr>
          <w:rFonts w:ascii="Arial" w:cs="Arial" w:eastAsia="Arial" w:hAnsi="Arial"/>
          <w:sz w:val="21"/>
          <w:szCs w:val="21"/>
          <w:b w:val="1"/>
          <w:bCs w:val="1"/>
          <w:color w:val="auto"/>
        </w:rPr>
        <w:t>ELDORADO RESORTS, INC.</w:t>
      </w:r>
      <w:r>
        <w:rPr>
          <w:rFonts w:ascii="Arial" w:cs="Arial" w:eastAsia="Arial" w:hAnsi="Arial"/>
          <w:sz w:val="21"/>
          <w:szCs w:val="21"/>
          <w:color w:val="auto"/>
        </w:rPr>
        <w:t>, a Nevada corporation (“</w:t>
      </w:r>
      <w:r>
        <w:rPr>
          <w:rFonts w:ascii="Arial" w:cs="Arial" w:eastAsia="Arial" w:hAnsi="Arial"/>
          <w:sz w:val="21"/>
          <w:szCs w:val="21"/>
          <w:u w:val="single" w:color="auto"/>
          <w:color w:val="auto"/>
        </w:rPr>
        <w:t>Eldorado</w:t>
      </w:r>
      <w:r>
        <w:rPr>
          <w:rFonts w:ascii="Arial" w:cs="Arial" w:eastAsia="Arial" w:hAnsi="Arial"/>
          <w:sz w:val="21"/>
          <w:szCs w:val="21"/>
          <w:color w:val="auto"/>
        </w:rPr>
        <w:t xml:space="preserve">”), having an office at 100 West Liberty Street, Suite 1150, Reno, Nevada 89501, and </w:t>
      </w:r>
      <w:r>
        <w:rPr>
          <w:rFonts w:ascii="Arial" w:cs="Arial" w:eastAsia="Arial" w:hAnsi="Arial"/>
          <w:sz w:val="21"/>
          <w:szCs w:val="21"/>
          <w:b w:val="1"/>
          <w:bCs w:val="1"/>
          <w:color w:val="auto"/>
        </w:rPr>
        <w:t>VICI PROPERTIES L.P.</w:t>
      </w:r>
      <w:r>
        <w:rPr>
          <w:rFonts w:ascii="Arial" w:cs="Arial" w:eastAsia="Arial" w:hAnsi="Arial"/>
          <w:sz w:val="21"/>
          <w:szCs w:val="21"/>
          <w:color w:val="auto"/>
        </w:rPr>
        <w:t>, a Delaware limited partnership (“</w:t>
      </w:r>
      <w:r>
        <w:rPr>
          <w:rFonts w:ascii="Arial" w:cs="Arial" w:eastAsia="Arial" w:hAnsi="Arial"/>
          <w:sz w:val="21"/>
          <w:szCs w:val="21"/>
          <w:u w:val="single" w:color="auto"/>
          <w:color w:val="auto"/>
        </w:rPr>
        <w:t>Buyer</w:t>
      </w:r>
      <w:r>
        <w:rPr>
          <w:rFonts w:ascii="Arial" w:cs="Arial" w:eastAsia="Arial" w:hAnsi="Arial"/>
          <w:sz w:val="21"/>
          <w:szCs w:val="21"/>
          <w:color w:val="auto"/>
        </w:rPr>
        <w:t>”), having an office at c/o VICI Properties Inc., 535 Madison Avenue, 20</w:t>
      </w:r>
      <w:r>
        <w:rPr>
          <w:rFonts w:ascii="Arial" w:cs="Arial" w:eastAsia="Arial" w:hAnsi="Arial"/>
          <w:sz w:val="18"/>
          <w:szCs w:val="18"/>
          <w:color w:val="auto"/>
        </w:rPr>
        <w:t>th</w:t>
      </w:r>
      <w:r>
        <w:rPr>
          <w:rFonts w:ascii="Arial" w:cs="Arial" w:eastAsia="Arial" w:hAnsi="Arial"/>
          <w:sz w:val="21"/>
          <w:szCs w:val="21"/>
          <w:color w:val="auto"/>
        </w:rPr>
        <w:t xml:space="preserve"> Floor, New York, New York 10022.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r>
        <w:rPr>
          <w:rFonts w:ascii="Arial" w:cs="Arial" w:eastAsia="Arial" w:hAnsi="Arial"/>
          <w:sz w:val="21"/>
          <w:szCs w:val="21"/>
          <w:color w:val="auto"/>
        </w:rPr>
        <w:t>:</w:t>
      </w:r>
    </w:p>
    <w:p>
      <w:pPr>
        <w:spacing w:after="0" w:line="219" w:lineRule="exact"/>
        <w:rPr>
          <w:sz w:val="20"/>
          <w:szCs w:val="20"/>
          <w:color w:val="auto"/>
        </w:rPr>
      </w:pPr>
    </w:p>
    <w:p>
      <w:pPr>
        <w:jc w:val="both"/>
        <w:ind w:firstLine="885"/>
        <w:spacing w:after="0" w:line="249" w:lineRule="auto"/>
        <w:tabs>
          <w:tab w:leader="none" w:pos="1728" w:val="left"/>
        </w:tabs>
        <w:numPr>
          <w:ilvl w:val="0"/>
          <w:numId w:val="67"/>
        </w:numPr>
        <w:rPr>
          <w:rFonts w:ascii="Arial" w:cs="Arial" w:eastAsia="Arial" w:hAnsi="Arial"/>
          <w:sz w:val="21"/>
          <w:szCs w:val="21"/>
          <w:color w:val="auto"/>
        </w:rPr>
      </w:pPr>
      <w:r>
        <w:rPr>
          <w:rFonts w:ascii="Arial" w:cs="Arial" w:eastAsia="Arial" w:hAnsi="Arial"/>
          <w:sz w:val="21"/>
          <w:szCs w:val="21"/>
          <w:color w:val="auto"/>
        </w:rPr>
        <w:t>Pursuant to the Purchase and Sale Agreement dated as of September 26, 2019 (the “</w:t>
      </w:r>
      <w:r>
        <w:rPr>
          <w:rFonts w:ascii="Arial" w:cs="Arial" w:eastAsia="Arial" w:hAnsi="Arial"/>
          <w:sz w:val="21"/>
          <w:szCs w:val="21"/>
          <w:u w:val="single" w:color="auto"/>
          <w:color w:val="auto"/>
        </w:rPr>
        <w:t>Purchase Agreement</w:t>
      </w:r>
      <w:r>
        <w:rPr>
          <w:rFonts w:ascii="Arial" w:cs="Arial" w:eastAsia="Arial" w:hAnsi="Arial"/>
          <w:sz w:val="21"/>
          <w:szCs w:val="21"/>
          <w:color w:val="auto"/>
        </w:rPr>
        <w:t>”), Eldorado agreed to sell to Buyer and Buyer agreed to purchase from Eldorado certain Property as more particularly described in the Purchase Agreement. The Purchase Agreement and the Property are referred to in the Master Transaction Agreement as the “Subject Property PSA (New Orleans)” and the “HNO Property”, respectively.</w:t>
      </w:r>
    </w:p>
    <w:p>
      <w:pPr>
        <w:spacing w:after="0" w:line="175" w:lineRule="exact"/>
        <w:rPr>
          <w:rFonts w:ascii="Arial" w:cs="Arial" w:eastAsia="Arial" w:hAnsi="Arial"/>
          <w:sz w:val="21"/>
          <w:szCs w:val="21"/>
          <w:color w:val="auto"/>
        </w:rPr>
      </w:pPr>
    </w:p>
    <w:p>
      <w:pPr>
        <w:ind w:left="1720" w:hanging="835"/>
        <w:spacing w:after="0"/>
        <w:tabs>
          <w:tab w:leader="none" w:pos="1720" w:val="left"/>
        </w:tabs>
        <w:numPr>
          <w:ilvl w:val="0"/>
          <w:numId w:val="67"/>
        </w:numPr>
        <w:rPr>
          <w:rFonts w:ascii="Arial" w:cs="Arial" w:eastAsia="Arial" w:hAnsi="Arial"/>
          <w:sz w:val="21"/>
          <w:szCs w:val="21"/>
          <w:color w:val="auto"/>
        </w:rPr>
      </w:pPr>
      <w:r>
        <w:rPr>
          <w:rFonts w:ascii="Arial" w:cs="Arial" w:eastAsia="Arial" w:hAnsi="Arial"/>
          <w:sz w:val="21"/>
          <w:szCs w:val="21"/>
          <w:color w:val="auto"/>
        </w:rPr>
        <w:t>Eldorado and Buyer each desire to amend the Purchase Agreement as more particularly set forth in this</w:t>
      </w:r>
    </w:p>
    <w:p>
      <w:pPr>
        <w:spacing w:after="0" w:line="17"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Amendment.</w:t>
      </w:r>
    </w:p>
    <w:p>
      <w:pPr>
        <w:spacing w:after="0" w:line="195" w:lineRule="exact"/>
        <w:rPr>
          <w:sz w:val="20"/>
          <w:szCs w:val="20"/>
          <w:color w:val="auto"/>
        </w:rPr>
      </w:pPr>
    </w:p>
    <w:p>
      <w:pPr>
        <w:ind w:firstLine="878"/>
        <w:spacing w:after="0" w:line="295" w:lineRule="auto"/>
        <w:rPr>
          <w:sz w:val="20"/>
          <w:szCs w:val="20"/>
          <w:color w:val="auto"/>
        </w:rPr>
      </w:pPr>
      <w:r>
        <w:rPr>
          <w:rFonts w:ascii="Arial" w:cs="Arial" w:eastAsia="Arial" w:hAnsi="Arial"/>
          <w:sz w:val="20"/>
          <w:szCs w:val="20"/>
          <w:color w:val="auto"/>
        </w:rPr>
        <w:t>NOW, THEREFORE, in consideration of the mutual promises, covenants and conditions hereinafter set forth and other consideration, the mutual receipt and legal sufficiency of which is hereby acknowledged, Eldorado and Buyer agree as follows:</w:t>
      </w:r>
    </w:p>
    <w:p>
      <w:pPr>
        <w:spacing w:after="0" w:line="130" w:lineRule="exact"/>
        <w:rPr>
          <w:sz w:val="20"/>
          <w:szCs w:val="20"/>
          <w:color w:val="auto"/>
        </w:rPr>
      </w:pPr>
    </w:p>
    <w:p>
      <w:pPr>
        <w:ind w:firstLine="885"/>
        <w:spacing w:after="0" w:line="270" w:lineRule="auto"/>
        <w:tabs>
          <w:tab w:leader="none" w:pos="1681"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 Capitalized terms used but not defined in this Amendment have the meanings given those terms in the Purchase Agreement.</w:t>
      </w:r>
    </w:p>
    <w:p>
      <w:pPr>
        <w:spacing w:after="0" w:line="152" w:lineRule="exact"/>
        <w:rPr>
          <w:rFonts w:ascii="Arial" w:cs="Arial" w:eastAsia="Arial" w:hAnsi="Arial"/>
          <w:sz w:val="21"/>
          <w:szCs w:val="21"/>
          <w:color w:val="auto"/>
        </w:rPr>
      </w:pPr>
    </w:p>
    <w:p>
      <w:pPr>
        <w:ind w:firstLine="885"/>
        <w:spacing w:after="0" w:line="270" w:lineRule="auto"/>
        <w:tabs>
          <w:tab w:leader="none" w:pos="1681"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Purchase Price</w:t>
      </w:r>
      <w:r>
        <w:rPr>
          <w:rFonts w:ascii="Arial" w:cs="Arial" w:eastAsia="Arial" w:hAnsi="Arial"/>
          <w:sz w:val="21"/>
          <w:szCs w:val="21"/>
          <w:color w:val="auto"/>
        </w:rPr>
        <w:t>. The second sentence of the first paragraph of Article 2 of the Purchase Agreement is hereby amended and restated in its entirety as follows:</w:t>
      </w:r>
    </w:p>
    <w:p>
      <w:pPr>
        <w:spacing w:after="0" w:line="152" w:lineRule="exact"/>
        <w:rPr>
          <w:sz w:val="20"/>
          <w:szCs w:val="20"/>
          <w:color w:val="auto"/>
        </w:rPr>
      </w:pPr>
    </w:p>
    <w:p>
      <w:pPr>
        <w:ind w:left="880"/>
        <w:spacing w:after="0" w:line="270" w:lineRule="auto"/>
        <w:rPr>
          <w:sz w:val="20"/>
          <w:szCs w:val="20"/>
          <w:color w:val="auto"/>
        </w:rPr>
      </w:pPr>
      <w:r>
        <w:rPr>
          <w:rFonts w:ascii="Arial" w:cs="Arial" w:eastAsia="Arial" w:hAnsi="Arial"/>
          <w:sz w:val="21"/>
          <w:szCs w:val="21"/>
          <w:color w:val="auto"/>
        </w:rPr>
        <w:t>“In consideration therefor, Buyer shall pay to Eldorado an aggregate amount of Seven Hundred Eighty Nine Million Five Hundred Thousand and No/100 Dollars ($789,500,000.00) (the “</w:t>
      </w:r>
      <w:r>
        <w:rPr>
          <w:rFonts w:ascii="Arial" w:cs="Arial" w:eastAsia="Arial" w:hAnsi="Arial"/>
          <w:sz w:val="21"/>
          <w:szCs w:val="21"/>
          <w:u w:val="single" w:color="auto"/>
          <w:color w:val="auto"/>
        </w:rPr>
        <w:t>Purchase Price</w:t>
      </w:r>
      <w:r>
        <w:rPr>
          <w:rFonts w:ascii="Arial" w:cs="Arial" w:eastAsia="Arial" w:hAnsi="Arial"/>
          <w:sz w:val="21"/>
          <w:szCs w:val="21"/>
          <w:color w:val="auto"/>
        </w:rPr>
        <w:t>”).”</w:t>
      </w:r>
    </w:p>
    <w:p>
      <w:pPr>
        <w:spacing w:after="0" w:line="152" w:lineRule="exact"/>
        <w:rPr>
          <w:sz w:val="20"/>
          <w:szCs w:val="20"/>
          <w:color w:val="auto"/>
        </w:rPr>
      </w:pPr>
    </w:p>
    <w:p>
      <w:pPr>
        <w:jc w:val="both"/>
        <w:ind w:firstLine="885"/>
        <w:spacing w:after="0" w:line="276" w:lineRule="auto"/>
        <w:tabs>
          <w:tab w:leader="none" w:pos="1681"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parties hereto further agree that Section 11.1 (</w:t>
      </w:r>
      <w:r>
        <w:rPr>
          <w:rFonts w:ascii="Arial" w:cs="Arial" w:eastAsia="Arial" w:hAnsi="Arial"/>
          <w:sz w:val="19"/>
          <w:szCs w:val="19"/>
          <w:i w:val="1"/>
          <w:iCs w:val="1"/>
          <w:color w:val="auto"/>
        </w:rPr>
        <w:t>Buyer’s Assignment</w:t>
      </w:r>
      <w:r>
        <w:rPr>
          <w:rFonts w:ascii="Arial" w:cs="Arial" w:eastAsia="Arial" w:hAnsi="Arial"/>
          <w:sz w:val="19"/>
          <w:szCs w:val="19"/>
          <w:color w:val="auto"/>
        </w:rPr>
        <w:t>), Section 11.3 (</w:t>
      </w:r>
      <w:r>
        <w:rPr>
          <w:rFonts w:ascii="Arial" w:cs="Arial" w:eastAsia="Arial" w:hAnsi="Arial"/>
          <w:sz w:val="19"/>
          <w:szCs w:val="19"/>
          <w:i w:val="1"/>
          <w:iCs w:val="1"/>
          <w:color w:val="auto"/>
        </w:rPr>
        <w:t>Integration; Waiver</w:t>
      </w:r>
      <w:r>
        <w:rPr>
          <w:rFonts w:ascii="Arial" w:cs="Arial" w:eastAsia="Arial" w:hAnsi="Arial"/>
          <w:sz w:val="19"/>
          <w:szCs w:val="19"/>
          <w:color w:val="auto"/>
        </w:rPr>
        <w:t>), Section 11.4 (</w:t>
      </w:r>
      <w:r>
        <w:rPr>
          <w:rFonts w:ascii="Arial" w:cs="Arial" w:eastAsia="Arial" w:hAnsi="Arial"/>
          <w:sz w:val="19"/>
          <w:szCs w:val="19"/>
          <w:i w:val="1"/>
          <w:iCs w:val="1"/>
          <w:color w:val="auto"/>
        </w:rPr>
        <w:t>Governing Law</w:t>
      </w:r>
      <w:r>
        <w:rPr>
          <w:rFonts w:ascii="Arial" w:cs="Arial" w:eastAsia="Arial" w:hAnsi="Arial"/>
          <w:sz w:val="19"/>
          <w:szCs w:val="19"/>
          <w:color w:val="auto"/>
        </w:rPr>
        <w:t>), Section 11.6 (</w:t>
      </w:r>
      <w:r>
        <w:rPr>
          <w:rFonts w:ascii="Arial" w:cs="Arial" w:eastAsia="Arial" w:hAnsi="Arial"/>
          <w:sz w:val="19"/>
          <w:szCs w:val="19"/>
          <w:i w:val="1"/>
          <w:iCs w:val="1"/>
          <w:color w:val="auto"/>
        </w:rPr>
        <w:t>Binding Effect</w:t>
      </w:r>
      <w:r>
        <w:rPr>
          <w:rFonts w:ascii="Arial" w:cs="Arial" w:eastAsia="Arial" w:hAnsi="Arial"/>
          <w:sz w:val="19"/>
          <w:szCs w:val="19"/>
          <w:color w:val="auto"/>
        </w:rPr>
        <w:t>), Section 11.7 (</w:t>
      </w:r>
      <w:r>
        <w:rPr>
          <w:rFonts w:ascii="Arial" w:cs="Arial" w:eastAsia="Arial" w:hAnsi="Arial"/>
          <w:sz w:val="19"/>
          <w:szCs w:val="19"/>
          <w:i w:val="1"/>
          <w:iCs w:val="1"/>
          <w:color w:val="auto"/>
        </w:rPr>
        <w:t>Severability</w:t>
      </w:r>
      <w:r>
        <w:rPr>
          <w:rFonts w:ascii="Arial" w:cs="Arial" w:eastAsia="Arial" w:hAnsi="Arial"/>
          <w:sz w:val="19"/>
          <w:szCs w:val="19"/>
          <w:color w:val="auto"/>
        </w:rPr>
        <w:t>), Section 11.8 (</w:t>
      </w:r>
      <w:r>
        <w:rPr>
          <w:rFonts w:ascii="Arial" w:cs="Arial" w:eastAsia="Arial" w:hAnsi="Arial"/>
          <w:sz w:val="19"/>
          <w:szCs w:val="19"/>
          <w:i w:val="1"/>
          <w:iCs w:val="1"/>
          <w:color w:val="auto"/>
        </w:rPr>
        <w:t>Notices</w:t>
      </w:r>
      <w:r>
        <w:rPr>
          <w:rFonts w:ascii="Arial" w:cs="Arial" w:eastAsia="Arial" w:hAnsi="Arial"/>
          <w:sz w:val="19"/>
          <w:szCs w:val="19"/>
          <w:color w:val="auto"/>
        </w:rPr>
        <w:t>), Section 11.9 (</w:t>
      </w:r>
      <w:r>
        <w:rPr>
          <w:rFonts w:ascii="Arial" w:cs="Arial" w:eastAsia="Arial" w:hAnsi="Arial"/>
          <w:sz w:val="19"/>
          <w:szCs w:val="19"/>
          <w:i w:val="1"/>
          <w:iCs w:val="1"/>
          <w:color w:val="auto"/>
        </w:rPr>
        <w:t>Counterparts; Electronic Signatures</w:t>
      </w:r>
      <w:r>
        <w:rPr>
          <w:rFonts w:ascii="Arial" w:cs="Arial" w:eastAsia="Arial" w:hAnsi="Arial"/>
          <w:sz w:val="19"/>
          <w:szCs w:val="19"/>
          <w:color w:val="auto"/>
        </w:rPr>
        <w:t>), Section 11.12 (</w:t>
      </w:r>
      <w:r>
        <w:rPr>
          <w:rFonts w:ascii="Arial" w:cs="Arial" w:eastAsia="Arial" w:hAnsi="Arial"/>
          <w:sz w:val="19"/>
          <w:szCs w:val="19"/>
          <w:i w:val="1"/>
          <w:iCs w:val="1"/>
          <w:color w:val="auto"/>
        </w:rPr>
        <w:t>Construction</w:t>
      </w:r>
      <w:r>
        <w:rPr>
          <w:rFonts w:ascii="Arial" w:cs="Arial" w:eastAsia="Arial" w:hAnsi="Arial"/>
          <w:sz w:val="19"/>
          <w:szCs w:val="19"/>
          <w:color w:val="auto"/>
        </w:rPr>
        <w:t>), Section 11.14 (</w:t>
      </w:r>
      <w:r>
        <w:rPr>
          <w:rFonts w:ascii="Arial" w:cs="Arial" w:eastAsia="Arial" w:hAnsi="Arial"/>
          <w:sz w:val="19"/>
          <w:szCs w:val="19"/>
          <w:i w:val="1"/>
          <w:iCs w:val="1"/>
          <w:color w:val="auto"/>
        </w:rPr>
        <w:t>Jurisdiction</w:t>
      </w:r>
      <w:r>
        <w:rPr>
          <w:rFonts w:ascii="Arial" w:cs="Arial" w:eastAsia="Arial" w:hAnsi="Arial"/>
          <w:sz w:val="19"/>
          <w:szCs w:val="19"/>
          <w:color w:val="auto"/>
        </w:rPr>
        <w:t>) and Section 11.15 (</w:t>
      </w:r>
      <w:r>
        <w:rPr>
          <w:rFonts w:ascii="Arial" w:cs="Arial" w:eastAsia="Arial" w:hAnsi="Arial"/>
          <w:sz w:val="19"/>
          <w:szCs w:val="19"/>
          <w:i w:val="1"/>
          <w:iCs w:val="1"/>
          <w:color w:val="auto"/>
        </w:rPr>
        <w:t>Waiver of Jury Trial</w:t>
      </w:r>
      <w:r>
        <w:rPr>
          <w:rFonts w:ascii="Arial" w:cs="Arial" w:eastAsia="Arial" w:hAnsi="Arial"/>
          <w:sz w:val="19"/>
          <w:szCs w:val="19"/>
          <w:color w:val="auto"/>
        </w:rPr>
        <w:t xml:space="preserve">) of the Purchase Agreement are hereby incorporated into this Amendment, </w:t>
      </w:r>
      <w:r>
        <w:rPr>
          <w:rFonts w:ascii="Arial" w:cs="Arial" w:eastAsia="Arial" w:hAnsi="Arial"/>
          <w:sz w:val="19"/>
          <w:szCs w:val="19"/>
          <w:i w:val="1"/>
          <w:iCs w:val="1"/>
          <w:color w:val="auto"/>
        </w:rPr>
        <w:t>mutatis mutandis</w:t>
      </w:r>
      <w:r>
        <w:rPr>
          <w:rFonts w:ascii="Arial" w:cs="Arial" w:eastAsia="Arial" w:hAnsi="Arial"/>
          <w:sz w:val="19"/>
          <w:szCs w:val="19"/>
          <w:color w:val="auto"/>
        </w:rPr>
        <w:t>, and except as expressly set forth herein, the Purchase Agreement is hereby ratified and affirmed and remains unmodified and in full force and effect. All future references to the Purchase Agreement shall mean the Purchase Agreement, as amended by this Amendment.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[Remainder of page intentionally left blank; signatures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KL3 3288076.1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729043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154" w:name="page155"/>
    <w:bookmarkEnd w:id="154"/>
    <w:p>
      <w:pPr>
        <w:ind w:firstLine="878"/>
        <w:spacing w:after="0" w:line="270" w:lineRule="auto"/>
        <w:rPr>
          <w:sz w:val="20"/>
          <w:szCs w:val="20"/>
          <w:color w:val="auto"/>
        </w:rPr>
      </w:pPr>
      <w:r>
        <w:rPr>
          <w:rFonts w:ascii="Arial" w:cs="Arial" w:eastAsia="Arial" w:hAnsi="Arial"/>
          <w:sz w:val="21"/>
          <w:szCs w:val="21"/>
          <w:b w:val="1"/>
          <w:bCs w:val="1"/>
          <w:i w:val="1"/>
          <w:iCs w:val="1"/>
          <w:color w:val="auto"/>
        </w:rPr>
        <w:t>IN WITNESS WHEREOF</w:t>
      </w:r>
      <w:r>
        <w:rPr>
          <w:rFonts w:ascii="Arial" w:cs="Arial" w:eastAsia="Arial" w:hAnsi="Arial"/>
          <w:sz w:val="21"/>
          <w:szCs w:val="21"/>
          <w:color w:val="auto"/>
        </w:rPr>
        <w:t>, each party hereto, intending to be legally bound, has caused this Amendment to be duly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executed to be effective as of the day and year first above written.</w:t>
      </w:r>
    </w:p>
    <w:p>
      <w:pPr>
        <w:spacing w:after="0" w:line="146" w:lineRule="exact"/>
        <w:rPr>
          <w:sz w:val="20"/>
          <w:szCs w:val="20"/>
          <w:color w:val="auto"/>
        </w:rPr>
      </w:pPr>
    </w:p>
    <w:p>
      <w:pPr>
        <w:ind w:left="5720"/>
        <w:spacing w:after="0"/>
        <w:rPr>
          <w:sz w:val="20"/>
          <w:szCs w:val="20"/>
          <w:color w:val="auto"/>
        </w:rPr>
      </w:pPr>
      <w:r>
        <w:rPr>
          <w:rFonts w:ascii="Arial" w:cs="Arial" w:eastAsia="Arial" w:hAnsi="Arial"/>
          <w:sz w:val="21"/>
          <w:szCs w:val="21"/>
          <w:b w:val="1"/>
          <w:bCs w:val="1"/>
          <w:color w:val="auto"/>
        </w:rPr>
        <w:t>ELDORADO:</w:t>
      </w:r>
    </w:p>
    <w:p>
      <w:pPr>
        <w:spacing w:after="0" w:line="213" w:lineRule="exact"/>
        <w:rPr>
          <w:sz w:val="20"/>
          <w:szCs w:val="20"/>
          <w:color w:val="auto"/>
        </w:rPr>
      </w:pPr>
    </w:p>
    <w:p>
      <w:pPr>
        <w:ind w:left="5720"/>
        <w:spacing w:after="0"/>
        <w:rPr>
          <w:sz w:val="20"/>
          <w:szCs w:val="20"/>
          <w:color w:val="auto"/>
        </w:rPr>
      </w:pPr>
      <w:r>
        <w:rPr>
          <w:rFonts w:ascii="Arial" w:cs="Arial" w:eastAsia="Arial" w:hAnsi="Arial"/>
          <w:sz w:val="21"/>
          <w:szCs w:val="21"/>
          <w:b w:val="1"/>
          <w:bCs w:val="1"/>
          <w:color w:val="auto"/>
        </w:rPr>
        <w:t>ELDORADO RESORTS, INC.</w:t>
      </w:r>
      <w:r>
        <w:rPr>
          <w:rFonts w:ascii="Arial" w:cs="Arial" w:eastAsia="Arial" w:hAnsi="Arial"/>
          <w:sz w:val="21"/>
          <w:szCs w:val="21"/>
          <w:color w:val="auto"/>
        </w:rPr>
        <w: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a Nevada corporation</w:t>
      </w:r>
    </w:p>
    <w:p>
      <w:pPr>
        <w:spacing w:after="0" w:line="195"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4133850</wp:posOffset>
            </wp:positionH>
            <wp:positionV relativeFrom="paragraph">
              <wp:posOffset>13335</wp:posOffset>
            </wp:positionV>
            <wp:extent cx="21069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7">
                      <a:extLst>
                        <a:ext uri="{28A0092B-C50C-407E-A947-70E740481C1C}"/>
                      </a:extLst>
                    </a:blip>
                    <a:srcRect/>
                    <a:stretch>
                      <a:fillRect/>
                    </a:stretch>
                  </pic:blipFill>
                  <pic:spPr bwMode="auto">
                    <a:xfrm>
                      <a:off x="0" y="0"/>
                      <a:ext cx="2106930" cy="8255"/>
                    </a:xfrm>
                    <a:prstGeom prst="rect">
                      <a:avLst/>
                    </a:prstGeom>
                    <a:noFill/>
                  </pic:spPr>
                </pic:pic>
              </a:graphicData>
            </a:graphic>
          </wp:anchor>
        </w:drawing>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Name:</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21"/>
          <w:szCs w:val="21"/>
          <w:b w:val="1"/>
          <w:bCs w:val="1"/>
          <w:color w:val="auto"/>
        </w:rPr>
        <w:t>BUYER:</w:t>
      </w:r>
    </w:p>
    <w:p>
      <w:pPr>
        <w:spacing w:after="0" w:line="213" w:lineRule="exact"/>
        <w:rPr>
          <w:sz w:val="20"/>
          <w:szCs w:val="20"/>
          <w:color w:val="auto"/>
        </w:rPr>
      </w:pPr>
    </w:p>
    <w:p>
      <w:pPr>
        <w:ind w:left="5720"/>
        <w:spacing w:after="0"/>
        <w:rPr>
          <w:sz w:val="20"/>
          <w:szCs w:val="20"/>
          <w:color w:val="auto"/>
        </w:rPr>
      </w:pPr>
      <w:r>
        <w:rPr>
          <w:rFonts w:ascii="Arial" w:cs="Arial" w:eastAsia="Arial" w:hAnsi="Arial"/>
          <w:sz w:val="21"/>
          <w:szCs w:val="21"/>
          <w:b w:val="1"/>
          <w:bCs w:val="1"/>
          <w:color w:val="auto"/>
        </w:rPr>
        <w:t>VICI PROPERTIES L.P.</w:t>
      </w:r>
      <w:r>
        <w:rPr>
          <w:rFonts w:ascii="Arial" w:cs="Arial" w:eastAsia="Arial" w:hAnsi="Arial"/>
          <w:sz w:val="21"/>
          <w:szCs w:val="21"/>
          <w:color w:val="auto"/>
        </w:rPr>
        <w: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a Delaware limited partnership</w:t>
      </w:r>
    </w:p>
    <w:p>
      <w:pPr>
        <w:spacing w:after="0" w:line="195"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4133850</wp:posOffset>
            </wp:positionH>
            <wp:positionV relativeFrom="paragraph">
              <wp:posOffset>13335</wp:posOffset>
            </wp:positionV>
            <wp:extent cx="21069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8">
                      <a:extLst>
                        <a:ext uri="{28A0092B-C50C-407E-A947-70E740481C1C}"/>
                      </a:extLst>
                    </a:blip>
                    <a:srcRect/>
                    <a:stretch>
                      <a:fillRect/>
                    </a:stretch>
                  </pic:blipFill>
                  <pic:spPr bwMode="auto">
                    <a:xfrm>
                      <a:off x="0" y="0"/>
                      <a:ext cx="2106930" cy="8255"/>
                    </a:xfrm>
                    <a:prstGeom prst="rect">
                      <a:avLst/>
                    </a:prstGeom>
                    <a:noFill/>
                  </pic:spPr>
                </pic:pic>
              </a:graphicData>
            </a:graphic>
          </wp:anchor>
        </w:drawing>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Name:</w:t>
      </w:r>
    </w:p>
    <w:p>
      <w:pPr>
        <w:jc w:val="center"/>
        <w:ind w:left="48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to First Amendment to Purchase and Sale Agreement (HNO)</w:t>
      </w:r>
      <w:r>
        <w:rPr>
          <w:rFonts w:ascii="Arial" w:cs="Arial" w:eastAsia="Arial" w:hAnsi="Arial"/>
          <w:sz w:val="21"/>
          <w:szCs w:val="21"/>
          <w:color w:val="auto"/>
        </w:rPr>
        <w:t>]</w:t>
      </w:r>
    </w:p>
    <w:p>
      <w:pPr>
        <w:sectPr>
          <w:pgSz w:w="11900" w:h="16838" w:orient="portrait"/>
          <w:cols w:equalWidth="0" w:num="1">
            <w:col w:w="11420"/>
          </w:cols>
          <w:pgMar w:left="240" w:top="332"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21"/>
          <w:szCs w:val="21"/>
          <w:b w:val="1"/>
          <w:bCs w:val="1"/>
          <w:color w:val="auto"/>
        </w:rPr>
        <w:t>Exhibit 10.21</w:t>
      </w:r>
    </w:p>
    <w:p>
      <w:pPr>
        <w:spacing w:after="0" w:line="213" w:lineRule="exact"/>
        <w:rPr>
          <w:sz w:val="20"/>
          <w:szCs w:val="20"/>
          <w:color w:val="auto"/>
        </w:rPr>
      </w:pPr>
    </w:p>
    <w:p>
      <w:pPr>
        <w:ind w:left="1760"/>
        <w:spacing w:after="0"/>
        <w:rPr>
          <w:sz w:val="20"/>
          <w:szCs w:val="20"/>
          <w:color w:val="auto"/>
        </w:rPr>
      </w:pPr>
      <w:r>
        <w:rPr>
          <w:rFonts w:ascii="Arial" w:cs="Arial" w:eastAsia="Arial" w:hAnsi="Arial"/>
          <w:sz w:val="21"/>
          <w:szCs w:val="21"/>
          <w:b w:val="1"/>
          <w:bCs w:val="1"/>
          <w:color w:val="auto"/>
        </w:rPr>
        <w:t>DIRECTOR NON-DEFERRED RESTRICTED STOCK UNIT AWARD AGREEMENT</w:t>
      </w:r>
    </w:p>
    <w:p>
      <w:pPr>
        <w:spacing w:after="0" w:line="213" w:lineRule="exact"/>
        <w:rPr>
          <w:sz w:val="20"/>
          <w:szCs w:val="20"/>
          <w:color w:val="auto"/>
        </w:rPr>
      </w:pPr>
    </w:p>
    <w:p>
      <w:pPr>
        <w:ind w:left="4320"/>
        <w:spacing w:after="0"/>
        <w:rPr>
          <w:sz w:val="20"/>
          <w:szCs w:val="20"/>
          <w:color w:val="auto"/>
        </w:rPr>
      </w:pPr>
      <w:r>
        <w:rPr>
          <w:rFonts w:ascii="Arial" w:cs="Arial" w:eastAsia="Arial" w:hAnsi="Arial"/>
          <w:sz w:val="21"/>
          <w:szCs w:val="21"/>
          <w:b w:val="1"/>
          <w:bCs w:val="1"/>
          <w:color w:val="auto"/>
        </w:rPr>
        <w:t>ELDORADO RESORTS,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2015 Equity Incentive Plan</w:t>
      </w:r>
    </w:p>
    <w:p>
      <w:pPr>
        <w:spacing w:after="0" w:line="195"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color w:val="auto"/>
        </w:rPr>
        <w:t>This DIRECTOR NON-DEFERRED RESTRICTED STOCK UNIT AWARD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as of the [●] day of [●], 20[●] between Eldorado Resorts, Inc., a Nevada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[_________] (the “</w:t>
      </w:r>
      <w:r>
        <w:rPr>
          <w:rFonts w:ascii="Arial" w:cs="Arial" w:eastAsia="Arial" w:hAnsi="Arial"/>
          <w:sz w:val="21"/>
          <w:szCs w:val="21"/>
          <w:u w:val="single" w:color="auto"/>
          <w:color w:val="auto"/>
        </w:rPr>
        <w:t>Participant</w:t>
      </w:r>
      <w:r>
        <w:rPr>
          <w:rFonts w:ascii="Arial" w:cs="Arial" w:eastAsia="Arial" w:hAnsi="Arial"/>
          <w:sz w:val="21"/>
          <w:szCs w:val="21"/>
          <w:color w:val="auto"/>
        </w:rPr>
        <w:t>”), and is made pursuant to the terms of the Company’s 2015 Equity Incentive Plan (the “</w:t>
      </w:r>
      <w:r>
        <w:rPr>
          <w:rFonts w:ascii="Arial" w:cs="Arial" w:eastAsia="Arial" w:hAnsi="Arial"/>
          <w:sz w:val="21"/>
          <w:szCs w:val="21"/>
          <w:u w:val="single" w:color="auto"/>
          <w:color w:val="auto"/>
        </w:rPr>
        <w:t>Plan</w:t>
      </w:r>
      <w:r>
        <w:rPr>
          <w:rFonts w:ascii="Arial" w:cs="Arial" w:eastAsia="Arial" w:hAnsi="Arial"/>
          <w:sz w:val="21"/>
          <w:szCs w:val="21"/>
          <w:color w:val="auto"/>
        </w:rPr>
        <w:t>”). Capitalized terms used herein but not defined shall have the meanings set forth in the Plan.</w:t>
      </w:r>
    </w:p>
    <w:p>
      <w:pPr>
        <w:spacing w:after="0" w:line="175" w:lineRule="exact"/>
        <w:rPr>
          <w:sz w:val="20"/>
          <w:szCs w:val="20"/>
          <w:color w:val="auto"/>
        </w:rPr>
      </w:pPr>
    </w:p>
    <w:p>
      <w:pPr>
        <w:jc w:val="both"/>
        <w:ind w:firstLine="1755"/>
        <w:spacing w:after="0" w:line="247" w:lineRule="auto"/>
        <w:rPr>
          <w:sz w:val="20"/>
          <w:szCs w:val="20"/>
          <w:color w:val="auto"/>
        </w:rPr>
      </w:pPr>
      <w:r>
        <w:rPr>
          <w:rFonts w:ascii="Arial" w:cs="Arial" w:eastAsia="Arial" w:hAnsi="Arial"/>
          <w:sz w:val="21"/>
          <w:szCs w:val="21"/>
          <w:u w:val="single" w:color="auto"/>
          <w:color w:val="auto"/>
        </w:rPr>
        <w:t>Section 1. Restricted Stock Units</w:t>
      </w:r>
      <w:r>
        <w:rPr>
          <w:rFonts w:ascii="Arial" w:cs="Arial" w:eastAsia="Arial" w:hAnsi="Arial"/>
          <w:sz w:val="21"/>
          <w:szCs w:val="21"/>
          <w:color w:val="auto"/>
        </w:rPr>
        <w:t>. The Company hereby issues to the Participant, as of the Date of Grant, [●] restricted stock units (the “</w:t>
      </w:r>
      <w:r>
        <w:rPr>
          <w:rFonts w:ascii="Arial" w:cs="Arial" w:eastAsia="Arial" w:hAnsi="Arial"/>
          <w:sz w:val="21"/>
          <w:szCs w:val="21"/>
          <w:u w:val="single" w:color="auto"/>
          <w:color w:val="auto"/>
        </w:rPr>
        <w:t>RSUs</w:t>
      </w:r>
      <w:r>
        <w:rPr>
          <w:rFonts w:ascii="Arial" w:cs="Arial" w:eastAsia="Arial" w:hAnsi="Arial"/>
          <w:sz w:val="21"/>
          <w:szCs w:val="21"/>
          <w:color w:val="auto"/>
        </w:rPr>
        <w:t>”), subject to such vesting, transfer and other restrictions and conditions as set forth in this Agreement (the “</w:t>
      </w:r>
      <w:r>
        <w:rPr>
          <w:rFonts w:ascii="Arial" w:cs="Arial" w:eastAsia="Arial" w:hAnsi="Arial"/>
          <w:sz w:val="21"/>
          <w:szCs w:val="21"/>
          <w:u w:val="single" w:color="auto"/>
          <w:color w:val="auto"/>
        </w:rPr>
        <w:t>Award</w:t>
      </w:r>
      <w:r>
        <w:rPr>
          <w:rFonts w:ascii="Arial" w:cs="Arial" w:eastAsia="Arial" w:hAnsi="Arial"/>
          <w:sz w:val="21"/>
          <w:szCs w:val="21"/>
          <w:color w:val="auto"/>
        </w:rPr>
        <w:t>”). Each RSU represents the right to receive one Share, or the value equal to the Fair Market Value of one Share, as applicable, subject to the terms and conditions set forth in this Agreement and the Plan. For purposes of this Agreement, the “</w:t>
      </w:r>
      <w:r>
        <w:rPr>
          <w:rFonts w:ascii="Arial" w:cs="Arial" w:eastAsia="Arial" w:hAnsi="Arial"/>
          <w:sz w:val="21"/>
          <w:szCs w:val="21"/>
          <w:u w:val="single" w:color="auto"/>
          <w:color w:val="auto"/>
        </w:rPr>
        <w:t>Grant</w:t>
      </w:r>
      <w:r>
        <w:rPr>
          <w:rFonts w:ascii="Arial" w:cs="Arial" w:eastAsia="Arial" w:hAnsi="Arial"/>
          <w:sz w:val="21"/>
          <w:szCs w:val="21"/>
          <w:color w:val="auto"/>
        </w:rPr>
        <w:t xml:space="preserve"> </w:t>
      </w:r>
      <w:r>
        <w:rPr>
          <w:rFonts w:ascii="Arial" w:cs="Arial" w:eastAsia="Arial" w:hAnsi="Arial"/>
          <w:sz w:val="21"/>
          <w:szCs w:val="21"/>
          <w:u w:val="single" w:color="auto"/>
          <w:color w:val="auto"/>
        </w:rPr>
        <w:t>Date</w:t>
      </w:r>
      <w:r>
        <w:rPr>
          <w:rFonts w:ascii="Arial" w:cs="Arial" w:eastAsia="Arial" w:hAnsi="Arial"/>
          <w:sz w:val="21"/>
          <w:szCs w:val="21"/>
          <w:color w:val="auto"/>
        </w:rPr>
        <w:t>” shall be [●].</w:t>
      </w:r>
    </w:p>
    <w:p>
      <w:pPr>
        <w:spacing w:after="0" w:line="176" w:lineRule="exact"/>
        <w:rPr>
          <w:sz w:val="20"/>
          <w:szCs w:val="20"/>
          <w:color w:val="auto"/>
        </w:rPr>
      </w:pPr>
    </w:p>
    <w:p>
      <w:pPr>
        <w:ind w:left="1760"/>
        <w:spacing w:after="0"/>
        <w:tabs>
          <w:tab w:leader="none" w:pos="3240" w:val="left"/>
        </w:tabs>
        <w:rPr>
          <w:sz w:val="20"/>
          <w:szCs w:val="20"/>
          <w:color w:val="auto"/>
        </w:rPr>
      </w:pPr>
      <w:r>
        <w:rPr>
          <w:rFonts w:ascii="Arial" w:cs="Arial" w:eastAsia="Arial" w:hAnsi="Arial"/>
          <w:sz w:val="21"/>
          <w:szCs w:val="21"/>
          <w:u w:val="single" w:color="auto"/>
          <w:color w:val="auto"/>
        </w:rPr>
        <w:t>Section 2.</w:t>
      </w:r>
      <w:r>
        <w:rPr>
          <w:sz w:val="20"/>
          <w:szCs w:val="20"/>
          <w:color w:val="auto"/>
        </w:rPr>
        <w:tab/>
      </w:r>
      <w:r>
        <w:rPr>
          <w:rFonts w:ascii="Arial" w:cs="Arial" w:eastAsia="Arial" w:hAnsi="Arial"/>
          <w:sz w:val="19"/>
          <w:szCs w:val="19"/>
          <w:u w:val="single" w:color="auto"/>
          <w:color w:val="auto"/>
        </w:rPr>
        <w:t>Vesting Requirements</w:t>
      </w:r>
      <w:r>
        <w:rPr>
          <w:rFonts w:ascii="Arial" w:cs="Arial" w:eastAsia="Arial" w:hAnsi="Arial"/>
          <w:sz w:val="19"/>
          <w:szCs w:val="19"/>
          <w:color w:val="auto"/>
        </w:rPr>
        <w:t>. The RSUs shall be fully vested as of the Grant Date.</w:t>
      </w:r>
    </w:p>
    <w:p>
      <w:pPr>
        <w:spacing w:after="0" w:line="213" w:lineRule="exact"/>
        <w:rPr>
          <w:sz w:val="20"/>
          <w:szCs w:val="20"/>
          <w:color w:val="auto"/>
        </w:rPr>
      </w:pPr>
    </w:p>
    <w:p>
      <w:pPr>
        <w:jc w:val="both"/>
        <w:ind w:firstLine="1755"/>
        <w:spacing w:after="0" w:line="254" w:lineRule="auto"/>
        <w:rPr>
          <w:sz w:val="20"/>
          <w:szCs w:val="20"/>
          <w:color w:val="auto"/>
        </w:rPr>
      </w:pPr>
      <w:r>
        <w:rPr>
          <w:rFonts w:ascii="Arial" w:cs="Arial" w:eastAsia="Arial" w:hAnsi="Arial"/>
          <w:sz w:val="21"/>
          <w:szCs w:val="21"/>
          <w:u w:val="single" w:color="auto"/>
          <w:color w:val="auto"/>
        </w:rPr>
        <w:t>Section 3. Settlement</w:t>
      </w:r>
      <w:r>
        <w:rPr>
          <w:rFonts w:ascii="Arial" w:cs="Arial" w:eastAsia="Arial" w:hAnsi="Arial"/>
          <w:sz w:val="21"/>
          <w:szCs w:val="21"/>
          <w:color w:val="auto"/>
        </w:rPr>
        <w:t>. As soon as reasonably practicable following the Grant Date (and in any event within 10 days following the Grant Date), all vested RSUs shall be paid, unless otherwise determined by the Committee, by the Company delivering to the Participant a number of Shares equal to the number of vested RSUs.</w:t>
      </w:r>
    </w:p>
    <w:p>
      <w:pPr>
        <w:spacing w:after="0" w:line="170" w:lineRule="exact"/>
        <w:rPr>
          <w:sz w:val="20"/>
          <w:szCs w:val="20"/>
          <w:color w:val="auto"/>
        </w:rPr>
      </w:pPr>
    </w:p>
    <w:p>
      <w:pPr>
        <w:jc w:val="both"/>
        <w:ind w:firstLine="1755"/>
        <w:spacing w:after="0" w:line="257" w:lineRule="auto"/>
        <w:rPr>
          <w:sz w:val="20"/>
          <w:szCs w:val="20"/>
          <w:color w:val="auto"/>
        </w:rPr>
      </w:pPr>
      <w:r>
        <w:rPr>
          <w:rFonts w:ascii="Arial" w:cs="Arial" w:eastAsia="Arial" w:hAnsi="Arial"/>
          <w:sz w:val="20"/>
          <w:szCs w:val="20"/>
          <w:u w:val="single" w:color="auto"/>
          <w:color w:val="auto"/>
        </w:rPr>
        <w:t>Section 4. Restrictions on Transfer</w:t>
      </w:r>
      <w:r>
        <w:rPr>
          <w:rFonts w:ascii="Arial" w:cs="Arial" w:eastAsia="Arial" w:hAnsi="Arial"/>
          <w:sz w:val="20"/>
          <w:szCs w:val="20"/>
          <w:color w:val="auto"/>
        </w:rPr>
        <w:t xml:space="preserve">. No RSUs (nor any interest therein) may be sold, assigned, alienated, pledged, attached or otherwise transferred or encumbered by the Participant otherwise than by will or by the laws of descent and distribution, and any such purported sale, assignment, alienation, pledge, attachment, transfer or encumbrance shall be void and unenforceable against the Company or any Affiliate;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designation of a beneficiary shall not constitute a sale, assignment, alienation, pledge, attachment, transfer or encumbrance. Notwithstanding the foregoing, at the discretion of the Committee, RSUs may be transferred by the Participant solely to the Participant’s spouse, siblings, parents, children and grandchildren or trusts for the benefit of such persons or partnerships, corporations, limited liability companies or other entities owned solely by such persons, including, but not limited to, trusts for such persons.</w:t>
      </w:r>
    </w:p>
    <w:p>
      <w:pPr>
        <w:spacing w:after="0" w:line="171"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20"/>
          <w:szCs w:val="20"/>
          <w:u w:val="single" w:color="auto"/>
          <w:color w:val="auto"/>
        </w:rPr>
        <w:t>Section 5. Investment Representation</w:t>
      </w:r>
      <w:r>
        <w:rPr>
          <w:rFonts w:ascii="Arial" w:cs="Arial" w:eastAsia="Arial" w:hAnsi="Arial"/>
          <w:sz w:val="20"/>
          <w:szCs w:val="20"/>
          <w:color w:val="auto"/>
        </w:rPr>
        <w:t>. The Participant is acquiring the RSUs for investment purposes only and not with a view to, or in connection with, the public distribution thereof in violation of the Securities Act of 1933, as amended (the “</w:t>
      </w:r>
      <w:r>
        <w:rPr>
          <w:rFonts w:ascii="Arial" w:cs="Arial" w:eastAsia="Arial" w:hAnsi="Arial"/>
          <w:sz w:val="20"/>
          <w:szCs w:val="20"/>
          <w:u w:val="single" w:color="auto"/>
          <w:color w:val="auto"/>
        </w:rPr>
        <w:t>Securities Ac</w:t>
      </w:r>
      <w:r>
        <w:rPr>
          <w:rFonts w:ascii="Arial" w:cs="Arial" w:eastAsia="Arial" w:hAnsi="Arial"/>
          <w:sz w:val="20"/>
          <w:szCs w:val="20"/>
          <w:color w:val="auto"/>
        </w:rPr>
        <w:t>t”). No Shares shall be acquired unless and until the Company and/or the Participant shall have complied with all applicable federal or state registration, listing and/or qualification requirements and all other requirements of law or of any regulatory agencies having jurisdiction, unless the Committee has received evidence satisfactory to it that the Participant may acquire such shares pursuant to an exemption from registration under the applicable securities laws. The Participant understands and agrees that none of the RSUs may be offered, sold, assigned, transferred, pledged, hypothecated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329565</wp:posOffset>
            </wp:positionV>
            <wp:extent cx="729043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156" w:name="page157"/>
    <w:bookmarkEnd w:id="156"/>
    <w:p>
      <w:pPr>
        <w:jc w:val="both"/>
        <w:spacing w:after="0" w:line="279" w:lineRule="auto"/>
        <w:rPr>
          <w:sz w:val="20"/>
          <w:szCs w:val="20"/>
          <w:color w:val="auto"/>
        </w:rPr>
      </w:pPr>
      <w:r>
        <w:rPr>
          <w:rFonts w:ascii="Arial" w:cs="Arial" w:eastAsia="Arial" w:hAnsi="Arial"/>
          <w:sz w:val="19"/>
          <w:szCs w:val="19"/>
          <w:color w:val="auto"/>
        </w:rPr>
        <w:t>or otherwise disposed of except in compliance with this Agreement and the Securities Act pursuant to an effective registration statement or applicable exemption from the registration requirements of the Securities Act and applicable state securities or “blue sky” laws. Notwithstanding anything herein to the contrary, the Company shall have no obligation to deliver any Shares hereunder or make any other distribution of benefits under hereunder unless such delivery or distribution would comply with all applicable laws (including, without limitation, the Securities Act), and the applicable requirements of any securities exchange or similar entity.</w:t>
      </w:r>
    </w:p>
    <w:p>
      <w:pPr>
        <w:spacing w:after="0" w:line="148"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21"/>
          <w:szCs w:val="21"/>
          <w:u w:val="single" w:color="auto"/>
          <w:color w:val="auto"/>
        </w:rPr>
        <w:t>Section 6. Adjustments</w:t>
      </w:r>
      <w:r>
        <w:rPr>
          <w:rFonts w:ascii="Arial" w:cs="Arial" w:eastAsia="Arial" w:hAnsi="Arial"/>
          <w:sz w:val="21"/>
          <w:szCs w:val="21"/>
          <w:color w:val="auto"/>
        </w:rPr>
        <w:t>. The Award granted hereunder shall be subject to the adjustment as provided in Section 4(b) of the Plan.</w:t>
      </w:r>
    </w:p>
    <w:p>
      <w:pPr>
        <w:spacing w:after="0" w:line="152"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21"/>
          <w:szCs w:val="21"/>
          <w:u w:val="single" w:color="auto"/>
          <w:color w:val="auto"/>
        </w:rPr>
        <w:t>Section 7. No Right of Continued Service</w:t>
      </w:r>
      <w:r>
        <w:rPr>
          <w:rFonts w:ascii="Arial" w:cs="Arial" w:eastAsia="Arial" w:hAnsi="Arial"/>
          <w:sz w:val="21"/>
          <w:szCs w:val="21"/>
          <w:color w:val="auto"/>
        </w:rPr>
        <w:t>. Nothing in the Plan or this Agreement shall confer upon the Participant any right to continued service with the Company or any of its Affiliates.</w:t>
      </w:r>
    </w:p>
    <w:p>
      <w:pPr>
        <w:spacing w:after="0" w:line="152" w:lineRule="exact"/>
        <w:rPr>
          <w:sz w:val="20"/>
          <w:szCs w:val="20"/>
          <w:color w:val="auto"/>
        </w:rPr>
      </w:pPr>
    </w:p>
    <w:p>
      <w:pPr>
        <w:jc w:val="both"/>
        <w:ind w:firstLine="1755"/>
        <w:spacing w:after="0" w:line="242" w:lineRule="auto"/>
        <w:rPr>
          <w:sz w:val="20"/>
          <w:szCs w:val="20"/>
          <w:color w:val="auto"/>
        </w:rPr>
      </w:pPr>
      <w:r>
        <w:rPr>
          <w:rFonts w:ascii="Arial" w:cs="Arial" w:eastAsia="Arial" w:hAnsi="Arial"/>
          <w:sz w:val="21"/>
          <w:szCs w:val="21"/>
          <w:u w:val="single" w:color="auto"/>
          <w:color w:val="auto"/>
        </w:rPr>
        <w:t>Section 8. No Rights as a Stockholder; Dividends</w:t>
      </w:r>
      <w:r>
        <w:rPr>
          <w:rFonts w:ascii="Arial" w:cs="Arial" w:eastAsia="Arial" w:hAnsi="Arial"/>
          <w:sz w:val="21"/>
          <w:szCs w:val="21"/>
          <w:color w:val="auto"/>
        </w:rPr>
        <w:t>. The Participant shall not have any privileges of a stockholder of the Company with respect to any RSUs, including without limitation any right to vote any Shares underlying such RSUs or to receive dividends or other distributions in respect thereof, unless and until Shares underlying the RSUs are delivered to the Participant in accordance with Section 3 hereof. Notwithstanding the foregoing, any dividends payable with respect to the RSUs underlying the Award during the Period from the Grant Date through the date the applicable RSUs are settled in accordance with Section 3 hereof will accumulate in cash and be payable to the Participant on a deferred basis, but only to the extent that the Award vests in accordance with Section 2 hereof. In no event shall the Participant be entitled to any payments relating to dividends paid after the earlier to occur of the settlement or forfeiture of the applicable RSUs underlying the Award and, for the avoidance of doubt, all accumulated dividends shall be forfeited immediately upon the forfeiture or cancellation of the Award or applicable portion thereof.</w:t>
      </w:r>
    </w:p>
    <w:p>
      <w:pPr>
        <w:spacing w:after="0" w:line="188"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20"/>
          <w:szCs w:val="20"/>
          <w:u w:val="single" w:color="auto"/>
          <w:color w:val="auto"/>
        </w:rPr>
        <w:t>Section 9. Clawback</w:t>
      </w:r>
      <w:r>
        <w:rPr>
          <w:rFonts w:ascii="Arial" w:cs="Arial" w:eastAsia="Arial" w:hAnsi="Arial"/>
          <w:sz w:val="20"/>
          <w:szCs w:val="20"/>
          <w:color w:val="auto"/>
        </w:rPr>
        <w:t>. The Award will be subject to recoupment in accordance with any existing clawback policy or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as the Board determines necessary or appropriate, including but not limited to a reacquisition right in respect of previously acquired Shares or other cash or property upon the occurrence of Cause.</w:t>
      </w:r>
    </w:p>
    <w:p>
      <w:pPr>
        <w:spacing w:after="0" w:line="164" w:lineRule="exact"/>
        <w:rPr>
          <w:sz w:val="20"/>
          <w:szCs w:val="20"/>
          <w:color w:val="auto"/>
        </w:rPr>
      </w:pPr>
    </w:p>
    <w:p>
      <w:pPr>
        <w:jc w:val="both"/>
        <w:ind w:firstLine="1755"/>
        <w:spacing w:after="0" w:line="276" w:lineRule="auto"/>
        <w:rPr>
          <w:sz w:val="20"/>
          <w:szCs w:val="20"/>
          <w:color w:val="auto"/>
        </w:rPr>
      </w:pPr>
      <w:r>
        <w:rPr>
          <w:rFonts w:ascii="Arial" w:cs="Arial" w:eastAsia="Arial" w:hAnsi="Arial"/>
          <w:sz w:val="19"/>
          <w:szCs w:val="19"/>
          <w:u w:val="single" w:color="auto"/>
          <w:color w:val="auto"/>
        </w:rPr>
        <w:t>Section 10. Amendment and Termination</w:t>
      </w:r>
      <w:r>
        <w:rPr>
          <w:rFonts w:ascii="Arial" w:cs="Arial" w:eastAsia="Arial" w:hAnsi="Arial"/>
          <w:sz w:val="19"/>
          <w:szCs w:val="19"/>
          <w:color w:val="auto"/>
        </w:rPr>
        <w:t xml:space="preserve">. Subject to the terms of the Plan, any amendment to this Agreement shall be in writing and signed by the parties hereto. Notwithstanding the immediately-preceding sentence, subject to the terms of the Plan, the Committee may waive any conditions or rights under, amend any terms of, or alter, suspend, discontinue, cancel or terminate, this Agreement and/or the Award;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subject to the terms of the Plan, any such waiver, amendment, alteration, suspension, discontinuance, cancellation or termination that would materially impair the rights of the Participant or any holder or beneficiary of the Award shall not be effective without the written consent of the Participant, holder or beneficiary.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8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57" w:name="page158"/>
    <w:bookmarkEnd w:id="157"/>
    <w:p>
      <w:pPr>
        <w:jc w:val="both"/>
        <w:ind w:firstLine="1755"/>
        <w:spacing w:after="0" w:line="260" w:lineRule="auto"/>
        <w:rPr>
          <w:sz w:val="20"/>
          <w:szCs w:val="20"/>
          <w:color w:val="auto"/>
        </w:rPr>
      </w:pPr>
      <w:r>
        <w:rPr>
          <w:rFonts w:ascii="Arial" w:cs="Arial" w:eastAsia="Arial" w:hAnsi="Arial"/>
          <w:sz w:val="20"/>
          <w:szCs w:val="20"/>
          <w:u w:val="single" w:color="auto"/>
          <w:color w:val="auto"/>
        </w:rPr>
        <w:t>Section 11. Construction</w:t>
      </w:r>
      <w:r>
        <w:rPr>
          <w:rFonts w:ascii="Arial" w:cs="Arial" w:eastAsia="Arial" w:hAnsi="Arial"/>
          <w:sz w:val="20"/>
          <w:szCs w:val="20"/>
          <w:color w:val="auto"/>
        </w:rPr>
        <w:t>. The Award granted hereunder is granted by the Company pursuant to the Plan and is in all respects subject to the terms and conditions of the Plan. The Participant hereby acknowledges that a copy of the Plan has been delivered to the Participant and accepts the Award hereunder subject to all terms and provisions of the Plan, which are incorporated herein by reference. In the event of a conflict or ambiguity between any term or provision contained herein and a term or provision of the Plan, the Plan will govern and prevail. The construction of and decisions under the Plan and this Agreement are vested in the Committee, whose determinations shall be final, conclusive and binding upon the Participant.</w:t>
      </w:r>
    </w:p>
    <w:p>
      <w:pPr>
        <w:spacing w:after="0" w:line="164"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21"/>
          <w:szCs w:val="21"/>
          <w:u w:val="single" w:color="auto"/>
          <w:color w:val="auto"/>
        </w:rPr>
        <w:t>Section 12. Governing Law</w:t>
      </w:r>
      <w:r>
        <w:rPr>
          <w:rFonts w:ascii="Arial" w:cs="Arial" w:eastAsia="Arial" w:hAnsi="Arial"/>
          <w:sz w:val="21"/>
          <w:szCs w:val="21"/>
          <w:color w:val="auto"/>
        </w:rPr>
        <w:t>. This Agreement shall be construed and enforced in accordance with the laws of the State of Nevada, without giving effect to the choice of law principles thereof.</w:t>
      </w:r>
    </w:p>
    <w:p>
      <w:pPr>
        <w:spacing w:after="0" w:line="152"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21"/>
          <w:szCs w:val="21"/>
          <w:u w:val="single" w:color="auto"/>
          <w:color w:val="auto"/>
        </w:rPr>
        <w:t>Section 13. Counterparts</w:t>
      </w:r>
      <w:r>
        <w:rPr>
          <w:rFonts w:ascii="Arial" w:cs="Arial" w:eastAsia="Arial" w:hAnsi="Arial"/>
          <w:sz w:val="21"/>
          <w:szCs w:val="21"/>
          <w:color w:val="auto"/>
        </w:rPr>
        <w:t>. This Agreement may be executed in counterparts, each of which shall be deemed to be an original but all of which together shall constitute one and the same instrument.</w:t>
      </w:r>
    </w:p>
    <w:p>
      <w:pPr>
        <w:spacing w:after="0" w:line="152" w:lineRule="exact"/>
        <w:rPr>
          <w:sz w:val="20"/>
          <w:szCs w:val="20"/>
          <w:color w:val="auto"/>
        </w:rPr>
      </w:pPr>
    </w:p>
    <w:p>
      <w:pPr>
        <w:jc w:val="both"/>
        <w:ind w:right="20" w:firstLine="1755"/>
        <w:spacing w:after="0" w:line="270" w:lineRule="auto"/>
        <w:rPr>
          <w:sz w:val="20"/>
          <w:szCs w:val="20"/>
          <w:color w:val="auto"/>
        </w:rPr>
      </w:pPr>
      <w:r>
        <w:rPr>
          <w:rFonts w:ascii="Arial" w:cs="Arial" w:eastAsia="Arial" w:hAnsi="Arial"/>
          <w:sz w:val="21"/>
          <w:szCs w:val="21"/>
          <w:u w:val="single" w:color="auto"/>
          <w:color w:val="auto"/>
        </w:rPr>
        <w:t>Section 14. Binding Effect</w:t>
      </w:r>
      <w:r>
        <w:rPr>
          <w:rFonts w:ascii="Arial" w:cs="Arial" w:eastAsia="Arial" w:hAnsi="Arial"/>
          <w:sz w:val="21"/>
          <w:szCs w:val="21"/>
          <w:color w:val="auto"/>
        </w:rPr>
        <w:t>. This Agreement shall inure to the benefit of and be binding upon the parties hereto and their respective heirs, executors, administrators, successors and assigns.</w:t>
      </w:r>
    </w:p>
    <w:p>
      <w:pPr>
        <w:spacing w:after="0" w:line="152"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21"/>
          <w:szCs w:val="21"/>
          <w:u w:val="single" w:color="auto"/>
          <w:color w:val="auto"/>
        </w:rPr>
        <w:t>Section 15. Entire Agreement</w:t>
      </w:r>
      <w:r>
        <w:rPr>
          <w:rFonts w:ascii="Arial" w:cs="Arial" w:eastAsia="Arial" w:hAnsi="Arial"/>
          <w:sz w:val="21"/>
          <w:szCs w:val="21"/>
          <w:color w:val="auto"/>
        </w:rPr>
        <w:t>. This Agreement and the Plan constitute the entire agreement between the parties with respect to the subject matter hereof and thereof.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[SIGNATURES ON FOLLOWING PAGE]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8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1"/>
          <w:szCs w:val="21"/>
          <w:color w:val="auto"/>
        </w:rPr>
        <w:t>IN WITNESS WHEREOF, the parties hereto have executed this Agreement effective as of the date first written</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above.</w:t>
      </w:r>
    </w:p>
    <w:p>
      <w:pPr>
        <w:spacing w:after="0" w:line="222"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ELDORADO RESORTS, INC.</w:t>
      </w:r>
    </w:p>
    <w:p>
      <w:pPr>
        <w:spacing w:after="0" w:line="240"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13335</wp:posOffset>
            </wp:positionV>
            <wp:extent cx="28378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2">
                      <a:extLst>
                        <a:ext uri="{28A0092B-C50C-407E-A947-70E740481C1C}"/>
                      </a:extLst>
                    </a:blip>
                    <a:srcRect/>
                    <a:stretch>
                      <a:fillRect/>
                    </a:stretch>
                  </pic:blipFill>
                  <pic:spPr bwMode="auto">
                    <a:xfrm>
                      <a:off x="0" y="0"/>
                      <a:ext cx="2837815" cy="8255"/>
                    </a:xfrm>
                    <a:prstGeom prst="rect">
                      <a:avLst/>
                    </a:prstGeom>
                    <a:noFill/>
                  </pic:spPr>
                </pic:pic>
              </a:graphicData>
            </a:graphic>
          </wp:anchor>
        </w:drawing>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13335</wp:posOffset>
            </wp:positionV>
            <wp:extent cx="28378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3">
                      <a:extLst>
                        <a:ext uri="{28A0092B-C50C-407E-A947-70E740481C1C}"/>
                      </a:extLst>
                    </a:blip>
                    <a:srcRect/>
                    <a:stretch>
                      <a:fillRect/>
                    </a:stretch>
                  </pic:blipFill>
                  <pic:spPr bwMode="auto">
                    <a:xfrm>
                      <a:off x="0" y="0"/>
                      <a:ext cx="2837815" cy="8255"/>
                    </a:xfrm>
                    <a:prstGeom prst="rect">
                      <a:avLst/>
                    </a:prstGeom>
                    <a:noFill/>
                  </pic:spPr>
                </pic:pic>
              </a:graphicData>
            </a:graphic>
          </wp:anchor>
        </w:drawing>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13335</wp:posOffset>
            </wp:positionV>
            <wp:extent cx="28378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4">
                      <a:extLst>
                        <a:ext uri="{28A0092B-C50C-407E-A947-70E740481C1C}"/>
                      </a:extLst>
                    </a:blip>
                    <a:srcRect/>
                    <a:stretch>
                      <a:fillRect/>
                    </a:stretch>
                  </pic:blipFill>
                  <pic:spPr bwMode="auto">
                    <a:xfrm>
                      <a:off x="0" y="0"/>
                      <a:ext cx="2837815" cy="8255"/>
                    </a:xfrm>
                    <a:prstGeom prst="rect">
                      <a:avLst/>
                    </a:prstGeom>
                    <a:noFill/>
                  </pic:spPr>
                </pic:pic>
              </a:graphicData>
            </a:graphic>
          </wp:anchor>
        </w:drawing>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PARTICIPANT</w:t>
      </w:r>
    </w:p>
    <w:p>
      <w:pPr>
        <w:spacing w:after="0" w:line="254" w:lineRule="exact"/>
        <w:rPr>
          <w:sz w:val="20"/>
          <w:szCs w:val="20"/>
          <w:color w:val="auto"/>
        </w:rPr>
      </w:pPr>
    </w:p>
    <w:p>
      <w:pPr>
        <w:ind w:left="5720"/>
        <w:spacing w:after="0"/>
        <w:tabs>
          <w:tab w:leader="none" w:pos="9780" w:val="left"/>
        </w:tabs>
        <w:rPr>
          <w:sz w:val="20"/>
          <w:szCs w:val="20"/>
          <w:color w:val="auto"/>
        </w:rPr>
      </w:pPr>
      <w:r>
        <w:rPr>
          <w:rFonts w:ascii="Arial" w:cs="Arial" w:eastAsia="Arial" w:hAnsi="Arial"/>
          <w:sz w:val="21"/>
          <w:szCs w:val="21"/>
          <w:color w:val="auto"/>
        </w:rPr>
        <w:t>Participant’s Signature</w:t>
      </w:r>
      <w:r>
        <w:rPr>
          <w:sz w:val="20"/>
          <w:szCs w:val="20"/>
          <w:color w:val="auto"/>
        </w:rPr>
        <w:tab/>
      </w: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-147320</wp:posOffset>
            </wp:positionV>
            <wp:extent cx="36195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5">
                      <a:extLst>
                        <a:ext uri="{28A0092B-C50C-407E-A947-70E740481C1C}"/>
                      </a:extLst>
                    </a:blip>
                    <a:srcRect/>
                    <a:stretch>
                      <a:fillRect/>
                    </a:stretch>
                  </pic:blipFill>
                  <pic:spPr bwMode="auto">
                    <a:xfrm>
                      <a:off x="0" y="0"/>
                      <a:ext cx="3619500" cy="8255"/>
                    </a:xfrm>
                    <a:prstGeom prst="rect">
                      <a:avLst/>
                    </a:prstGeom>
                    <a:noFill/>
                  </pic:spPr>
                </pic:pic>
              </a:graphicData>
            </a:graphic>
          </wp:anchor>
        </w:drawing>
      </w:r>
    </w:p>
    <w:p>
      <w:pPr>
        <w:spacing w:after="0" w:line="274"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13335</wp:posOffset>
            </wp:positionV>
            <wp:extent cx="28378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6">
                      <a:extLst>
                        <a:ext uri="{28A0092B-C50C-407E-A947-70E740481C1C}"/>
                      </a:extLst>
                    </a:blip>
                    <a:srcRect/>
                    <a:stretch>
                      <a:fillRect/>
                    </a:stretch>
                  </pic:blipFill>
                  <pic:spPr bwMode="auto">
                    <a:xfrm>
                      <a:off x="0" y="0"/>
                      <a:ext cx="2837815" cy="8255"/>
                    </a:xfrm>
                    <a:prstGeom prst="rect">
                      <a:avLst/>
                    </a:prstGeom>
                    <a:noFill/>
                  </pic:spPr>
                </pic:pic>
              </a:graphicData>
            </a:graphic>
          </wp:anchor>
        </w:drawing>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13335</wp:posOffset>
            </wp:positionV>
            <wp:extent cx="28378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7">
                      <a:extLst>
                        <a:ext uri="{28A0092B-C50C-407E-A947-70E740481C1C}"/>
                      </a:extLst>
                    </a:blip>
                    <a:srcRect/>
                    <a:stretch>
                      <a:fillRect/>
                    </a:stretch>
                  </pic:blipFill>
                  <pic:spPr bwMode="auto">
                    <a:xfrm>
                      <a:off x="0" y="0"/>
                      <a:ext cx="28378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420"/>
          </w:cols>
          <w:pgMar w:left="240" w:top="359"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1"/>
          <w:szCs w:val="21"/>
          <w:b w:val="1"/>
          <w:bCs w:val="1"/>
          <w:color w:val="auto"/>
        </w:rPr>
        <w:t>Exhibit 10.22</w:t>
      </w:r>
    </w:p>
    <w:p>
      <w:pPr>
        <w:spacing w:after="0" w:line="240" w:lineRule="exact"/>
        <w:rPr>
          <w:sz w:val="20"/>
          <w:szCs w:val="20"/>
          <w:color w:val="auto"/>
        </w:rPr>
      </w:pPr>
    </w:p>
    <w:p>
      <w:pPr>
        <w:ind w:left="3220"/>
        <w:spacing w:after="0"/>
        <w:rPr>
          <w:sz w:val="20"/>
          <w:szCs w:val="20"/>
          <w:color w:val="auto"/>
        </w:rPr>
      </w:pPr>
      <w:r>
        <w:rPr>
          <w:rFonts w:ascii="Arial" w:cs="Arial" w:eastAsia="Arial" w:hAnsi="Arial"/>
          <w:sz w:val="21"/>
          <w:szCs w:val="21"/>
          <w:b w:val="1"/>
          <w:bCs w:val="1"/>
          <w:color w:val="auto"/>
        </w:rPr>
        <w:t>RESTRICTED STOCK UNIT AWARD AGREEMENT</w:t>
      </w:r>
    </w:p>
    <w:p>
      <w:pPr>
        <w:spacing w:after="0" w:line="213" w:lineRule="exact"/>
        <w:rPr>
          <w:sz w:val="20"/>
          <w:szCs w:val="20"/>
          <w:color w:val="auto"/>
        </w:rPr>
      </w:pPr>
    </w:p>
    <w:p>
      <w:pPr>
        <w:ind w:left="4320"/>
        <w:spacing w:after="0"/>
        <w:rPr>
          <w:sz w:val="20"/>
          <w:szCs w:val="20"/>
          <w:color w:val="auto"/>
        </w:rPr>
      </w:pPr>
      <w:r>
        <w:rPr>
          <w:rFonts w:ascii="Arial" w:cs="Arial" w:eastAsia="Arial" w:hAnsi="Arial"/>
          <w:sz w:val="21"/>
          <w:szCs w:val="21"/>
          <w:b w:val="1"/>
          <w:bCs w:val="1"/>
          <w:color w:val="auto"/>
        </w:rPr>
        <w:t>ELDORADO RESORTS, INC.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21"/>
          <w:szCs w:val="21"/>
          <w:b w:val="1"/>
          <w:bCs w:val="1"/>
          <w:color w:val="auto"/>
        </w:rPr>
        <w:t>2015 Equity Incentive Plan</w:t>
      </w:r>
    </w:p>
    <w:p>
      <w:pPr>
        <w:spacing w:after="0" w:line="195"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This RESTRICTED STOCK UNIT AWARD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made as of the [●] day of</w:t>
      </w:r>
    </w:p>
    <w:p>
      <w:pPr>
        <w:spacing w:after="0" w:line="29" w:lineRule="exact"/>
        <w:rPr>
          <w:sz w:val="20"/>
          <w:szCs w:val="20"/>
          <w:color w:val="auto"/>
        </w:rPr>
      </w:pPr>
    </w:p>
    <w:p>
      <w:pPr>
        <w:jc w:val="both"/>
        <w:ind w:firstLine="7"/>
        <w:spacing w:after="0" w:line="245" w:lineRule="auto"/>
        <w:tabs>
          <w:tab w:leader="none" w:pos="111" w:val="left"/>
        </w:tabs>
        <w:numPr>
          <w:ilvl w:val="0"/>
          <w:numId w:val="70"/>
        </w:numPr>
        <w:rPr>
          <w:rFonts w:ascii="Arial" w:cs="Arial" w:eastAsia="Arial" w:hAnsi="Arial"/>
          <w:sz w:val="21"/>
          <w:szCs w:val="21"/>
          <w:color w:val="auto"/>
        </w:rPr>
      </w:pPr>
      <w:r>
        <w:rPr>
          <w:rFonts w:ascii="Arial" w:cs="Arial" w:eastAsia="Arial" w:hAnsi="Arial"/>
          <w:sz w:val="21"/>
          <w:szCs w:val="21"/>
          <w:color w:val="auto"/>
        </w:rPr>
        <w:t>● ], 2017 (the “</w:t>
      </w:r>
      <w:r>
        <w:rPr>
          <w:rFonts w:ascii="Arial" w:cs="Arial" w:eastAsia="Arial" w:hAnsi="Arial"/>
          <w:sz w:val="21"/>
          <w:szCs w:val="21"/>
          <w:u w:val="single" w:color="auto"/>
          <w:color w:val="auto"/>
        </w:rPr>
        <w:t>Grant Date</w:t>
      </w:r>
      <w:r>
        <w:rPr>
          <w:rFonts w:ascii="Arial" w:cs="Arial" w:eastAsia="Arial" w:hAnsi="Arial"/>
          <w:sz w:val="21"/>
          <w:szCs w:val="21"/>
          <w:color w:val="auto"/>
        </w:rPr>
        <w:t>”) between Eldorado Resorts, Inc., a Nevada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[_________] (the “</w:t>
      </w:r>
      <w:r>
        <w:rPr>
          <w:rFonts w:ascii="Arial" w:cs="Arial" w:eastAsia="Arial" w:hAnsi="Arial"/>
          <w:sz w:val="21"/>
          <w:szCs w:val="21"/>
          <w:u w:val="single" w:color="auto"/>
          <w:color w:val="auto"/>
        </w:rPr>
        <w:t>Participant</w:t>
      </w:r>
      <w:r>
        <w:rPr>
          <w:rFonts w:ascii="Arial" w:cs="Arial" w:eastAsia="Arial" w:hAnsi="Arial"/>
          <w:sz w:val="21"/>
          <w:szCs w:val="21"/>
          <w:color w:val="auto"/>
        </w:rPr>
        <w:t>”), and is made pursuant to the terms of the Company’s 2015 Equity Incentive Plan (the “</w:t>
      </w:r>
      <w:r>
        <w:rPr>
          <w:rFonts w:ascii="Arial" w:cs="Arial" w:eastAsia="Arial" w:hAnsi="Arial"/>
          <w:sz w:val="21"/>
          <w:szCs w:val="21"/>
          <w:u w:val="single" w:color="auto"/>
          <w:color w:val="auto"/>
        </w:rPr>
        <w:t>Plan</w:t>
      </w:r>
      <w:r>
        <w:rPr>
          <w:rFonts w:ascii="Arial" w:cs="Arial" w:eastAsia="Arial" w:hAnsi="Arial"/>
          <w:sz w:val="21"/>
          <w:szCs w:val="21"/>
          <w:color w:val="auto"/>
        </w:rPr>
        <w:t>”). Capitalized terms used herein but not defined shall have the meanings set forth in the Plan.</w:t>
      </w:r>
    </w:p>
    <w:p>
      <w:pPr>
        <w:spacing w:after="0" w:line="179" w:lineRule="exact"/>
        <w:rPr>
          <w:sz w:val="20"/>
          <w:szCs w:val="20"/>
          <w:color w:val="auto"/>
        </w:rPr>
      </w:pPr>
    </w:p>
    <w:p>
      <w:pPr>
        <w:ind w:left="1760"/>
        <w:spacing w:after="0"/>
        <w:tabs>
          <w:tab w:leader="none" w:pos="3220" w:val="left"/>
        </w:tabs>
        <w:rPr>
          <w:sz w:val="20"/>
          <w:szCs w:val="20"/>
          <w:color w:val="auto"/>
        </w:rPr>
      </w:pPr>
      <w:r>
        <w:rPr>
          <w:rFonts w:ascii="Arial" w:cs="Arial" w:eastAsia="Arial" w:hAnsi="Arial"/>
          <w:sz w:val="21"/>
          <w:szCs w:val="21"/>
          <w:u w:val="single" w:color="auto"/>
          <w:color w:val="auto"/>
        </w:rPr>
        <w:t>Section 1.</w:t>
      </w:r>
      <w:r>
        <w:rPr>
          <w:sz w:val="20"/>
          <w:szCs w:val="20"/>
          <w:color w:val="auto"/>
        </w:rPr>
        <w:tab/>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The Company hereby issues to the Participant, as of the Date of Grant, [ #</w:t>
      </w:r>
    </w:p>
    <w:p>
      <w:pPr>
        <w:spacing w:after="0" w:line="17" w:lineRule="exact"/>
        <w:rPr>
          <w:sz w:val="20"/>
          <w:szCs w:val="20"/>
          <w:color w:val="auto"/>
        </w:rPr>
      </w:pPr>
    </w:p>
    <w:p>
      <w:pPr>
        <w:jc w:val="both"/>
        <w:ind w:firstLine="7"/>
        <w:spacing w:after="0" w:line="245" w:lineRule="auto"/>
        <w:tabs>
          <w:tab w:leader="none" w:pos="125" w:val="left"/>
        </w:tabs>
        <w:numPr>
          <w:ilvl w:val="0"/>
          <w:numId w:val="71"/>
        </w:numPr>
        <w:rPr>
          <w:rFonts w:ascii="Arial" w:cs="Arial" w:eastAsia="Arial" w:hAnsi="Arial"/>
          <w:sz w:val="21"/>
          <w:szCs w:val="21"/>
          <w:color w:val="auto"/>
        </w:rPr>
      </w:pPr>
      <w:r>
        <w:rPr>
          <w:rFonts w:ascii="Arial" w:cs="Arial" w:eastAsia="Arial" w:hAnsi="Arial"/>
          <w:sz w:val="21"/>
          <w:szCs w:val="21"/>
          <w:color w:val="auto"/>
        </w:rPr>
        <w:t>restricted stock units (the “</w:t>
      </w:r>
      <w:r>
        <w:rPr>
          <w:rFonts w:ascii="Arial" w:cs="Arial" w:eastAsia="Arial" w:hAnsi="Arial"/>
          <w:sz w:val="21"/>
          <w:szCs w:val="21"/>
          <w:u w:val="single" w:color="auto"/>
          <w:color w:val="auto"/>
        </w:rPr>
        <w:t>RSUs</w:t>
      </w:r>
      <w:r>
        <w:rPr>
          <w:rFonts w:ascii="Arial" w:cs="Arial" w:eastAsia="Arial" w:hAnsi="Arial"/>
          <w:sz w:val="21"/>
          <w:szCs w:val="21"/>
          <w:color w:val="auto"/>
        </w:rPr>
        <w:t>”), subject to such vesting, transfer and other restrictions and conditions as set forth in this Agreement (the “</w:t>
      </w:r>
      <w:r>
        <w:rPr>
          <w:rFonts w:ascii="Arial" w:cs="Arial" w:eastAsia="Arial" w:hAnsi="Arial"/>
          <w:sz w:val="21"/>
          <w:szCs w:val="21"/>
          <w:u w:val="single" w:color="auto"/>
          <w:color w:val="auto"/>
        </w:rPr>
        <w:t>Award</w:t>
      </w:r>
      <w:r>
        <w:rPr>
          <w:rFonts w:ascii="Arial" w:cs="Arial" w:eastAsia="Arial" w:hAnsi="Arial"/>
          <w:sz w:val="21"/>
          <w:szCs w:val="21"/>
          <w:color w:val="auto"/>
        </w:rPr>
        <w:t>”). Each RSU represents the value equal to the Fair Market Value of one Share, subject to the terms and conditions set forth in this Agreement and the Plan.</w:t>
      </w:r>
    </w:p>
    <w:p>
      <w:pPr>
        <w:spacing w:after="0" w:line="179" w:lineRule="exact"/>
        <w:rPr>
          <w:sz w:val="20"/>
          <w:szCs w:val="20"/>
          <w:color w:val="auto"/>
        </w:rPr>
      </w:pPr>
    </w:p>
    <w:p>
      <w:pPr>
        <w:ind w:left="1760"/>
        <w:spacing w:after="0"/>
        <w:tabs>
          <w:tab w:leader="none" w:pos="3240" w:val="left"/>
        </w:tabs>
        <w:rPr>
          <w:sz w:val="20"/>
          <w:szCs w:val="20"/>
          <w:color w:val="auto"/>
        </w:rPr>
      </w:pPr>
      <w:r>
        <w:rPr>
          <w:rFonts w:ascii="Arial" w:cs="Arial" w:eastAsia="Arial" w:hAnsi="Arial"/>
          <w:sz w:val="21"/>
          <w:szCs w:val="21"/>
          <w:u w:val="single" w:color="auto"/>
          <w:color w:val="auto"/>
        </w:rPr>
        <w:t>Section 2.</w:t>
      </w:r>
      <w:r>
        <w:rPr>
          <w:sz w:val="20"/>
          <w:szCs w:val="20"/>
          <w:color w:val="auto"/>
        </w:rPr>
        <w:tab/>
      </w:r>
      <w:r>
        <w:rPr>
          <w:rFonts w:ascii="Arial" w:cs="Arial" w:eastAsia="Arial" w:hAnsi="Arial"/>
          <w:sz w:val="19"/>
          <w:szCs w:val="19"/>
          <w:u w:val="single" w:color="auto"/>
          <w:color w:val="auto"/>
        </w:rPr>
        <w:t>Vesting Requirements</w:t>
      </w:r>
      <w:r>
        <w:rPr>
          <w:rFonts w:ascii="Arial" w:cs="Arial" w:eastAsia="Arial" w:hAnsi="Arial"/>
          <w:sz w:val="19"/>
          <w:szCs w:val="19"/>
          <w:color w:val="auto"/>
        </w:rPr>
        <w:t>.</w:t>
      </w:r>
    </w:p>
    <w:p>
      <w:pPr>
        <w:spacing w:after="0" w:line="213" w:lineRule="exact"/>
        <w:rPr>
          <w:sz w:val="20"/>
          <w:szCs w:val="20"/>
          <w:color w:val="auto"/>
        </w:rPr>
      </w:pPr>
    </w:p>
    <w:p>
      <w:pPr>
        <w:jc w:val="both"/>
        <w:ind w:firstLine="1762"/>
        <w:spacing w:after="0" w:line="254" w:lineRule="auto"/>
        <w:tabs>
          <w:tab w:leader="none" w:pos="2635"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Generally</w:t>
      </w:r>
      <w:r>
        <w:rPr>
          <w:rFonts w:ascii="Arial" w:cs="Arial" w:eastAsia="Arial" w:hAnsi="Arial"/>
          <w:sz w:val="21"/>
          <w:szCs w:val="21"/>
          <w:color w:val="auto"/>
        </w:rPr>
        <w:t>. Except as otherwise provided herein, the RSUs shall vest and become non-forfeitable on the third anniversary of the Grant Date (the “</w:t>
      </w:r>
      <w:r>
        <w:rPr>
          <w:rFonts w:ascii="Arial" w:cs="Arial" w:eastAsia="Arial" w:hAnsi="Arial"/>
          <w:sz w:val="21"/>
          <w:szCs w:val="21"/>
          <w:u w:val="single" w:color="auto"/>
          <w:color w:val="auto"/>
        </w:rPr>
        <w:t>Vesting Date</w:t>
      </w:r>
      <w:r>
        <w:rPr>
          <w:rFonts w:ascii="Arial" w:cs="Arial" w:eastAsia="Arial" w:hAnsi="Arial"/>
          <w:sz w:val="21"/>
          <w:szCs w:val="21"/>
          <w:color w:val="auto"/>
        </w:rPr>
        <w:t>”), subject to the Participant’s continuous service or employment with the Company and its Affiliates (“</w:t>
      </w:r>
      <w:r>
        <w:rPr>
          <w:rFonts w:ascii="Arial" w:cs="Arial" w:eastAsia="Arial" w:hAnsi="Arial"/>
          <w:sz w:val="21"/>
          <w:szCs w:val="21"/>
          <w:u w:val="single" w:color="auto"/>
          <w:color w:val="auto"/>
        </w:rPr>
        <w:t>Service</w:t>
      </w:r>
      <w:r>
        <w:rPr>
          <w:rFonts w:ascii="Arial" w:cs="Arial" w:eastAsia="Arial" w:hAnsi="Arial"/>
          <w:sz w:val="21"/>
          <w:szCs w:val="21"/>
          <w:color w:val="auto"/>
        </w:rPr>
        <w:t>”) from the Grant Date through the Vesting Date.</w:t>
      </w:r>
    </w:p>
    <w:p>
      <w:pPr>
        <w:spacing w:after="0" w:line="169" w:lineRule="exact"/>
        <w:rPr>
          <w:rFonts w:ascii="Arial" w:cs="Arial" w:eastAsia="Arial" w:hAnsi="Arial"/>
          <w:sz w:val="21"/>
          <w:szCs w:val="21"/>
          <w:color w:val="auto"/>
        </w:rPr>
      </w:pPr>
    </w:p>
    <w:p>
      <w:pPr>
        <w:jc w:val="both"/>
        <w:ind w:firstLine="1762"/>
        <w:spacing w:after="0" w:line="249" w:lineRule="auto"/>
        <w:tabs>
          <w:tab w:leader="none" w:pos="2647"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Notwithstanding Section 2(a) hereof and Section 13 of the Plan, upon the occurrence of a Change in Control, 100% of any then unvested RSUs granted hereunder shall immediately become fully vested and non-forfeitable, provided that the Participant remains in continuous Service from the Grant Date through the occurrence of the Change in Control.</w:t>
      </w:r>
    </w:p>
    <w:p>
      <w:pPr>
        <w:spacing w:after="0" w:line="175" w:lineRule="exact"/>
        <w:rPr>
          <w:rFonts w:ascii="Arial" w:cs="Arial" w:eastAsia="Arial" w:hAnsi="Arial"/>
          <w:sz w:val="21"/>
          <w:szCs w:val="21"/>
          <w:color w:val="auto"/>
        </w:rPr>
      </w:pPr>
    </w:p>
    <w:p>
      <w:pPr>
        <w:jc w:val="both"/>
        <w:ind w:firstLine="1762"/>
        <w:spacing w:after="0" w:line="247" w:lineRule="auto"/>
        <w:tabs>
          <w:tab w:leader="none" w:pos="2635"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Termination of Service without Cause, for Good Reason, or due to Death or Disability</w:t>
      </w:r>
      <w:r>
        <w:rPr>
          <w:rFonts w:ascii="Arial" w:cs="Arial" w:eastAsia="Arial" w:hAnsi="Arial"/>
          <w:sz w:val="21"/>
          <w:szCs w:val="21"/>
          <w:color w:val="auto"/>
        </w:rPr>
        <w:t>. Notwithstanding Section 2(a) hereof, in the event of the Participant’s termination of Service prior to the Vesting Date by the Company and its Affiliates without Cause, by the Participant for Good Reason, or due to the Participant’s death or Disability, 100% of any then unvested RSUs shall immediately become fully vested and non-forfeitable on the date of such termination (“</w:t>
      </w:r>
      <w:r>
        <w:rPr>
          <w:rFonts w:ascii="Arial" w:cs="Arial" w:eastAsia="Arial" w:hAnsi="Arial"/>
          <w:sz w:val="21"/>
          <w:szCs w:val="21"/>
          <w:u w:val="single" w:color="auto"/>
          <w:color w:val="auto"/>
        </w:rPr>
        <w:t>Termination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Date</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jc w:val="both"/>
        <w:ind w:firstLine="1762"/>
        <w:spacing w:after="0" w:line="245" w:lineRule="auto"/>
        <w:tabs>
          <w:tab w:leader="none" w:pos="2647"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Other Terminations of Service</w:t>
      </w:r>
      <w:r>
        <w:rPr>
          <w:rFonts w:ascii="Arial" w:cs="Arial" w:eastAsia="Arial" w:hAnsi="Arial"/>
          <w:sz w:val="21"/>
          <w:szCs w:val="21"/>
          <w:color w:val="auto"/>
        </w:rPr>
        <w:t>. Upon the occurrence of a termination of the Participant’s Service for any reason other than as contemplated by Section 2(c) hereof, all outstanding and unvested RSUs shall immediately be forfeited and cancelled, and the Participant shall not be entitled to any compensation or other amount with respect thereto. Notwithstanding anything to the contrary herein, upon a termination of the Participant’s Service for Cause, all RSUs, whether vested or unvested, shall immediately be forfeited and cancelled, and the Participant shall not be entitled to any compensation or other amount with respect thereto.</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#4818-5941-2800v2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729043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160" w:name="page161"/>
    <w:bookmarkEnd w:id="160"/>
    <w:p>
      <w:pPr>
        <w:jc w:val="both"/>
        <w:ind w:firstLine="1755"/>
        <w:spacing w:after="0" w:line="242" w:lineRule="auto"/>
        <w:rPr>
          <w:sz w:val="20"/>
          <w:szCs w:val="20"/>
          <w:color w:val="auto"/>
        </w:rPr>
      </w:pPr>
      <w:r>
        <w:rPr>
          <w:rFonts w:ascii="Arial" w:cs="Arial" w:eastAsia="Arial" w:hAnsi="Arial"/>
          <w:sz w:val="21"/>
          <w:szCs w:val="21"/>
          <w:u w:val="single" w:color="auto"/>
          <w:color w:val="auto"/>
        </w:rPr>
        <w:t>Section 3. Settlement</w:t>
      </w:r>
      <w:r>
        <w:rPr>
          <w:rFonts w:ascii="Arial" w:cs="Arial" w:eastAsia="Arial" w:hAnsi="Arial"/>
          <w:sz w:val="21"/>
          <w:szCs w:val="21"/>
          <w:color w:val="auto"/>
        </w:rPr>
        <w:t>. As soon as reasonably practicable following the Vesting Date, Termination Date, or the occurrence of the Change in Control, as applicable (and in any event within 10 days following the Vesting Date, Termination Date, or the occurrence of the Change in Control, as applicable), any RSUs that become vested and non-forfeitable shall be paid, unless otherwise determined by the Committee, by the Company delivering to the Participant a number of Shares equal to the number of RSUs that vested and became non-forfeitable pursuant to Section 2 hereof. Notwithstanding the foregoing, if the Participant is subject to a trading blackout on the Vesting Date, Termination Date, or the occurrence of the Change in Control, as applicable, then the applicable RSUs shall instead be settled and paid as soon as reasonably practicable (and in any event within 10 days) following the date on which the trading blackout is no longer applicable (but in no event later than March 15</w:t>
      </w:r>
      <w:r>
        <w:rPr>
          <w:rFonts w:ascii="Arial" w:cs="Arial" w:eastAsia="Arial" w:hAnsi="Arial"/>
          <w:sz w:val="18"/>
          <w:szCs w:val="18"/>
          <w:color w:val="auto"/>
        </w:rPr>
        <w:t>th</w:t>
      </w:r>
      <w:r>
        <w:rPr>
          <w:rFonts w:ascii="Arial" w:cs="Arial" w:eastAsia="Arial" w:hAnsi="Arial"/>
          <w:sz w:val="21"/>
          <w:szCs w:val="21"/>
          <w:color w:val="auto"/>
        </w:rPr>
        <w:t xml:space="preserve"> of the calendar year following the calendar year in which the Vesting Date, Termination Date, or the occurrence of the Change in Control, as applicable, occurs).</w:t>
      </w:r>
    </w:p>
    <w:p>
      <w:pPr>
        <w:spacing w:after="0" w:line="188" w:lineRule="exact"/>
        <w:rPr>
          <w:sz w:val="20"/>
          <w:szCs w:val="20"/>
          <w:color w:val="auto"/>
        </w:rPr>
      </w:pPr>
    </w:p>
    <w:p>
      <w:pPr>
        <w:jc w:val="both"/>
        <w:ind w:firstLine="1755"/>
        <w:spacing w:after="0" w:line="257" w:lineRule="auto"/>
        <w:rPr>
          <w:sz w:val="20"/>
          <w:szCs w:val="20"/>
          <w:color w:val="auto"/>
        </w:rPr>
      </w:pPr>
      <w:r>
        <w:rPr>
          <w:rFonts w:ascii="Arial" w:cs="Arial" w:eastAsia="Arial" w:hAnsi="Arial"/>
          <w:sz w:val="20"/>
          <w:szCs w:val="20"/>
          <w:u w:val="single" w:color="auto"/>
          <w:color w:val="auto"/>
        </w:rPr>
        <w:t>Section 4. Restrictions on Transfer</w:t>
      </w:r>
      <w:r>
        <w:rPr>
          <w:rFonts w:ascii="Arial" w:cs="Arial" w:eastAsia="Arial" w:hAnsi="Arial"/>
          <w:sz w:val="20"/>
          <w:szCs w:val="20"/>
          <w:color w:val="auto"/>
        </w:rPr>
        <w:t xml:space="preserve">. No RSUs (nor any interest therein) may be sold, assigned, alienated, pledged, attached or otherwise transferred or encumbered by the Participant otherwise than by will or by the laws of descent and distribution, and any such purported sale, assignment, alienation, pledge, attachment, transfer or encumbrance shall be void and unenforceable against the Company or any Affiliate;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designation of a beneficiary shall not constitute a sale, assignment, alienation, pledge, attachment, transfer or encumbrance. Notwithstanding the foregoing, at the discretion of the Committee, RSUs may be transferred by the Participant solely to the Participant’s spouse, siblings, parents, children and grandchildren or trusts for the benefit of such persons or partnerships, corporations, limited liability companies or other entities owned solely by such persons, including, but not limited to, trusts for such persons.</w:t>
      </w:r>
    </w:p>
    <w:p>
      <w:pPr>
        <w:spacing w:after="0" w:line="171" w:lineRule="exact"/>
        <w:rPr>
          <w:sz w:val="20"/>
          <w:szCs w:val="20"/>
          <w:color w:val="auto"/>
        </w:rPr>
      </w:pPr>
    </w:p>
    <w:p>
      <w:pPr>
        <w:jc w:val="both"/>
        <w:ind w:firstLine="1755"/>
        <w:spacing w:after="0" w:line="255" w:lineRule="auto"/>
        <w:rPr>
          <w:sz w:val="20"/>
          <w:szCs w:val="20"/>
          <w:color w:val="auto"/>
        </w:rPr>
      </w:pPr>
      <w:r>
        <w:rPr>
          <w:rFonts w:ascii="Arial" w:cs="Arial" w:eastAsia="Arial" w:hAnsi="Arial"/>
          <w:sz w:val="20"/>
          <w:szCs w:val="20"/>
          <w:u w:val="single" w:color="auto"/>
          <w:color w:val="auto"/>
        </w:rPr>
        <w:t>Section 5. Investment Representation</w:t>
      </w:r>
      <w:r>
        <w:rPr>
          <w:rFonts w:ascii="Arial" w:cs="Arial" w:eastAsia="Arial" w:hAnsi="Arial"/>
          <w:sz w:val="20"/>
          <w:szCs w:val="20"/>
          <w:color w:val="auto"/>
        </w:rPr>
        <w:t>. The Participant is acquiring the RSUs for investment purposes only and not with a view to, or in connection with, the public distribution thereof in violation of the Securities Act of 1933, as amended (the “</w:t>
      </w:r>
      <w:r>
        <w:rPr>
          <w:rFonts w:ascii="Arial" w:cs="Arial" w:eastAsia="Arial" w:hAnsi="Arial"/>
          <w:sz w:val="20"/>
          <w:szCs w:val="20"/>
          <w:u w:val="single" w:color="auto"/>
          <w:color w:val="auto"/>
        </w:rPr>
        <w:t>Securities Ac</w:t>
      </w:r>
      <w:r>
        <w:rPr>
          <w:rFonts w:ascii="Arial" w:cs="Arial" w:eastAsia="Arial" w:hAnsi="Arial"/>
          <w:sz w:val="20"/>
          <w:szCs w:val="20"/>
          <w:color w:val="auto"/>
        </w:rPr>
        <w:t>t”). No Shares shall be acquired unless and until the Company and/or the Participant shall have complied with all applicable federal or state registration, listing and/or qualification requirements and all other requirements of law or of any regulatory agencies having jurisdiction, unless the Committee has received evidence satisfactory to it that the Participant may acquire such shares pursuant to an exemption from registration under the applicable securities laws. The Participant understands and agrees that none of the RSUs may be offered, sold, assigned, transferred, pledged, hypothecated or otherwise disposed of except in compliance with this Agreement and the Securities Act pursuant to an effective registration statement or applicable exemption from the registration requirements of the Securities Act and applicable state securities or “blue sky” laws. Notwithstanding anything herein to the contrary, the Company shall have no obligation to deliver any Shares hereunder or make any other distribution of benefits under hereunder unless such delivery or distribution would comply with all applicable laws (including, without limitation, the Securities Act), and the applicable requirements of any securities exchange or similar entity.</w:t>
      </w:r>
    </w:p>
    <w:p>
      <w:pPr>
        <w:spacing w:after="0" w:line="172"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21"/>
          <w:szCs w:val="21"/>
          <w:u w:val="single" w:color="auto"/>
          <w:color w:val="auto"/>
        </w:rPr>
        <w:t>Section 6. Adjustments</w:t>
      </w:r>
      <w:r>
        <w:rPr>
          <w:rFonts w:ascii="Arial" w:cs="Arial" w:eastAsia="Arial" w:hAnsi="Arial"/>
          <w:sz w:val="21"/>
          <w:szCs w:val="21"/>
          <w:color w:val="auto"/>
        </w:rPr>
        <w:t>. The Award granted hereunder shall be subject to the adjustment as provided in Section 4(b) of the Plan.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73" w:right="239" w:bottom="1440" w:gutter="0" w:footer="0" w:header="0"/>
        </w:sectPr>
      </w:pPr>
    </w:p>
    <w:bookmarkStart w:id="161" w:name="page162"/>
    <w:bookmarkEnd w:id="161"/>
    <w:p>
      <w:pPr>
        <w:jc w:val="both"/>
        <w:ind w:firstLine="1755"/>
        <w:spacing w:after="0" w:line="270" w:lineRule="auto"/>
        <w:rPr>
          <w:sz w:val="20"/>
          <w:szCs w:val="20"/>
          <w:color w:val="auto"/>
        </w:rPr>
      </w:pPr>
      <w:r>
        <w:rPr>
          <w:rFonts w:ascii="Arial" w:cs="Arial" w:eastAsia="Arial" w:hAnsi="Arial"/>
          <w:sz w:val="21"/>
          <w:szCs w:val="21"/>
          <w:u w:val="single" w:color="auto"/>
          <w:color w:val="auto"/>
        </w:rPr>
        <w:t>Section 7. No Right of Continued Service</w:t>
      </w:r>
      <w:r>
        <w:rPr>
          <w:rFonts w:ascii="Arial" w:cs="Arial" w:eastAsia="Arial" w:hAnsi="Arial"/>
          <w:sz w:val="21"/>
          <w:szCs w:val="21"/>
          <w:color w:val="auto"/>
        </w:rPr>
        <w:t>. Nothing in the Plan or this Agreement shall confer upon the Participant any right to continued Service.</w:t>
      </w:r>
    </w:p>
    <w:p>
      <w:pPr>
        <w:spacing w:after="0" w:line="152"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21"/>
          <w:szCs w:val="21"/>
          <w:u w:val="single" w:color="auto"/>
          <w:color w:val="auto"/>
        </w:rPr>
        <w:t>Section 8. Tax Withholding</w:t>
      </w:r>
      <w:r>
        <w:rPr>
          <w:rFonts w:ascii="Arial" w:cs="Arial" w:eastAsia="Arial" w:hAnsi="Arial"/>
          <w:sz w:val="21"/>
          <w:szCs w:val="21"/>
          <w:color w:val="auto"/>
        </w:rPr>
        <w:t>. This Agreement and the Award shall be subject to tax and/or other withholding in accordance with Section 16(e) of the Plan.</w:t>
      </w:r>
    </w:p>
    <w:p>
      <w:pPr>
        <w:spacing w:after="0" w:line="152" w:lineRule="exact"/>
        <w:rPr>
          <w:sz w:val="20"/>
          <w:szCs w:val="20"/>
          <w:color w:val="auto"/>
        </w:rPr>
      </w:pPr>
    </w:p>
    <w:p>
      <w:pPr>
        <w:jc w:val="both"/>
        <w:ind w:firstLine="1755"/>
        <w:spacing w:after="0" w:line="242" w:lineRule="auto"/>
        <w:rPr>
          <w:sz w:val="20"/>
          <w:szCs w:val="20"/>
          <w:color w:val="auto"/>
        </w:rPr>
      </w:pPr>
      <w:r>
        <w:rPr>
          <w:rFonts w:ascii="Arial" w:cs="Arial" w:eastAsia="Arial" w:hAnsi="Arial"/>
          <w:sz w:val="21"/>
          <w:szCs w:val="21"/>
          <w:u w:val="single" w:color="auto"/>
          <w:color w:val="auto"/>
        </w:rPr>
        <w:t>Section 9. No Rights as a Stockholder; Dividends</w:t>
      </w:r>
      <w:r>
        <w:rPr>
          <w:rFonts w:ascii="Arial" w:cs="Arial" w:eastAsia="Arial" w:hAnsi="Arial"/>
          <w:sz w:val="21"/>
          <w:szCs w:val="21"/>
          <w:color w:val="auto"/>
        </w:rPr>
        <w:t>. The Participant shall not have any privileges of a stockholder of the Company with respect to any RSUs, including without limitation any right to vote any Shares underlying such RSUs or to receive dividends or other distributions in respect thereof, unless and until Shares underlying the RSUs are delivered to the Participant in accordance with Section 3 hereof. Notwithstanding the foregoing, any dividends payable with respect to the RSUs underlying the Award during the Period from the Grant Date through the date the applicable RSUs are settled in accordance with Section 3 hereof will accumulate in cash and be payable to the Participant on a deferred basis, but only to the extent that the Award vests in accordance with Section 2 hereof. In no event shall the Participant be entitled to any payments relating to dividends paid after the earlier to occur of the settlement or forfeiture of the applicable RSUs underlying the Award and, for the avoidance of doubt, all accumulated dividends shall be forfeited immediately upon the forfeiture or cancellation of the Award or applicable portion thereof.</w:t>
      </w:r>
    </w:p>
    <w:p>
      <w:pPr>
        <w:spacing w:after="0" w:line="188"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19"/>
          <w:szCs w:val="19"/>
          <w:u w:val="single" w:color="auto"/>
          <w:color w:val="auto"/>
        </w:rPr>
        <w:t>Section 10. Clawback</w:t>
      </w:r>
      <w:r>
        <w:rPr>
          <w:rFonts w:ascii="Arial" w:cs="Arial" w:eastAsia="Arial" w:hAnsi="Arial"/>
          <w:sz w:val="19"/>
          <w:szCs w:val="19"/>
          <w:color w:val="auto"/>
        </w:rPr>
        <w:t>. The Award will be subject to recoupment in accordance with any existing clawback policy or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as the Board determines necessary or appropriate, including but not limited to a reacquisition right in respect of previously acquired Shares or other cash or property upon the occurrence of Cause. The implementation of any clawback policy will not be deemed a triggering event for purposes of any definition of “good reason” for resignation or “constructive termination.”</w:t>
      </w:r>
    </w:p>
    <w:p>
      <w:pPr>
        <w:spacing w:after="0" w:line="154" w:lineRule="exact"/>
        <w:rPr>
          <w:sz w:val="20"/>
          <w:szCs w:val="20"/>
          <w:color w:val="auto"/>
        </w:rPr>
      </w:pPr>
    </w:p>
    <w:p>
      <w:pPr>
        <w:jc w:val="both"/>
        <w:ind w:firstLine="1755"/>
        <w:spacing w:after="0" w:line="276" w:lineRule="auto"/>
        <w:rPr>
          <w:sz w:val="20"/>
          <w:szCs w:val="20"/>
          <w:color w:val="auto"/>
        </w:rPr>
      </w:pPr>
      <w:r>
        <w:rPr>
          <w:rFonts w:ascii="Arial" w:cs="Arial" w:eastAsia="Arial" w:hAnsi="Arial"/>
          <w:sz w:val="19"/>
          <w:szCs w:val="19"/>
          <w:u w:val="single" w:color="auto"/>
          <w:color w:val="auto"/>
        </w:rPr>
        <w:t>Section 11. Amendment and Termination</w:t>
      </w:r>
      <w:r>
        <w:rPr>
          <w:rFonts w:ascii="Arial" w:cs="Arial" w:eastAsia="Arial" w:hAnsi="Arial"/>
          <w:sz w:val="19"/>
          <w:szCs w:val="19"/>
          <w:color w:val="auto"/>
        </w:rPr>
        <w:t xml:space="preserve">. Subject to the terms of the Plan, any amendment to this Agreement shall be in writing and signed by the parties hereto. Notwithstanding the immediately-preceding sentence, subject to the terms of the Plan, the Committee may waive any conditions or rights under, amend any terms of, or alter, suspend, discontinue, cancel or terminate, this Agreement and/or the Award;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subject to the terms of the Plan, any such waiver, amendment, alteration, suspension, discontinuance, cancellation or termination that would materially impair the rights of the Participant or any holder or beneficiary of the Award shall not be effective without the written consent of the Participant, holder or beneficiary.</w:t>
      </w:r>
    </w:p>
    <w:p>
      <w:pPr>
        <w:spacing w:after="0" w:line="152"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20"/>
          <w:szCs w:val="20"/>
          <w:u w:val="single" w:color="auto"/>
          <w:color w:val="auto"/>
        </w:rPr>
        <w:t>Section 12. Construction</w:t>
      </w:r>
      <w:r>
        <w:rPr>
          <w:rFonts w:ascii="Arial" w:cs="Arial" w:eastAsia="Arial" w:hAnsi="Arial"/>
          <w:sz w:val="20"/>
          <w:szCs w:val="20"/>
          <w:color w:val="auto"/>
        </w:rPr>
        <w:t>. The Award granted hereunder is granted by the Company pursuant to the Plan and is in all respects subject to the terms and conditions of the Plan. The Participant hereby acknowledges that a copy of the Plan has been delivered to the Participant and accepts the Award hereunder subject to all terms and provisions of the Plan, which are incorporated herein by reference. In the event of a conflict or ambiguity between any term or provision contained herein and a term or provision of the Plan, the Plan will govern and prevail. The construction of and decisions under the Plan and this Agreement are vested in the Committee, whose determinations shall be final, conclusive and binding upon the Participant.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9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73" w:right="239" w:bottom="1440" w:gutter="0" w:footer="0" w:header="0"/>
        </w:sectPr>
      </w:pPr>
    </w:p>
    <w:bookmarkStart w:id="162" w:name="page163"/>
    <w:bookmarkEnd w:id="162"/>
    <w:p>
      <w:pPr>
        <w:ind w:firstLine="1755"/>
        <w:spacing w:after="0" w:line="270" w:lineRule="auto"/>
        <w:rPr>
          <w:sz w:val="20"/>
          <w:szCs w:val="20"/>
          <w:color w:val="auto"/>
        </w:rPr>
      </w:pPr>
      <w:r>
        <w:rPr>
          <w:rFonts w:ascii="Arial" w:cs="Arial" w:eastAsia="Arial" w:hAnsi="Arial"/>
          <w:sz w:val="21"/>
          <w:szCs w:val="21"/>
          <w:u w:val="single" w:color="auto"/>
          <w:color w:val="auto"/>
        </w:rPr>
        <w:t>Section 13. Governing Law</w:t>
      </w:r>
      <w:r>
        <w:rPr>
          <w:rFonts w:ascii="Arial" w:cs="Arial" w:eastAsia="Arial" w:hAnsi="Arial"/>
          <w:sz w:val="21"/>
          <w:szCs w:val="21"/>
          <w:color w:val="auto"/>
        </w:rPr>
        <w:t>. This Agreement shall be construed and enforced in accordance with the laws of the State of Nevada, without giving effect to the choice of law principles thereof.</w:t>
      </w:r>
    </w:p>
    <w:p>
      <w:pPr>
        <w:spacing w:after="0" w:line="152" w:lineRule="exact"/>
        <w:rPr>
          <w:sz w:val="20"/>
          <w:szCs w:val="20"/>
          <w:color w:val="auto"/>
        </w:rPr>
      </w:pPr>
    </w:p>
    <w:p>
      <w:pPr>
        <w:ind w:firstLine="1755"/>
        <w:spacing w:after="0" w:line="270" w:lineRule="auto"/>
        <w:rPr>
          <w:sz w:val="20"/>
          <w:szCs w:val="20"/>
          <w:color w:val="auto"/>
        </w:rPr>
      </w:pPr>
      <w:r>
        <w:rPr>
          <w:rFonts w:ascii="Arial" w:cs="Arial" w:eastAsia="Arial" w:hAnsi="Arial"/>
          <w:sz w:val="21"/>
          <w:szCs w:val="21"/>
          <w:u w:val="single" w:color="auto"/>
          <w:color w:val="auto"/>
        </w:rPr>
        <w:t>Section 14. Counterparts</w:t>
      </w:r>
      <w:r>
        <w:rPr>
          <w:rFonts w:ascii="Arial" w:cs="Arial" w:eastAsia="Arial" w:hAnsi="Arial"/>
          <w:sz w:val="21"/>
          <w:szCs w:val="21"/>
          <w:color w:val="auto"/>
        </w:rPr>
        <w:t>. This Agreement may be executed in counterparts, each of which shall be deemed to be an original but all of which together shall constitute one and the same instrument.</w:t>
      </w:r>
    </w:p>
    <w:p>
      <w:pPr>
        <w:spacing w:after="0" w:line="152" w:lineRule="exact"/>
        <w:rPr>
          <w:sz w:val="20"/>
          <w:szCs w:val="20"/>
          <w:color w:val="auto"/>
        </w:rPr>
      </w:pPr>
    </w:p>
    <w:p>
      <w:pPr>
        <w:ind w:right="20" w:firstLine="1755"/>
        <w:spacing w:after="0" w:line="270" w:lineRule="auto"/>
        <w:rPr>
          <w:sz w:val="20"/>
          <w:szCs w:val="20"/>
          <w:color w:val="auto"/>
        </w:rPr>
      </w:pPr>
      <w:r>
        <w:rPr>
          <w:rFonts w:ascii="Arial" w:cs="Arial" w:eastAsia="Arial" w:hAnsi="Arial"/>
          <w:sz w:val="21"/>
          <w:szCs w:val="21"/>
          <w:u w:val="single" w:color="auto"/>
          <w:color w:val="auto"/>
        </w:rPr>
        <w:t>Section 15. Binding Effect</w:t>
      </w:r>
      <w:r>
        <w:rPr>
          <w:rFonts w:ascii="Arial" w:cs="Arial" w:eastAsia="Arial" w:hAnsi="Arial"/>
          <w:sz w:val="21"/>
          <w:szCs w:val="21"/>
          <w:color w:val="auto"/>
        </w:rPr>
        <w:t>. This Agreement shall inure to the benefit of and be binding upon the parties hereto and their respective heirs, executors, administrators, successors and assigns.</w:t>
      </w:r>
    </w:p>
    <w:p>
      <w:pPr>
        <w:spacing w:after="0" w:line="152" w:lineRule="exact"/>
        <w:rPr>
          <w:sz w:val="20"/>
          <w:szCs w:val="20"/>
          <w:color w:val="auto"/>
        </w:rPr>
      </w:pPr>
    </w:p>
    <w:p>
      <w:pPr>
        <w:ind w:firstLine="1755"/>
        <w:spacing w:after="0" w:line="270" w:lineRule="auto"/>
        <w:rPr>
          <w:sz w:val="20"/>
          <w:szCs w:val="20"/>
          <w:color w:val="auto"/>
        </w:rPr>
      </w:pPr>
      <w:r>
        <w:rPr>
          <w:rFonts w:ascii="Arial" w:cs="Arial" w:eastAsia="Arial" w:hAnsi="Arial"/>
          <w:sz w:val="21"/>
          <w:szCs w:val="21"/>
          <w:u w:val="single" w:color="auto"/>
          <w:color w:val="auto"/>
        </w:rPr>
        <w:t>Section 16. Entire Agreement</w:t>
      </w:r>
      <w:r>
        <w:rPr>
          <w:rFonts w:ascii="Arial" w:cs="Arial" w:eastAsia="Arial" w:hAnsi="Arial"/>
          <w:sz w:val="21"/>
          <w:szCs w:val="21"/>
          <w:color w:val="auto"/>
        </w:rPr>
        <w:t>. This Agreement and the Plan constitute the entire agreement between the parties with respect to the subject matter hereof and thereof.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[SIGNATURES ON FOLLOWING PAGE]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73"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21"/>
          <w:szCs w:val="21"/>
          <w:color w:val="auto"/>
        </w:rPr>
        <w:t>IN WITNESS WHEREOF, the parties hereto have executed this Agreement effective as of the date first written</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above.</w:t>
      </w:r>
    </w:p>
    <w:p>
      <w:pPr>
        <w:spacing w:after="0" w:line="222"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ELDORADO RESORTS, INC.</w:t>
      </w:r>
    </w:p>
    <w:p>
      <w:pPr>
        <w:spacing w:after="0" w:line="240"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4465320</wp:posOffset>
            </wp:positionH>
            <wp:positionV relativeFrom="paragraph">
              <wp:posOffset>13335</wp:posOffset>
            </wp:positionV>
            <wp:extent cx="27870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92">
                      <a:extLst>
                        <a:ext uri="{28A0092B-C50C-407E-A947-70E740481C1C}"/>
                      </a:extLst>
                    </a:blip>
                    <a:srcRect/>
                    <a:stretch>
                      <a:fillRect/>
                    </a:stretch>
                  </pic:blipFill>
                  <pic:spPr bwMode="auto">
                    <a:xfrm>
                      <a:off x="0" y="0"/>
                      <a:ext cx="2787015" cy="8255"/>
                    </a:xfrm>
                    <a:prstGeom prst="rect">
                      <a:avLst/>
                    </a:prstGeom>
                    <a:noFill/>
                  </pic:spPr>
                </pic:pic>
              </a:graphicData>
            </a:graphic>
          </wp:anchor>
        </w:drawing>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4465320</wp:posOffset>
            </wp:positionH>
            <wp:positionV relativeFrom="paragraph">
              <wp:posOffset>13335</wp:posOffset>
            </wp:positionV>
            <wp:extent cx="27870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3">
                      <a:extLst>
                        <a:ext uri="{28A0092B-C50C-407E-A947-70E740481C1C}"/>
                      </a:extLst>
                    </a:blip>
                    <a:srcRect/>
                    <a:stretch>
                      <a:fillRect/>
                    </a:stretch>
                  </pic:blipFill>
                  <pic:spPr bwMode="auto">
                    <a:xfrm>
                      <a:off x="0" y="0"/>
                      <a:ext cx="2787015" cy="8255"/>
                    </a:xfrm>
                    <a:prstGeom prst="rect">
                      <a:avLst/>
                    </a:prstGeom>
                    <a:noFill/>
                  </pic:spPr>
                </pic:pic>
              </a:graphicData>
            </a:graphic>
          </wp:anchor>
        </w:drawing>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4465320</wp:posOffset>
            </wp:positionH>
            <wp:positionV relativeFrom="paragraph">
              <wp:posOffset>13335</wp:posOffset>
            </wp:positionV>
            <wp:extent cx="27870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4">
                      <a:extLst>
                        <a:ext uri="{28A0092B-C50C-407E-A947-70E740481C1C}"/>
                      </a:extLst>
                    </a:blip>
                    <a:srcRect/>
                    <a:stretch>
                      <a:fillRect/>
                    </a:stretch>
                  </pic:blipFill>
                  <pic:spPr bwMode="auto">
                    <a:xfrm>
                      <a:off x="0" y="0"/>
                      <a:ext cx="2787015" cy="8255"/>
                    </a:xfrm>
                    <a:prstGeom prst="rect">
                      <a:avLst/>
                    </a:prstGeom>
                    <a:noFill/>
                  </pic:spPr>
                </pic:pic>
              </a:graphicData>
            </a:graphic>
          </wp:anchor>
        </w:drawing>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PARTICIPANT</w:t>
      </w:r>
    </w:p>
    <w:p>
      <w:pPr>
        <w:spacing w:after="0" w:line="200" w:lineRule="exact"/>
        <w:rPr>
          <w:sz w:val="20"/>
          <w:szCs w:val="20"/>
          <w:color w:val="auto"/>
        </w:rPr>
      </w:pPr>
    </w:p>
    <w:p>
      <w:pPr>
        <w:spacing w:after="0" w:line="283" w:lineRule="exact"/>
        <w:rPr>
          <w:sz w:val="20"/>
          <w:szCs w:val="20"/>
          <w:color w:val="auto"/>
        </w:rPr>
      </w:pPr>
    </w:p>
    <w:tbl>
      <w:tblPr>
        <w:tblLayout w:type="fixed"/>
        <w:tblInd w:w="5660" w:type="dxa"/>
        <w:tblCellMar>
          <w:top w:w="0" w:type="dxa"/>
          <w:left w:w="0" w:type="dxa"/>
          <w:bottom w:w="0" w:type="dxa"/>
          <w:right w:w="0" w:type="dxa"/>
        </w:tblCellMar>
      </w:tblPr>
      <w:tr>
        <w:trPr>
          <w:trHeight w:val="286"/>
        </w:trPr>
        <w:tc>
          <w:tcPr>
            <w:tcW w:w="60" w:type="dxa"/>
            <w:vAlign w:val="bottom"/>
          </w:tcPr>
          <w:p>
            <w:pPr>
              <w:spacing w:after="0"/>
              <w:rPr>
                <w:sz w:val="24"/>
                <w:szCs w:val="24"/>
                <w:color w:val="auto"/>
              </w:rPr>
            </w:pPr>
          </w:p>
        </w:tc>
        <w:tc>
          <w:tcPr>
            <w:tcW w:w="2760" w:type="dxa"/>
            <w:vAlign w:val="bottom"/>
            <w:tcBorders>
              <w:top w:val="single" w:sz="8" w:color="auto"/>
            </w:tcBorders>
            <w:gridSpan w:val="2"/>
          </w:tcPr>
          <w:p>
            <w:pPr>
              <w:spacing w:after="0"/>
              <w:rPr>
                <w:sz w:val="20"/>
                <w:szCs w:val="20"/>
                <w:color w:val="auto"/>
              </w:rPr>
            </w:pPr>
            <w:r>
              <w:rPr>
                <w:rFonts w:ascii="Arial" w:cs="Arial" w:eastAsia="Arial" w:hAnsi="Arial"/>
                <w:sz w:val="21"/>
                <w:szCs w:val="21"/>
                <w:color w:val="auto"/>
              </w:rPr>
              <w:t>Participant’s Signature</w:t>
            </w:r>
          </w:p>
        </w:tc>
        <w:tc>
          <w:tcPr>
            <w:tcW w:w="2940" w:type="dxa"/>
            <w:vAlign w:val="bottom"/>
            <w:tcBorders>
              <w:top w:val="single" w:sz="8" w:color="auto"/>
            </w:tcBorders>
          </w:tcPr>
          <w:p>
            <w:pPr>
              <w:ind w:left="820"/>
              <w:spacing w:after="0"/>
              <w:rPr>
                <w:sz w:val="20"/>
                <w:szCs w:val="20"/>
                <w:color w:val="auto"/>
              </w:rPr>
            </w:pPr>
            <w:r>
              <w:rPr>
                <w:rFonts w:ascii="Arial" w:cs="Arial" w:eastAsia="Arial" w:hAnsi="Arial"/>
                <w:sz w:val="21"/>
                <w:szCs w:val="21"/>
                <w:color w:val="auto"/>
              </w:rPr>
              <w:t>Date</w:t>
            </w:r>
          </w:p>
        </w:tc>
      </w:tr>
      <w:tr>
        <w:trPr>
          <w:trHeight w:val="450"/>
        </w:trPr>
        <w:tc>
          <w:tcPr>
            <w:tcW w:w="6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21"/>
                <w:szCs w:val="21"/>
                <w:color w:val="auto"/>
              </w:rPr>
              <w:t>Name:</w:t>
            </w:r>
          </w:p>
        </w:tc>
        <w:tc>
          <w:tcPr>
            <w:tcW w:w="14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r>
      <w:tr>
        <w:trPr>
          <w:trHeight w:val="475"/>
        </w:trPr>
        <w:tc>
          <w:tcPr>
            <w:tcW w:w="6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21"/>
                <w:szCs w:val="21"/>
                <w:color w:val="auto"/>
              </w:rPr>
              <w:t>Address:</w:t>
            </w:r>
          </w:p>
        </w:tc>
        <w:tc>
          <w:tcPr>
            <w:tcW w:w="2940" w:type="dxa"/>
            <w:vAlign w:val="bottom"/>
          </w:tcPr>
          <w:p>
            <w:pPr>
              <w:spacing w:after="0"/>
              <w:rPr>
                <w:sz w:val="24"/>
                <w:szCs w:val="24"/>
                <w:color w:val="auto"/>
              </w:rPr>
            </w:pPr>
          </w:p>
        </w:tc>
      </w:tr>
      <w:tr>
        <w:trPr>
          <w:trHeight w:val="700"/>
        </w:trPr>
        <w:tc>
          <w:tcPr>
            <w:tcW w:w="1380" w:type="dxa"/>
            <w:vAlign w:val="bottom"/>
            <w:gridSpan w:val="2"/>
          </w:tcPr>
          <w:p>
            <w:pPr>
              <w:jc w:val="right"/>
              <w:ind w:right="1173"/>
              <w:spacing w:after="0"/>
              <w:rPr>
                <w:sz w:val="20"/>
                <w:szCs w:val="20"/>
                <w:color w:val="auto"/>
              </w:rPr>
            </w:pPr>
            <w:r>
              <w:rPr>
                <w:rFonts w:ascii="Arial" w:cs="Arial" w:eastAsia="Arial" w:hAnsi="Arial"/>
                <w:sz w:val="20"/>
                <w:szCs w:val="20"/>
                <w:color w:val="auto"/>
                <w:w w:val="71"/>
              </w:rPr>
              <w:t>5</w:t>
            </w:r>
          </w:p>
        </w:tc>
        <w:tc>
          <w:tcPr>
            <w:tcW w:w="1440" w:type="dxa"/>
            <w:vAlign w:val="bottom"/>
            <w:tcBorders>
              <w:top w:val="single" w:sz="8" w:color="auto"/>
            </w:tcBorders>
          </w:tcPr>
          <w:p>
            <w:pPr>
              <w:spacing w:after="0"/>
              <w:rPr>
                <w:sz w:val="24"/>
                <w:szCs w:val="24"/>
                <w:color w:val="auto"/>
              </w:rPr>
            </w:pPr>
          </w:p>
        </w:tc>
        <w:tc>
          <w:tcPr>
            <w:tcW w:w="29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359"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9"/>
          <w:szCs w:val="19"/>
          <w:b w:val="1"/>
          <w:bCs w:val="1"/>
          <w:color w:val="auto"/>
        </w:rPr>
        <w:t>Exhibit 10.75</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MONTBLEU LEASE AMENDMENT NO. 5</w:t>
      </w:r>
    </w:p>
    <w:p>
      <w:pPr>
        <w:spacing w:after="0" w:line="221" w:lineRule="exact"/>
        <w:rPr>
          <w:sz w:val="20"/>
          <w:szCs w:val="20"/>
          <w:color w:val="auto"/>
        </w:rPr>
      </w:pPr>
    </w:p>
    <w:p>
      <w:pPr>
        <w:jc w:val="both"/>
        <w:ind w:firstLine="878"/>
        <w:spacing w:after="0" w:line="255" w:lineRule="auto"/>
        <w:rPr>
          <w:sz w:val="20"/>
          <w:szCs w:val="20"/>
          <w:color w:val="auto"/>
        </w:rPr>
      </w:pPr>
      <w:r>
        <w:rPr>
          <w:rFonts w:ascii="Arial" w:cs="Arial" w:eastAsia="Arial" w:hAnsi="Arial"/>
          <w:sz w:val="18"/>
          <w:szCs w:val="18"/>
          <w:color w:val="auto"/>
        </w:rPr>
        <w:t xml:space="preserve">THIS MONTBLEU LEASE AMENDMENT NO. 5 is made to be retroactively effective as of this 1st day of January, 2019 on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as defined in Article VIII hereof, by and between the Edgewood Companies, a Nevada corporation formerly known as Park Cattle Co., (“Edgewood”), as Landlord, and Columbia Properties Tahoe, LLC, a Nevada limited liability company (“CPT”), as Tenant. Edgewood, as Landlord, and CPT, as Tenant, are sometimes referred to individually as a “Party” and collectively as the “Parties.” Terms not otherwise defined herein shall have the meanings ascribed to them in the Lease (as defined below).</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jc w:val="both"/>
        <w:ind w:firstLine="878"/>
        <w:spacing w:after="0" w:line="301" w:lineRule="auto"/>
        <w:rPr>
          <w:sz w:val="20"/>
          <w:szCs w:val="20"/>
          <w:color w:val="auto"/>
        </w:rPr>
      </w:pPr>
      <w:r>
        <w:rPr>
          <w:rFonts w:ascii="Arial" w:cs="Arial" w:eastAsia="Arial" w:hAnsi="Arial"/>
          <w:sz w:val="17"/>
          <w:szCs w:val="17"/>
          <w:color w:val="auto"/>
        </w:rPr>
        <w:t xml:space="preserve">WHEREAS, Edgewood, as Landlord, and Desert Palace, Inc., as Tenant entered into that certain Amended and Restated Net Lease Agreement, dated January 1, 2000 (the </w:t>
      </w:r>
      <w:r>
        <w:rPr>
          <w:rFonts w:ascii="Arial" w:cs="Arial" w:eastAsia="Arial" w:hAnsi="Arial"/>
          <w:sz w:val="17"/>
          <w:szCs w:val="17"/>
          <w:b w:val="1"/>
          <w:bCs w:val="1"/>
          <w:color w:val="auto"/>
        </w:rPr>
        <w:t>“Original Lease”</w:t>
      </w:r>
      <w:r>
        <w:rPr>
          <w:rFonts w:ascii="Arial" w:cs="Arial" w:eastAsia="Arial" w:hAnsi="Arial"/>
          <w:sz w:val="17"/>
          <w:szCs w:val="17"/>
          <w:color w:val="auto"/>
        </w:rPr>
        <w:t>), involving the Douglas County, Nevada, real property described in the Original Lease.</w:t>
      </w:r>
    </w:p>
    <w:p>
      <w:pPr>
        <w:spacing w:after="0" w:line="152" w:lineRule="exact"/>
        <w:rPr>
          <w:sz w:val="20"/>
          <w:szCs w:val="20"/>
          <w:color w:val="auto"/>
        </w:rPr>
      </w:pPr>
    </w:p>
    <w:p>
      <w:pPr>
        <w:jc w:val="both"/>
        <w:ind w:right="20" w:firstLine="878"/>
        <w:spacing w:after="0" w:line="271" w:lineRule="auto"/>
        <w:rPr>
          <w:sz w:val="20"/>
          <w:szCs w:val="20"/>
          <w:color w:val="auto"/>
        </w:rPr>
      </w:pPr>
      <w:r>
        <w:rPr>
          <w:rFonts w:ascii="Arial" w:cs="Arial" w:eastAsia="Arial" w:hAnsi="Arial"/>
          <w:sz w:val="18"/>
          <w:szCs w:val="18"/>
          <w:color w:val="auto"/>
        </w:rPr>
        <w:t>WHEREAS, Desert Palace, Inc. assigned all of its right, title, benefits, privileges, estate and interest in, to and under the Original Lease to CPT pursuant to an Assignment and Assumption of Lease dated June 10,2005.</w:t>
      </w:r>
    </w:p>
    <w:p>
      <w:pPr>
        <w:spacing w:after="0" w:line="171" w:lineRule="exact"/>
        <w:rPr>
          <w:sz w:val="20"/>
          <w:szCs w:val="20"/>
          <w:color w:val="auto"/>
        </w:rPr>
      </w:pPr>
    </w:p>
    <w:p>
      <w:pPr>
        <w:jc w:val="both"/>
        <w:ind w:firstLine="878"/>
        <w:spacing w:after="0" w:line="262" w:lineRule="auto"/>
        <w:rPr>
          <w:sz w:val="20"/>
          <w:szCs w:val="20"/>
          <w:color w:val="auto"/>
        </w:rPr>
      </w:pPr>
      <w:r>
        <w:rPr>
          <w:rFonts w:ascii="Arial" w:cs="Arial" w:eastAsia="Arial" w:hAnsi="Arial"/>
          <w:sz w:val="18"/>
          <w:szCs w:val="18"/>
          <w:color w:val="auto"/>
        </w:rPr>
        <w:t xml:space="preserve">WHEREAS, Edgewood and CPT entered into that certain MontBleu Lease Amendment effective April 2, 2008 (the </w:t>
      </w:r>
      <w:r>
        <w:rPr>
          <w:rFonts w:ascii="Arial" w:cs="Arial" w:eastAsia="Arial" w:hAnsi="Arial"/>
          <w:sz w:val="18"/>
          <w:szCs w:val="18"/>
          <w:b w:val="1"/>
          <w:bCs w:val="1"/>
          <w:color w:val="auto"/>
        </w:rPr>
        <w:t>“Original Amendment”</w:t>
      </w:r>
      <w:r>
        <w:rPr>
          <w:rFonts w:ascii="Arial" w:cs="Arial" w:eastAsia="Arial" w:hAnsi="Arial"/>
          <w:sz w:val="18"/>
          <w:szCs w:val="18"/>
          <w:color w:val="auto"/>
        </w:rPr>
        <w:t xml:space="preserve">), which Original Amendment was amended and restated in its entirety by the MontBleu Lease Amendment No. 2, effective June 12,2009 (the </w:t>
      </w:r>
      <w:r>
        <w:rPr>
          <w:rFonts w:ascii="Arial" w:cs="Arial" w:eastAsia="Arial" w:hAnsi="Arial"/>
          <w:sz w:val="18"/>
          <w:szCs w:val="18"/>
          <w:b w:val="1"/>
          <w:bCs w:val="1"/>
          <w:color w:val="auto"/>
        </w:rPr>
        <w:t>“Amended and</w:t>
      </w:r>
      <w:r>
        <w:rPr>
          <w:rFonts w:ascii="Arial" w:cs="Arial" w:eastAsia="Arial" w:hAnsi="Arial"/>
          <w:sz w:val="18"/>
          <w:szCs w:val="18"/>
          <w:color w:val="auto"/>
        </w:rPr>
        <w:t xml:space="preserve"> </w:t>
      </w:r>
      <w:r>
        <w:rPr>
          <w:rFonts w:ascii="Arial" w:cs="Arial" w:eastAsia="Arial" w:hAnsi="Arial"/>
          <w:sz w:val="18"/>
          <w:szCs w:val="18"/>
          <w:b w:val="1"/>
          <w:bCs w:val="1"/>
          <w:color w:val="auto"/>
        </w:rPr>
        <w:t>Restated Amendment”</w:t>
      </w:r>
      <w:r>
        <w:rPr>
          <w:rFonts w:ascii="Arial" w:cs="Arial" w:eastAsia="Arial" w:hAnsi="Arial"/>
          <w:sz w:val="18"/>
          <w:szCs w:val="18"/>
          <w:color w:val="auto"/>
        </w:rPr>
        <w:t>).</w:t>
      </w:r>
    </w:p>
    <w:p>
      <w:pPr>
        <w:spacing w:after="0" w:line="183" w:lineRule="exact"/>
        <w:rPr>
          <w:sz w:val="20"/>
          <w:szCs w:val="20"/>
          <w:color w:val="auto"/>
        </w:rPr>
      </w:pPr>
    </w:p>
    <w:p>
      <w:pPr>
        <w:jc w:val="both"/>
        <w:ind w:firstLine="878"/>
        <w:spacing w:after="0" w:line="271" w:lineRule="auto"/>
        <w:rPr>
          <w:sz w:val="20"/>
          <w:szCs w:val="20"/>
          <w:color w:val="auto"/>
        </w:rPr>
      </w:pPr>
      <w:r>
        <w:rPr>
          <w:rFonts w:ascii="Arial" w:cs="Arial" w:eastAsia="Arial" w:hAnsi="Arial"/>
          <w:sz w:val="18"/>
          <w:szCs w:val="18"/>
          <w:color w:val="auto"/>
        </w:rPr>
        <w:t xml:space="preserve">WHEREAS, Edgewood and CPT subsequently amended the Original Lease, as amended at such time, by the MontBleu Lease Amendment No. 3 effective May 10, 2010 (the </w:t>
      </w:r>
      <w:r>
        <w:rPr>
          <w:rFonts w:ascii="Arial" w:cs="Arial" w:eastAsia="Arial" w:hAnsi="Arial"/>
          <w:sz w:val="18"/>
          <w:szCs w:val="18"/>
          <w:b w:val="1"/>
          <w:bCs w:val="1"/>
          <w:color w:val="auto"/>
        </w:rPr>
        <w:t>“MontBleu Lease Amendment No. 3”</w:t>
      </w:r>
      <w:r>
        <w:rPr>
          <w:rFonts w:ascii="Arial" w:cs="Arial" w:eastAsia="Arial" w:hAnsi="Arial"/>
          <w:sz w:val="18"/>
          <w:szCs w:val="18"/>
          <w:color w:val="auto"/>
        </w:rPr>
        <w:t>).</w:t>
      </w:r>
    </w:p>
    <w:p>
      <w:pPr>
        <w:spacing w:after="0" w:line="175" w:lineRule="exact"/>
        <w:rPr>
          <w:sz w:val="20"/>
          <w:szCs w:val="20"/>
          <w:color w:val="auto"/>
        </w:rPr>
      </w:pPr>
    </w:p>
    <w:p>
      <w:pPr>
        <w:jc w:val="both"/>
        <w:ind w:firstLine="878"/>
        <w:spacing w:after="0" w:line="271" w:lineRule="auto"/>
        <w:rPr>
          <w:sz w:val="20"/>
          <w:szCs w:val="20"/>
          <w:color w:val="auto"/>
        </w:rPr>
      </w:pPr>
      <w:r>
        <w:rPr>
          <w:rFonts w:ascii="Arial" w:cs="Arial" w:eastAsia="Arial" w:hAnsi="Arial"/>
          <w:sz w:val="18"/>
          <w:szCs w:val="18"/>
          <w:color w:val="auto"/>
        </w:rPr>
        <w:t xml:space="preserve">WHEREAS, Edgewood and CPT subsequently further amended the Original Lease, as amended at such time, by the MontBleu Lease Amendment No. 4 effective October 1, 2014 (the </w:t>
      </w:r>
      <w:r>
        <w:rPr>
          <w:rFonts w:ascii="Arial" w:cs="Arial" w:eastAsia="Arial" w:hAnsi="Arial"/>
          <w:sz w:val="18"/>
          <w:szCs w:val="18"/>
          <w:b w:val="1"/>
          <w:bCs w:val="1"/>
          <w:color w:val="auto"/>
        </w:rPr>
        <w:t>“MontBIeu Lease Amendment No. 4”</w:t>
      </w:r>
      <w:r>
        <w:rPr>
          <w:rFonts w:ascii="Arial" w:cs="Arial" w:eastAsia="Arial" w:hAnsi="Arial"/>
          <w:sz w:val="18"/>
          <w:szCs w:val="18"/>
          <w:color w:val="auto"/>
        </w:rPr>
        <w:t>).</w:t>
      </w:r>
    </w:p>
    <w:p>
      <w:pPr>
        <w:spacing w:after="0" w:line="175" w:lineRule="exact"/>
        <w:rPr>
          <w:sz w:val="20"/>
          <w:szCs w:val="20"/>
          <w:color w:val="auto"/>
        </w:rPr>
      </w:pPr>
    </w:p>
    <w:p>
      <w:pPr>
        <w:jc w:val="both"/>
        <w:ind w:firstLine="878"/>
        <w:spacing w:after="0" w:line="307" w:lineRule="auto"/>
        <w:rPr>
          <w:sz w:val="20"/>
          <w:szCs w:val="20"/>
          <w:color w:val="auto"/>
        </w:rPr>
      </w:pPr>
      <w:r>
        <w:rPr>
          <w:rFonts w:ascii="Arial" w:cs="Arial" w:eastAsia="Arial" w:hAnsi="Arial"/>
          <w:sz w:val="16"/>
          <w:szCs w:val="16"/>
          <w:color w:val="auto"/>
        </w:rPr>
        <w:t>WHEREAS, on or about October 1,2018, CPT adopted Accounting Standard Update No. 2014-09, Revenue from Contracts with Customers (“ASC606”), which, except as to food and other revenues that have been historically presented at retail value, affects how CPT presents in its financial statements gross revenues for complimentary rooms, beverages and entertainment tickets provided to guests, and offsets those amounts against revenue.</w:t>
      </w:r>
    </w:p>
    <w:p>
      <w:pPr>
        <w:spacing w:after="0" w:line="150" w:lineRule="exact"/>
        <w:rPr>
          <w:sz w:val="20"/>
          <w:szCs w:val="20"/>
          <w:color w:val="auto"/>
        </w:rPr>
      </w:pPr>
    </w:p>
    <w:p>
      <w:pPr>
        <w:jc w:val="both"/>
        <w:ind w:firstLine="878"/>
        <w:spacing w:after="0" w:line="259" w:lineRule="auto"/>
        <w:rPr>
          <w:sz w:val="20"/>
          <w:szCs w:val="20"/>
          <w:color w:val="auto"/>
        </w:rPr>
      </w:pPr>
      <w:r>
        <w:rPr>
          <w:rFonts w:ascii="Arial" w:cs="Arial" w:eastAsia="Arial" w:hAnsi="Arial"/>
          <w:sz w:val="18"/>
          <w:szCs w:val="18"/>
          <w:color w:val="auto"/>
        </w:rPr>
        <w:t>WHEREAS, CPT’s adoption of ASC606 has the effect of increasing “Gross Revenues” as presently defined in the Lease for purposes of calculating percentage rent as provided in Section 2.4 of the Lease and further defined in Section 2.10 of the Lease and the Cap Ex Requirement as provided in Section 6.7 of the Lease.</w:t>
      </w:r>
    </w:p>
    <w:p>
      <w:pPr>
        <w:spacing w:after="0" w:line="186" w:lineRule="exact"/>
        <w:rPr>
          <w:sz w:val="20"/>
          <w:szCs w:val="20"/>
          <w:color w:val="auto"/>
        </w:rPr>
      </w:pPr>
    </w:p>
    <w:p>
      <w:pPr>
        <w:jc w:val="both"/>
        <w:ind w:firstLine="878"/>
        <w:spacing w:after="0" w:line="271" w:lineRule="auto"/>
        <w:rPr>
          <w:sz w:val="20"/>
          <w:szCs w:val="20"/>
          <w:color w:val="auto"/>
        </w:rPr>
      </w:pPr>
      <w:r>
        <w:rPr>
          <w:rFonts w:ascii="Arial" w:cs="Arial" w:eastAsia="Arial" w:hAnsi="Arial"/>
          <w:sz w:val="18"/>
          <w:szCs w:val="18"/>
          <w:color w:val="auto"/>
        </w:rPr>
        <w:t>WHEREAS, CPT and Edgewood intend that the use of Gross Revenue for percentage rent purposes and the Cap Ex Requirement be revised and replaced with Net Revenue.</w:t>
      </w:r>
    </w:p>
    <w:p>
      <w:pPr>
        <w:spacing w:after="0" w:line="175" w:lineRule="exact"/>
        <w:rPr>
          <w:sz w:val="20"/>
          <w:szCs w:val="20"/>
          <w:color w:val="auto"/>
        </w:rPr>
      </w:pPr>
    </w:p>
    <w:p>
      <w:pPr>
        <w:jc w:val="both"/>
        <w:ind w:firstLine="878"/>
        <w:spacing w:after="0" w:line="335" w:lineRule="auto"/>
        <w:rPr>
          <w:sz w:val="20"/>
          <w:szCs w:val="20"/>
          <w:color w:val="auto"/>
        </w:rPr>
      </w:pPr>
      <w:r>
        <w:rPr>
          <w:rFonts w:ascii="Arial" w:cs="Arial" w:eastAsia="Arial" w:hAnsi="Arial"/>
          <w:sz w:val="16"/>
          <w:szCs w:val="16"/>
          <w:color w:val="auto"/>
        </w:rPr>
        <w:t>WHEREAS, the Tahoe-Douglas Visitors Authority (“TDVA”) has begun the process to obtain necessary approvals to construct a publicly owned assembly event and entertainment venue at Stateline, Douglas County, Nevada, to be located on a portion of the Premises (the “Tahoe South Events Center”).</w:t>
      </w:r>
    </w:p>
    <w:p>
      <w:pPr>
        <w:spacing w:after="0" w:line="129" w:lineRule="exact"/>
        <w:rPr>
          <w:sz w:val="20"/>
          <w:szCs w:val="20"/>
          <w:color w:val="auto"/>
        </w:rPr>
      </w:pPr>
    </w:p>
    <w:p>
      <w:pPr>
        <w:jc w:val="both"/>
        <w:ind w:firstLine="878"/>
        <w:spacing w:after="0" w:line="271" w:lineRule="auto"/>
        <w:rPr>
          <w:sz w:val="20"/>
          <w:szCs w:val="20"/>
          <w:color w:val="auto"/>
        </w:rPr>
      </w:pPr>
      <w:r>
        <w:rPr>
          <w:rFonts w:ascii="Arial" w:cs="Arial" w:eastAsia="Arial" w:hAnsi="Arial"/>
          <w:sz w:val="18"/>
          <w:szCs w:val="18"/>
          <w:color w:val="auto"/>
        </w:rPr>
        <w:t>WHEREAS, CPT and Edgewood recognize that the Tahoe South Events Center is in their mutual best interests as well as the best interests of the economy of South Lake Tahoe.</w:t>
      </w:r>
    </w:p>
    <w:p>
      <w:pPr>
        <w:spacing w:after="0" w:line="175" w:lineRule="exact"/>
        <w:rPr>
          <w:sz w:val="20"/>
          <w:szCs w:val="20"/>
          <w:color w:val="auto"/>
        </w:rPr>
      </w:pPr>
    </w:p>
    <w:p>
      <w:pPr>
        <w:jc w:val="both"/>
        <w:ind w:firstLine="878"/>
        <w:spacing w:after="0" w:line="271" w:lineRule="auto"/>
        <w:rPr>
          <w:sz w:val="20"/>
          <w:szCs w:val="20"/>
          <w:color w:val="auto"/>
        </w:rPr>
      </w:pPr>
      <w:r>
        <w:rPr>
          <w:rFonts w:ascii="Arial" w:cs="Arial" w:eastAsia="Arial" w:hAnsi="Arial"/>
          <w:sz w:val="18"/>
          <w:szCs w:val="18"/>
          <w:color w:val="auto"/>
        </w:rPr>
        <w:t>WHEREAS, the Tahoe South Events Center must be constructed and operated on land in control of TDVA and in a manner which functions cooperatively with, but independent from, CPT and Edgewood;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WHEREAS, based upon the foregoing, Edgewood and CPT have agreed to make certain modifications to the Lease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729043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165" w:name="page166"/>
    <w:bookmarkEnd w:id="165"/>
    <w:p>
      <w:pPr>
        <w:ind w:firstLine="878"/>
        <w:spacing w:after="0" w:line="271" w:lineRule="auto"/>
        <w:rPr>
          <w:sz w:val="20"/>
          <w:szCs w:val="20"/>
          <w:color w:val="auto"/>
        </w:rPr>
      </w:pPr>
      <w:r>
        <w:rPr>
          <w:rFonts w:ascii="Arial" w:cs="Arial" w:eastAsia="Arial" w:hAnsi="Arial"/>
          <w:sz w:val="18"/>
          <w:szCs w:val="18"/>
          <w:color w:val="auto"/>
        </w:rPr>
        <w:t>NOW, THEREFORE, in consideration of the mutual promises contained herein and other good and valuable consideration, the receipt and adequacy of which is hereby acknowledged, the Parties hereto agree as follows:</w:t>
      </w:r>
    </w:p>
    <w:p>
      <w:pPr>
        <w:spacing w:after="0" w:line="175" w:lineRule="exact"/>
        <w:rPr>
          <w:sz w:val="20"/>
          <w:szCs w:val="20"/>
          <w:color w:val="auto"/>
        </w:rPr>
      </w:pPr>
    </w:p>
    <w:p>
      <w:pPr>
        <w:jc w:val="both"/>
        <w:ind w:firstLine="885"/>
        <w:spacing w:after="0" w:line="259" w:lineRule="auto"/>
        <w:tabs>
          <w:tab w:leader="none" w:pos="16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Parties agree that from and after the Effective Date, the terms set forth in the Original Lease, as amended by the Amended and Restated Amendment, the MontBleu Lease AmendmentNo. 3, the MontBleu Lease Amendment No. 4, and this MontBleu Lease Amendment No. 5 (collectively the “Lease”) contain all of the terms and conditions for the lease of the Premises by Landlord to Tenant.</w:t>
      </w:r>
    </w:p>
    <w:p>
      <w:pPr>
        <w:spacing w:after="0" w:line="186" w:lineRule="exact"/>
        <w:rPr>
          <w:sz w:val="20"/>
          <w:szCs w:val="20"/>
          <w:color w:val="auto"/>
        </w:rPr>
      </w:pPr>
    </w:p>
    <w:p>
      <w:pPr>
        <w:jc w:val="both"/>
        <w:ind w:firstLine="885"/>
        <w:spacing w:after="0" w:line="283" w:lineRule="auto"/>
        <w:tabs>
          <w:tab w:leader="none" w:pos="1683" w:val="left"/>
        </w:tabs>
        <w:numPr>
          <w:ilvl w:val="0"/>
          <w:numId w:val="74"/>
        </w:numPr>
        <w:rPr>
          <w:rFonts w:ascii="Arial" w:cs="Arial" w:eastAsia="Arial" w:hAnsi="Arial"/>
          <w:sz w:val="16"/>
          <w:szCs w:val="16"/>
          <w:color w:val="auto"/>
        </w:rPr>
      </w:pPr>
      <w:r>
        <w:rPr>
          <w:rFonts w:ascii="Arial" w:cs="Arial" w:eastAsia="Arial" w:hAnsi="Arial"/>
          <w:sz w:val="16"/>
          <w:szCs w:val="16"/>
          <w:color w:val="auto"/>
        </w:rPr>
        <w:t>Wherever in the Lease the term “Gross Revenue” is used, it is replaced with the term “Net Revenue,” and for all such purposes, the term “Net Revenues” means all amounts received, whether by cash or credit, from the operation of all of the facilities and businesses on the Premises and the Enterprise now known as MontBleu, including, but not limited to, rooms, bars, restaurants, concessions, entertainment, retail, all other amounts received, and gaming, and shall be measured by Lease Year. Any future revenue sources or new revenues generated from the operation of the facilities and businesses on the Premises in future years shall be included in Net Revenues. Net Revenues shall expressly exclude: (i) proceeds from the sale, exchange or voluntary or involuntary disposition of Owner’s property which had not been held for sale; (ii) such amounts as may be received and held by Owner as security or in other special deposits; (iii) applicable excise, sales, occupancy and use taxes, or similar government taxes, duties, levies or charges collected directly from patrons or guests, or as a part of the sales price of any goods, services or displays, including gross receipts, admission, cabaret or similar or equivalent taxes; (iv) receipts from awards or sales in connection with any condemnation, from other transfers in lieu of and under the threat of any condemnation, and other receipts in connection with any condemnation; (v) proceeds of any insurance, including the proceeds of any business interruption and/or contingent business interruption insurance; (vi) discounts (including rebates, credits or charge or credit card commissions); (vii) gratuities and service charges collected for payment to employees; (viii) any credits or refunds made to customers, guests or patrons; (ix) interest income; (x) any reserve for and/or uncollectible debts as determined in accordance with generally accepted accounting principles consistently applied; and (xi) all revenues generated from complimentary rooms, food, beverage, entertainment, and other promotional allowances provided to customers at no charge.</w:t>
      </w:r>
    </w:p>
    <w:p>
      <w:pPr>
        <w:spacing w:after="0" w:line="174" w:lineRule="exact"/>
        <w:rPr>
          <w:sz w:val="20"/>
          <w:szCs w:val="20"/>
          <w:color w:val="auto"/>
        </w:rPr>
      </w:pPr>
    </w:p>
    <w:p>
      <w:pPr>
        <w:ind w:left="1740" w:hanging="855"/>
        <w:spacing w:after="0"/>
        <w:tabs>
          <w:tab w:leader="none" w:pos="1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Section 1.1 of the Lease is amended and restated in its entirety to read as follows: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Premises and Term of Lease</w:t>
      </w:r>
    </w:p>
    <w:p>
      <w:pPr>
        <w:spacing w:after="0" w:line="221" w:lineRule="exact"/>
        <w:rPr>
          <w:sz w:val="20"/>
          <w:szCs w:val="20"/>
          <w:color w:val="auto"/>
        </w:rPr>
      </w:pPr>
    </w:p>
    <w:p>
      <w:pPr>
        <w:ind w:left="1700"/>
        <w:spacing w:after="0"/>
        <w:tabs>
          <w:tab w:leader="none" w:pos="314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4"/>
          <w:szCs w:val="14"/>
          <w:color w:val="auto"/>
        </w:rPr>
        <w:t>Landlord hereby demises and leases to Tenant, and Tenant hereby hires and leases from Landlord, the property (the</w:t>
      </w:r>
    </w:p>
    <w:p>
      <w:pPr>
        <w:spacing w:after="0" w:line="24" w:lineRule="exact"/>
        <w:rPr>
          <w:sz w:val="20"/>
          <w:szCs w:val="20"/>
          <w:color w:val="auto"/>
        </w:rPr>
      </w:pPr>
    </w:p>
    <w:p>
      <w:pPr>
        <w:jc w:val="both"/>
        <w:ind w:left="880"/>
        <w:spacing w:after="0" w:line="281" w:lineRule="auto"/>
        <w:rPr>
          <w:sz w:val="20"/>
          <w:szCs w:val="20"/>
          <w:color w:val="auto"/>
        </w:rPr>
      </w:pPr>
      <w:r>
        <w:rPr>
          <w:rFonts w:ascii="Arial" w:cs="Arial" w:eastAsia="Arial" w:hAnsi="Arial"/>
          <w:sz w:val="16"/>
          <w:szCs w:val="16"/>
          <w:color w:val="auto"/>
        </w:rPr>
        <w:t xml:space="preserve">“Premises”) in Douglas County, Nevada, (a) the parcel of land described on Exhibit A attached hereto, and (b) all the buildings and other improvements on the land included in the Premises and all additions to, and replacements of, those buildings and improvements. When, in Landlord’s reasonable judgment, it is necessary for the approximately 4.87 acres of land shown as “Resultant Parcel 2” on Exhibit B attached hereto and by this reference incorporated herein to become land within the control of the TDVA for the financing, construction and operation of the Tahoe South Events Center, (i) on notice from Landlord to Tenant, which notice will not be given sooner than after the Governing Board of the Tahoe Regional Planning Agency approves the Tahoe South Events Center Project, Resultant Parcel 2 shall be </w:t>
      </w:r>
      <w:r>
        <w:rPr>
          <w:rFonts w:ascii="Arial" w:cs="Arial" w:eastAsia="Arial" w:hAnsi="Arial"/>
          <w:sz w:val="16"/>
          <w:szCs w:val="16"/>
          <w:i w:val="1"/>
          <w:iCs w:val="1"/>
          <w:color w:val="auto"/>
        </w:rPr>
        <w:t>ipso facto</w:t>
      </w:r>
      <w:r>
        <w:rPr>
          <w:rFonts w:ascii="Arial" w:cs="Arial" w:eastAsia="Arial" w:hAnsi="Arial"/>
          <w:sz w:val="16"/>
          <w:szCs w:val="16"/>
          <w:color w:val="auto"/>
        </w:rPr>
        <w:t xml:space="preserve"> released and removed from the Premises as described in Exhibit A; and (ii) the approximately 16.41 acres of land shown on Exhibit B as “Resultant Parcel 1,” and all the buildings and other improvements located thereon, including replacements of those buildings and improvements, shall be </w:t>
      </w:r>
      <w:r>
        <w:rPr>
          <w:rFonts w:ascii="Arial" w:cs="Arial" w:eastAsia="Arial" w:hAnsi="Arial"/>
          <w:sz w:val="16"/>
          <w:szCs w:val="16"/>
          <w:i w:val="1"/>
          <w:iCs w:val="1"/>
          <w:color w:val="auto"/>
        </w:rPr>
        <w:t>ipso facto</w:t>
      </w:r>
      <w:r>
        <w:rPr>
          <w:rFonts w:ascii="Arial" w:cs="Arial" w:eastAsia="Arial" w:hAnsi="Arial"/>
          <w:sz w:val="16"/>
          <w:szCs w:val="16"/>
          <w:color w:val="auto"/>
        </w:rPr>
        <w:t xml:space="preserve"> the Premises (which land shall include an additional approximately 8,000 square feet along the western boundary of Douglas County APN 1318-27-002-006 to be added to the Premises by a metes and bounds description thereof). Simultaneous with Landlord’s placing Resultant Parcel 2 as shown on Exhibit B into the control of TDVA, Landlord is also authorized to grant TDVA easements for ingress to and egress from U.S. 50 and Lake Parkway to and from the Tahoe South Events Center over and across the Premises, and for parking purposes for guests at the Tahoe Events Center and for TDVA and Tahoe South Events Center Employees in all parking areas on the Premises, and to execute, acknowledge and record a deed restriction on the Premises for the benefit of the Tahoe Regional Planning Agency requiring all land coverage calculations related to the Premises and Resultant Parcel 2 as shown on Exhibit B to be calculated as if they were a single parcel. Landlord is further authorized to grant utility easements over, under and on the Premises as may be necessary for utility service to the Premises, the Tahoe South Events Center, and water service to all water customers of Edgewood Water Company, and to take such other actions with respect to the Premises as may be reasonably necessary to comply with future requirements of the Tahoe Regional Planning Agency with respect to the approval, construction and operation of the Tahoe South Events Center..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66" w:name="page167"/>
    <w:bookmarkEnd w:id="166"/>
    <w:p>
      <w:pPr>
        <w:ind w:left="88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Article XII of the Lease is amended by adding the following new section:</w:t>
      </w:r>
    </w:p>
    <w:p>
      <w:pPr>
        <w:spacing w:after="0" w:line="222" w:lineRule="exact"/>
        <w:rPr>
          <w:sz w:val="20"/>
          <w:szCs w:val="20"/>
          <w:color w:val="auto"/>
        </w:rPr>
      </w:pPr>
    </w:p>
    <w:p>
      <w:pPr>
        <w:sectPr>
          <w:pgSz w:w="11900" w:h="16838" w:orient="portrait"/>
          <w:cols w:equalWidth="0" w:num="2">
            <w:col w:w="1120" w:space="640"/>
            <w:col w:w="9660"/>
          </w:cols>
          <w:pgMar w:left="240" w:top="553" w:right="239" w:bottom="1440" w:gutter="0" w:footer="0" w:header="0"/>
        </w:sectPr>
      </w:pPr>
    </w:p>
    <w:p>
      <w:pPr>
        <w:spacing w:after="0" w:line="17" w:lineRule="exact"/>
        <w:rPr>
          <w:sz w:val="20"/>
          <w:szCs w:val="20"/>
          <w:color w:val="auto"/>
        </w:rPr>
      </w:pPr>
    </w:p>
    <w:p>
      <w:pPr>
        <w:ind w:left="1700"/>
        <w:spacing w:after="0"/>
        <w:tabs>
          <w:tab w:leader="none" w:pos="3220" w:val="left"/>
        </w:tabs>
        <w:rPr>
          <w:sz w:val="20"/>
          <w:szCs w:val="20"/>
          <w:color w:val="auto"/>
        </w:rPr>
      </w:pPr>
      <w:r>
        <w:rPr>
          <w:rFonts w:ascii="Arial" w:cs="Arial" w:eastAsia="Arial" w:hAnsi="Arial"/>
          <w:sz w:val="18"/>
          <w:szCs w:val="18"/>
          <w:b w:val="1"/>
          <w:bCs w:val="1"/>
          <w:color w:val="auto"/>
        </w:rPr>
        <w:t>Section 12.3</w:t>
      </w:r>
      <w:r>
        <w:rPr>
          <w:sz w:val="20"/>
          <w:szCs w:val="20"/>
          <w:color w:val="auto"/>
        </w:rPr>
        <w:tab/>
      </w:r>
      <w:r>
        <w:rPr>
          <w:rFonts w:ascii="Arial" w:cs="Arial" w:eastAsia="Arial" w:hAnsi="Arial"/>
          <w:sz w:val="16"/>
          <w:szCs w:val="16"/>
          <w:color w:val="auto"/>
        </w:rPr>
        <w:t>The provisions of Section 12.1 notwithstanding, Tenant acknowledges, recognizes and agrees that approval of the</w:t>
      </w:r>
    </w:p>
    <w:p>
      <w:pPr>
        <w:sectPr>
          <w:pgSz w:w="11900" w:h="16838" w:orient="portrait"/>
          <w:cols w:equalWidth="0" w:num="1">
            <w:col w:w="11420"/>
          </w:cols>
          <w:pgMar w:left="240" w:top="553" w:right="239" w:bottom="1440" w:gutter="0" w:footer="0" w:header="0"/>
          <w:type w:val="continuous"/>
        </w:sectPr>
      </w:pPr>
    </w:p>
    <w:p>
      <w:pPr>
        <w:spacing w:after="0" w:line="24" w:lineRule="exact"/>
        <w:rPr>
          <w:sz w:val="20"/>
          <w:szCs w:val="20"/>
          <w:color w:val="auto"/>
        </w:rPr>
      </w:pPr>
    </w:p>
    <w:p>
      <w:pPr>
        <w:jc w:val="both"/>
        <w:ind w:left="880"/>
        <w:spacing w:after="0" w:line="282" w:lineRule="auto"/>
        <w:rPr>
          <w:sz w:val="20"/>
          <w:szCs w:val="20"/>
          <w:color w:val="auto"/>
        </w:rPr>
      </w:pPr>
      <w:r>
        <w:rPr>
          <w:rFonts w:ascii="Arial" w:cs="Arial" w:eastAsia="Arial" w:hAnsi="Arial"/>
          <w:sz w:val="16"/>
          <w:szCs w:val="16"/>
          <w:color w:val="auto"/>
        </w:rPr>
        <w:t>Tahoe South Events Center will require: (i) Tenant to charge for parking; (ii) Tenant to share its par</w:t>
      </w:r>
      <w:r>
        <w:rPr>
          <w:rFonts w:ascii="Arial" w:cs="Arial" w:eastAsia="Arial" w:hAnsi="Arial"/>
          <w:sz w:val="16"/>
          <w:szCs w:val="16"/>
          <w:u w:val="single" w:color="auto"/>
          <w:color w:val="auto"/>
        </w:rPr>
        <w:t>kin</w:t>
      </w:r>
      <w:r>
        <w:rPr>
          <w:rFonts w:ascii="Arial" w:cs="Arial" w:eastAsia="Arial" w:hAnsi="Arial"/>
          <w:sz w:val="16"/>
          <w:szCs w:val="16"/>
          <w:color w:val="auto"/>
        </w:rPr>
        <w:t>g with the Tahoe South Events Center; (iii) Tenant to be solely responsible for the maintenance, upkeep and snow removal of all parking and ingress to and egress from the Premises, even though shared with the Tahoe South Events Center; (iv) Tenant to enter into a parking management agreement that provides for paid parking and shared parking in overflow situations with the three (3) other hotel casinos at Stateline to the extent required by the approval of the Tahoe South Events Center by the Tahoe Regional Planning Agency; (v) Tenant to grant temporary construction licenses on the Premises to the extent reasonably necessary for access and staging during the construction of the Tahoe South Events Center; (vi) Tenant to allow for the construction of temporary dewatering sump wells or trenches on the Premises for or related to dewatering necessary for the construction of the Tahoe South Events Center; (vii) disruption on the Premises during construction of the Tahoe South Events Center, which construction period will be at a minimum a period of twenty (20) months from commencement thereof; and (viii) Tenant will allow TDVA to construct an upgraded entrance off Lake Parkway, a new garage entry from Lake Parkway, a new area of surface parking, and landscaping for all the surface parking on the Premises in order to allow for the efficient operation of the MontBleu and the Tahoe South Events Center. Tenant also agrees to cooperate with Landlord with respect to such other actions with respect to the Premises as may be reasonably necessary to comply with future requirements of the Tahoe Regional Planning Agency with respect to the approval, construction and operation of the Tahoe South Events Center.</w:t>
      </w:r>
    </w:p>
    <w:p>
      <w:pPr>
        <w:spacing w:after="0" w:line="174" w:lineRule="exact"/>
        <w:rPr>
          <w:sz w:val="20"/>
          <w:szCs w:val="20"/>
          <w:color w:val="auto"/>
        </w:rPr>
      </w:pPr>
    </w:p>
    <w:p>
      <w:pPr>
        <w:jc w:val="both"/>
        <w:ind w:firstLine="885"/>
        <w:spacing w:after="0" w:line="259" w:lineRule="auto"/>
        <w:tabs>
          <w:tab w:leader="none" w:pos="167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Except as expressly modified herein, the Original Lease, the Amended and Restated Amendment, the MontBleu Lease Amendment No. 3 and the MontBleu Lease Amendment No. 4 shall remain in full force and effect, and the Parties shall be bound by all of the terms and conditions thereof and hereof.</w:t>
      </w:r>
    </w:p>
    <w:p>
      <w:pPr>
        <w:spacing w:after="0" w:line="186" w:lineRule="exact"/>
        <w:rPr>
          <w:sz w:val="20"/>
          <w:szCs w:val="20"/>
          <w:color w:val="auto"/>
        </w:rPr>
      </w:pPr>
    </w:p>
    <w:p>
      <w:pPr>
        <w:ind w:firstLine="878"/>
        <w:spacing w:after="0" w:line="301" w:lineRule="auto"/>
        <w:rPr>
          <w:sz w:val="20"/>
          <w:szCs w:val="20"/>
          <w:color w:val="auto"/>
        </w:rPr>
      </w:pPr>
      <w:r>
        <w:rPr>
          <w:rFonts w:ascii="Arial" w:cs="Arial" w:eastAsia="Arial" w:hAnsi="Arial"/>
          <w:sz w:val="17"/>
          <w:szCs w:val="17"/>
          <w:color w:val="auto"/>
        </w:rPr>
        <w:t>VI. In the case of any conflict between the provisions of the Original Lease, the Amended and Restated Amendment, the MontBleu Lease Amendment No. 3, or the MontBleu Lease Amendment No. 4, the provisions of this MontBleu Lease Amendment No. 5 shall govern and control.</w:t>
      </w:r>
    </w:p>
    <w:p>
      <w:pPr>
        <w:spacing w:after="0" w:line="152" w:lineRule="exact"/>
        <w:rPr>
          <w:sz w:val="20"/>
          <w:szCs w:val="20"/>
          <w:color w:val="auto"/>
        </w:rPr>
      </w:pPr>
    </w:p>
    <w:p>
      <w:pPr>
        <w:ind w:left="880"/>
        <w:spacing w:after="0"/>
        <w:tabs>
          <w:tab w:leader="none" w:pos="1800" w:val="left"/>
        </w:tabs>
        <w:rPr>
          <w:sz w:val="20"/>
          <w:szCs w:val="20"/>
          <w:color w:val="auto"/>
        </w:rPr>
      </w:pPr>
      <w:r>
        <w:rPr>
          <w:rFonts w:ascii="Arial" w:cs="Arial" w:eastAsia="Arial" w:hAnsi="Arial"/>
          <w:sz w:val="16"/>
          <w:szCs w:val="16"/>
          <w:color w:val="auto"/>
        </w:rPr>
        <w:t>VII.</w:t>
      </w:r>
      <w:r>
        <w:rPr>
          <w:sz w:val="20"/>
          <w:szCs w:val="20"/>
          <w:color w:val="auto"/>
        </w:rPr>
        <w:tab/>
      </w:r>
      <w:r>
        <w:rPr>
          <w:rFonts w:ascii="Arial" w:cs="Arial" w:eastAsia="Arial" w:hAnsi="Arial"/>
          <w:sz w:val="16"/>
          <w:szCs w:val="16"/>
          <w:color w:val="auto"/>
        </w:rPr>
        <w:t>This MontBleu Lease Amendment No. 5 may be entered into in more than one counterpart, each of which shall be deemed an original</w:t>
      </w:r>
    </w:p>
    <w:p>
      <w:pPr>
        <w:spacing w:after="0" w:line="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when executed, and which together shall constitute but one and the same MontBleu Lease Amendment No. 5. Each Party may rely on facsimile and PDF signature pages as if such facsimile and PDF pages were originals.</w:t>
      </w:r>
    </w:p>
    <w:p>
      <w:pPr>
        <w:spacing w:after="0" w:line="188" w:lineRule="exact"/>
        <w:rPr>
          <w:sz w:val="20"/>
          <w:szCs w:val="20"/>
          <w:color w:val="auto"/>
        </w:rPr>
      </w:pPr>
    </w:p>
    <w:p>
      <w:pPr>
        <w:ind w:firstLine="878"/>
        <w:spacing w:after="0" w:line="271" w:lineRule="auto"/>
        <w:rPr>
          <w:sz w:val="20"/>
          <w:szCs w:val="20"/>
          <w:color w:val="auto"/>
        </w:rPr>
      </w:pPr>
      <w:r>
        <w:rPr>
          <w:rFonts w:ascii="Arial" w:cs="Arial" w:eastAsia="Arial" w:hAnsi="Arial"/>
          <w:sz w:val="18"/>
          <w:szCs w:val="18"/>
          <w:color w:val="auto"/>
        </w:rPr>
        <w:t>VIII. This MontBleu Lease Amendment No. 5 shall be retroactively effective as of January 1, 2019, when U.S. Bank, National Association, has given its written consent to it, as required by agreements between Landlord and U.S. Bank dated September 30,2015.</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type w:val="continuous"/>
        </w:sectPr>
      </w:pPr>
    </w:p>
    <w:bookmarkStart w:id="167" w:name="page168"/>
    <w:bookmarkEnd w:id="167"/>
    <w:p>
      <w:pPr>
        <w:ind w:left="880"/>
        <w:spacing w:after="0"/>
        <w:rPr>
          <w:sz w:val="20"/>
          <w:szCs w:val="20"/>
          <w:color w:val="auto"/>
        </w:rPr>
      </w:pPr>
      <w:r>
        <w:rPr>
          <w:rFonts w:ascii="Arial" w:cs="Arial" w:eastAsia="Arial" w:hAnsi="Arial"/>
          <w:sz w:val="18"/>
          <w:szCs w:val="18"/>
          <w:color w:val="auto"/>
        </w:rPr>
        <w:t>Landlord and Tenant have duly executed this MontBleu Lease Amendment No. 5 as of the Effective Date.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LANDLORD:</w:t>
            </w:r>
          </w:p>
        </w:tc>
        <w:tc>
          <w:tcPr>
            <w:tcW w:w="1360" w:type="dxa"/>
            <w:vAlign w:val="bottom"/>
          </w:tcPr>
          <w:p>
            <w:pPr>
              <w:ind w:left="440"/>
              <w:spacing w:after="0"/>
              <w:rPr>
                <w:sz w:val="20"/>
                <w:szCs w:val="20"/>
                <w:color w:val="auto"/>
              </w:rPr>
            </w:pPr>
            <w:r>
              <w:rPr>
                <w:rFonts w:ascii="Arial" w:cs="Arial" w:eastAsia="Arial" w:hAnsi="Arial"/>
                <w:sz w:val="18"/>
                <w:szCs w:val="18"/>
                <w:b w:val="1"/>
                <w:bCs w:val="1"/>
                <w:color w:val="auto"/>
              </w:rPr>
              <w:t>TENANT:</w:t>
            </w:r>
          </w:p>
        </w:tc>
        <w:tc>
          <w:tcPr>
            <w:tcW w:w="4560" w:type="dxa"/>
            <w:vAlign w:val="bottom"/>
          </w:tcPr>
          <w:p>
            <w:pPr>
              <w:spacing w:after="0"/>
              <w:rPr>
                <w:sz w:val="20"/>
                <w:szCs w:val="20"/>
                <w:color w:val="auto"/>
              </w:rPr>
            </w:pPr>
          </w:p>
        </w:tc>
      </w:tr>
      <w:tr>
        <w:trPr>
          <w:trHeight w:val="415"/>
        </w:trPr>
        <w:tc>
          <w:tcPr>
            <w:tcW w:w="5500" w:type="dxa"/>
            <w:vAlign w:val="bottom"/>
            <w:gridSpan w:val="2"/>
          </w:tcPr>
          <w:p>
            <w:pPr>
              <w:spacing w:after="0"/>
              <w:rPr>
                <w:sz w:val="20"/>
                <w:szCs w:val="20"/>
                <w:color w:val="auto"/>
              </w:rPr>
            </w:pPr>
            <w:r>
              <w:rPr>
                <w:rFonts w:ascii="Arial" w:cs="Arial" w:eastAsia="Arial" w:hAnsi="Arial"/>
                <w:sz w:val="18"/>
                <w:szCs w:val="18"/>
                <w:color w:val="auto"/>
              </w:rPr>
              <w:t>Edgewood Companies, a Nevada corporation</w:t>
            </w: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Columbia Properties Tahoe, LLC,</w:t>
            </w:r>
          </w:p>
        </w:tc>
      </w:tr>
      <w:tr>
        <w:trPr>
          <w:trHeight w:val="227"/>
        </w:trPr>
        <w:tc>
          <w:tcPr>
            <w:tcW w:w="9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a Nevada limited liability company</w:t>
            </w:r>
          </w:p>
        </w:tc>
      </w:tr>
      <w:tr>
        <w:trPr>
          <w:trHeight w:val="428"/>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Mclaughlin</w:t>
            </w:r>
          </w:p>
        </w:tc>
        <w:tc>
          <w:tcPr>
            <w:tcW w:w="1360" w:type="dxa"/>
            <w:vAlign w:val="bottom"/>
          </w:tcPr>
          <w:p>
            <w:pPr>
              <w:ind w:left="44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Edmund L. Quatmann</w:t>
            </w: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Mclaughlin</w:t>
            </w:r>
          </w:p>
        </w:tc>
        <w:tc>
          <w:tcPr>
            <w:tcW w:w="1360" w:type="dxa"/>
            <w:vAlign w:val="bottom"/>
          </w:tcPr>
          <w:p>
            <w:pPr>
              <w:ind w:left="440"/>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Edmund L. Quatmann</w:t>
            </w:r>
          </w:p>
        </w:tc>
      </w:t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Its:</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CEO</w:t>
            </w:r>
          </w:p>
        </w:tc>
        <w:tc>
          <w:tcPr>
            <w:tcW w:w="1360" w:type="dxa"/>
            <w:vAlign w:val="bottom"/>
          </w:tcPr>
          <w:p>
            <w:pPr>
              <w:ind w:left="440"/>
              <w:spacing w:after="0"/>
              <w:rPr>
                <w:sz w:val="20"/>
                <w:szCs w:val="20"/>
                <w:color w:val="auto"/>
              </w:rPr>
            </w:pPr>
            <w:r>
              <w:rPr>
                <w:rFonts w:ascii="Arial" w:cs="Arial" w:eastAsia="Arial" w:hAnsi="Arial"/>
                <w:sz w:val="18"/>
                <w:szCs w:val="18"/>
                <w:color w:val="auto"/>
              </w:rPr>
              <w:t>Its:</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Executive Vice President and CLO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parcel of land situated in Section 27, Township 13 North, Range 18 East, M.D.B.&amp;M. and more particularly described as follows: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at a point where the Easterly right-of-way line of U.S. Highway 50 intersects the present California Nevada State Line; thence North 28°02'00" East, along said right-of-way line, a distance of 877.66 feet to the Northeasterly comer of parcel conveyed to Barneys Club Inc. by deed recorded October 3, 1960 in Book 7, Page 117, Douglas County Records, the TRUE POINT OF BEGINNING: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Thence North 28°02'00" East, along said right-of-way line, a distance of 960.81 feet;</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Thence, from a tangent which bears the last named course, along a circular curve to the right with a radius of 34.00 feet and a central angle of 90°01'23", an arc length of 53.42 feet to a point on the Southwesterly right-of-way line of the Stateline Loop Road;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Thence, South 61°56'37" East, along said right-of-way line of the Stateline Loop Road, a distance of 642.21 feet;</w:t>
      </w:r>
    </w:p>
    <w:p>
      <w:pPr>
        <w:spacing w:after="0" w:line="221"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Thence, from a tangent which bears the last named course, along a circular curve to the right with a radius of 800.00 feet and a central angle of 19°15'02", an arc length of 268.79 feet; thence South 28°01'28" West, a distance of 1116.49 feet; thence North 61°02'11" West, a distance of 69.95 feet to the Northeasterly property line of parcel owned by Harrah's; thence North 32°49'43" West, along said property owned by Harrah's, a distance of 342.69 feet;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Thence North 61°58'00" West, along the property boundaries of Harrah's and Barney's, a distance of 570.86 feet to the TRUE POINT OF BEGINNING.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Said parcel contains an area of approximately 22.21 acres.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2" w:right="239" w:bottom="1440" w:gutter="0" w:footer="0" w:header="0"/>
        </w:sectPr>
      </w:pPr>
    </w:p>
    <w:bookmarkStart w:id="169" w:name="page170"/>
    <w:bookmarkEnd w:id="1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377825</wp:posOffset>
            </wp:positionV>
            <wp:extent cx="7310755" cy="48856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7310755" cy="4885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21.1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600" w:type="dxa"/>
            <w:vAlign w:val="bottom"/>
            <w:gridSpan w:val="4"/>
          </w:tcPr>
          <w:p>
            <w:pPr>
              <w:spacing w:after="0"/>
              <w:rPr>
                <w:sz w:val="20"/>
                <w:szCs w:val="20"/>
                <w:color w:val="auto"/>
              </w:rPr>
            </w:pPr>
            <w:r>
              <w:rPr>
                <w:rFonts w:ascii="Arial" w:cs="Arial" w:eastAsia="Arial" w:hAnsi="Arial"/>
                <w:sz w:val="18"/>
                <w:szCs w:val="18"/>
                <w:b w:val="1"/>
                <w:bCs w:val="1"/>
                <w:color w:val="auto"/>
              </w:rPr>
              <w:t>LIST OF THE REGISTRANT’S SUBSIDIARIES</w:t>
            </w:r>
          </w:p>
        </w:tc>
      </w:tr>
      <w:tr>
        <w:trPr>
          <w:trHeight w:val="248"/>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5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80" w:type="dxa"/>
            <w:vAlign w:val="bottom"/>
          </w:tcPr>
          <w:p>
            <w:pPr>
              <w:ind w:left="980"/>
              <w:spacing w:after="0"/>
              <w:rPr>
                <w:sz w:val="20"/>
                <w:szCs w:val="20"/>
                <w:color w:val="auto"/>
              </w:rPr>
            </w:pPr>
            <w:r>
              <w:rPr>
                <w:rFonts w:ascii="Arial" w:cs="Arial" w:eastAsia="Arial" w:hAnsi="Arial"/>
                <w:sz w:val="14"/>
                <w:szCs w:val="14"/>
                <w:b w:val="1"/>
                <w:bCs w:val="1"/>
                <w:color w:val="auto"/>
              </w:rPr>
              <w:t>Jurisdiction of Organization</w:t>
            </w:r>
          </w:p>
        </w:tc>
      </w:tr>
      <w:tr>
        <w:trPr>
          <w:trHeight w:val="207"/>
        </w:trPr>
        <w:tc>
          <w:tcPr>
            <w:tcW w:w="20" w:type="dxa"/>
            <w:vAlign w:val="bottom"/>
          </w:tcPr>
          <w:p>
            <w:pPr>
              <w:spacing w:after="0"/>
              <w:rPr>
                <w:sz w:val="17"/>
                <w:szCs w:val="17"/>
                <w:color w:val="auto"/>
              </w:rPr>
            </w:pPr>
          </w:p>
        </w:tc>
        <w:tc>
          <w:tcPr>
            <w:tcW w:w="3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Eldorado HoldCo LLC</w:t>
            </w:r>
          </w:p>
        </w:tc>
        <w:tc>
          <w:tcPr>
            <w:tcW w:w="3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Nevada</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Eldorado Resorts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Nevada</w:t>
            </w:r>
          </w:p>
        </w:tc>
      </w:tr>
      <w:tr>
        <w:trPr>
          <w:trHeight w:val="215"/>
        </w:trPr>
        <w:tc>
          <w:tcPr>
            <w:tcW w:w="3820" w:type="dxa"/>
            <w:vAlign w:val="bottom"/>
            <w:gridSpan w:val="2"/>
          </w:tcPr>
          <w:p>
            <w:pPr>
              <w:spacing w:after="0"/>
              <w:rPr>
                <w:sz w:val="20"/>
                <w:szCs w:val="20"/>
                <w:color w:val="auto"/>
              </w:rPr>
            </w:pPr>
            <w:r>
              <w:rPr>
                <w:rFonts w:ascii="Arial" w:cs="Arial" w:eastAsia="Arial" w:hAnsi="Arial"/>
                <w:sz w:val="18"/>
                <w:szCs w:val="18"/>
                <w:color w:val="auto"/>
              </w:rPr>
              <w:t>Eldorado Limited Liability Company</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Nevada</w:t>
            </w:r>
          </w:p>
        </w:tc>
      </w:tr>
      <w:tr>
        <w:trPr>
          <w:trHeight w:val="214"/>
        </w:trPr>
        <w:tc>
          <w:tcPr>
            <w:tcW w:w="3820" w:type="dxa"/>
            <w:vAlign w:val="bottom"/>
            <w:gridSpan w:val="2"/>
          </w:tcPr>
          <w:p>
            <w:pPr>
              <w:spacing w:after="0"/>
              <w:rPr>
                <w:sz w:val="20"/>
                <w:szCs w:val="20"/>
                <w:color w:val="auto"/>
              </w:rPr>
            </w:pPr>
            <w:r>
              <w:rPr>
                <w:rFonts w:ascii="Arial" w:cs="Arial" w:eastAsia="Arial" w:hAnsi="Arial"/>
                <w:sz w:val="18"/>
                <w:szCs w:val="18"/>
                <w:color w:val="auto"/>
              </w:rPr>
              <w:t>Circus and Eldorado Joint Venture, LLC</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Nevada</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CC-Reno,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Nevada</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Eldorado Shreveport #1,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Nevada</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Eldorado Shreveport #2,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Nevada</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Eldorado Casino Shreveport Joint Venture</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Louisiana</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Shreveport Capital Corporation</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Louisiana</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MTR Gaming Group, Inc.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Old PID, Inc.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Pennsylvania</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Scioto Downs, Inc.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Ohio</w:t>
            </w:r>
          </w:p>
        </w:tc>
      </w:tr>
      <w:tr>
        <w:trPr>
          <w:trHeight w:val="215"/>
        </w:trPr>
        <w:tc>
          <w:tcPr>
            <w:tcW w:w="3820" w:type="dxa"/>
            <w:vAlign w:val="bottom"/>
            <w:gridSpan w:val="2"/>
          </w:tcPr>
          <w:p>
            <w:pPr>
              <w:spacing w:after="0"/>
              <w:rPr>
                <w:sz w:val="20"/>
                <w:szCs w:val="20"/>
                <w:color w:val="auto"/>
              </w:rPr>
            </w:pPr>
            <w:r>
              <w:rPr>
                <w:rFonts w:ascii="Arial" w:cs="Arial" w:eastAsia="Arial" w:hAnsi="Arial"/>
                <w:sz w:val="18"/>
                <w:szCs w:val="18"/>
                <w:color w:val="auto"/>
              </w:rPr>
              <w:t>Racelinebet, Inc.</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Oregon</w:t>
            </w:r>
          </w:p>
        </w:tc>
      </w:tr>
      <w:tr>
        <w:trPr>
          <w:trHeight w:val="214"/>
        </w:trPr>
        <w:tc>
          <w:tcPr>
            <w:tcW w:w="3820" w:type="dxa"/>
            <w:vAlign w:val="bottom"/>
            <w:gridSpan w:val="2"/>
          </w:tcPr>
          <w:p>
            <w:pPr>
              <w:spacing w:after="0"/>
              <w:rPr>
                <w:sz w:val="20"/>
                <w:szCs w:val="20"/>
                <w:color w:val="auto"/>
              </w:rPr>
            </w:pPr>
            <w:r>
              <w:rPr>
                <w:rFonts w:ascii="Arial" w:cs="Arial" w:eastAsia="Arial" w:hAnsi="Arial"/>
                <w:sz w:val="18"/>
                <w:szCs w:val="18"/>
                <w:color w:val="auto"/>
              </w:rPr>
              <w:t>Isle of Capri Casinos LLC</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4"/>
        </w:trPr>
        <w:tc>
          <w:tcPr>
            <w:tcW w:w="3820" w:type="dxa"/>
            <w:vAlign w:val="bottom"/>
            <w:gridSpan w:val="2"/>
          </w:tcPr>
          <w:p>
            <w:pPr>
              <w:spacing w:after="0"/>
              <w:rPr>
                <w:sz w:val="20"/>
                <w:szCs w:val="20"/>
                <w:color w:val="auto"/>
              </w:rPr>
            </w:pPr>
            <w:r>
              <w:rPr>
                <w:rFonts w:ascii="Arial" w:cs="Arial" w:eastAsia="Arial" w:hAnsi="Arial"/>
                <w:sz w:val="18"/>
                <w:szCs w:val="18"/>
                <w:color w:val="auto"/>
              </w:rPr>
              <w:t>Black Hawk Holdings, L.L.C.</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Colorado</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Capri Insurance Company</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Hawaii</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CCSC/Blackhawk, Inc.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Colorado</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IC Holdings Colorado, Inc.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Colorado</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IOC-Black Hawk Distribution Company,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Colorado</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IOC-Boonville, Inc.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Nevada</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IOC-Kansas City, Inc.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Missouri</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IOC-Lula, Inc.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Mississippi</w:t>
            </w:r>
          </w:p>
        </w:tc>
      </w:tr>
      <w:tr>
        <w:trPr>
          <w:trHeight w:val="215"/>
        </w:trPr>
        <w:tc>
          <w:tcPr>
            <w:tcW w:w="3820" w:type="dxa"/>
            <w:vAlign w:val="bottom"/>
            <w:gridSpan w:val="2"/>
          </w:tcPr>
          <w:p>
            <w:pPr>
              <w:spacing w:after="0"/>
              <w:rPr>
                <w:sz w:val="20"/>
                <w:szCs w:val="20"/>
                <w:color w:val="auto"/>
              </w:rPr>
            </w:pPr>
            <w:r>
              <w:rPr>
                <w:rFonts w:ascii="Arial" w:cs="Arial" w:eastAsia="Arial" w:hAnsi="Arial"/>
                <w:sz w:val="18"/>
                <w:szCs w:val="18"/>
                <w:color w:val="auto"/>
              </w:rPr>
              <w:t>IOC-PA, L.L.C.</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Pennsylvania</w:t>
            </w:r>
          </w:p>
        </w:tc>
      </w:tr>
      <w:tr>
        <w:trPr>
          <w:trHeight w:val="214"/>
        </w:trPr>
        <w:tc>
          <w:tcPr>
            <w:tcW w:w="3820" w:type="dxa"/>
            <w:vAlign w:val="bottom"/>
            <w:gridSpan w:val="2"/>
          </w:tcPr>
          <w:p>
            <w:pPr>
              <w:spacing w:after="0"/>
              <w:rPr>
                <w:sz w:val="20"/>
                <w:szCs w:val="20"/>
                <w:color w:val="auto"/>
              </w:rPr>
            </w:pPr>
            <w:r>
              <w:rPr>
                <w:rFonts w:ascii="Arial" w:cs="Arial" w:eastAsia="Arial" w:hAnsi="Arial"/>
                <w:sz w:val="18"/>
                <w:szCs w:val="18"/>
                <w:color w:val="auto"/>
              </w:rPr>
              <w:t>IOC-Vicksburg, Inc.</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IOC-Vicksburg,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IOC Black Hawk County, Inc.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Iowa</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IOC Holdings,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Louisiana</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Isle of Capri Bettendorf, 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Iowa</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Isle of Capri Black Hawk,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Colorado</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PPI, Inc.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Florida</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Rainbow Casino-Vicksburg Partnership, L.P.</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Mississippi</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St. Charles Gaming Company,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Louisiana</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Elgin Holdings I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Elgin Holdings II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Elgin Riverboat Resort - Riverboat Casino</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Illinois</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Tropicana Entertainment, Inc.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Tropicana Atlantic City Corp.</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New Jersey</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New Tropicana Holdings, Inc.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New Tropicana OpCo, Inc.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Aztar Riverboat Holding Company,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Indiana</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Aztar Indiana Gaming Company,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Indiana</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New Jazz Enterprises,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Nevada</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Catfish Queen Partnership in Commendam</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Louisiana</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Centroplex Centre Convention Hotel,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Louisiana</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Columbia Properties Tahoe,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Nevada</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MB Development,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Nevada</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Lighthouse Point,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Mississippi</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Tropicana Laughlin,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Nevada</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Tropicana St. Louis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Tropicana St. Louis RE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56"/>
        </w:trPr>
        <w:tc>
          <w:tcPr>
            <w:tcW w:w="3820" w:type="dxa"/>
            <w:vAlign w:val="bottom"/>
            <w:gridSpan w:val="2"/>
          </w:tcPr>
          <w:p>
            <w:pPr>
              <w:spacing w:after="0"/>
              <w:rPr>
                <w:sz w:val="20"/>
                <w:szCs w:val="20"/>
                <w:color w:val="auto"/>
              </w:rPr>
            </w:pPr>
            <w:r>
              <w:rPr>
                <w:rFonts w:ascii="Arial" w:cs="Arial" w:eastAsia="Arial" w:hAnsi="Arial"/>
                <w:sz w:val="21"/>
                <w:szCs w:val="21"/>
                <w:color w:val="auto"/>
              </w:rPr>
              <w:t>Name</w:t>
            </w:r>
          </w:p>
        </w:tc>
        <w:tc>
          <w:tcPr>
            <w:tcW w:w="3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80" w:type="dxa"/>
            <w:vAlign w:val="bottom"/>
          </w:tcPr>
          <w:p>
            <w:pPr>
              <w:ind w:left="980"/>
              <w:spacing w:after="0"/>
              <w:rPr>
                <w:sz w:val="20"/>
                <w:szCs w:val="20"/>
                <w:color w:val="auto"/>
              </w:rPr>
            </w:pPr>
            <w:r>
              <w:rPr>
                <w:rFonts w:ascii="Arial" w:cs="Arial" w:eastAsia="Arial" w:hAnsi="Arial"/>
                <w:sz w:val="14"/>
                <w:szCs w:val="14"/>
                <w:b w:val="1"/>
                <w:bCs w:val="1"/>
                <w:color w:val="auto"/>
              </w:rPr>
              <w:t>Jurisdiction of Organization</w:t>
            </w:r>
          </w:p>
        </w:tc>
      </w:tr>
      <w:tr>
        <w:trPr>
          <w:trHeight w:val="207"/>
        </w:trPr>
        <w:tc>
          <w:tcPr>
            <w:tcW w:w="20" w:type="dxa"/>
            <w:vAlign w:val="bottom"/>
          </w:tcPr>
          <w:p>
            <w:pPr>
              <w:spacing w:after="0"/>
              <w:rPr>
                <w:sz w:val="17"/>
                <w:szCs w:val="17"/>
                <w:color w:val="auto"/>
              </w:rPr>
            </w:pPr>
          </w:p>
        </w:tc>
        <w:tc>
          <w:tcPr>
            <w:tcW w:w="3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TEI (STLH), LLC</w:t>
            </w:r>
          </w:p>
        </w:tc>
        <w:tc>
          <w:tcPr>
            <w:tcW w:w="3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TEI (ES),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TEI (St. Louis) RE,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TropWorld Games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Nevada</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TEI R7 Investment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Eldo Fit,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Nevada</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CRS Annex, LLC LLC</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Nevada</w:t>
            </w:r>
          </w:p>
        </w:tc>
      </w:tr>
    </w:tbl>
    <w:p>
      <w:pPr>
        <w:sectPr>
          <w:pgSz w:w="11900" w:h="16838" w:orient="portrait"/>
          <w:cols w:equalWidth="0" w:num="1">
            <w:col w:w="11420"/>
          </w:cols>
          <w:pgMar w:left="240" w:top="121"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0"/>
          <w:szCs w:val="20"/>
          <w:b w:val="1"/>
          <w:bCs w:val="1"/>
          <w:color w:val="auto"/>
        </w:rPr>
        <w:t>Exhibit 23.1</w:t>
      </w:r>
    </w:p>
    <w:p>
      <w:pPr>
        <w:spacing w:after="0" w:line="171" w:lineRule="exact"/>
        <w:rPr>
          <w:sz w:val="20"/>
          <w:szCs w:val="20"/>
          <w:color w:val="auto"/>
        </w:rPr>
      </w:pPr>
    </w:p>
    <w:p>
      <w:pPr>
        <w:ind w:left="228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185" w:lineRule="exact"/>
        <w:rPr>
          <w:sz w:val="20"/>
          <w:szCs w:val="20"/>
          <w:color w:val="auto"/>
        </w:rPr>
      </w:pPr>
    </w:p>
    <w:p>
      <w:pPr>
        <w:ind w:left="440" w:hanging="433"/>
        <w:spacing w:after="0"/>
        <w:tabs>
          <w:tab w:leader="none" w:pos="440" w:val="left"/>
        </w:tabs>
        <w:numPr>
          <w:ilvl w:val="0"/>
          <w:numId w:val="77"/>
        </w:numPr>
        <w:rPr>
          <w:rFonts w:ascii="Arial" w:cs="Arial" w:eastAsia="Arial" w:hAnsi="Arial"/>
          <w:sz w:val="20"/>
          <w:szCs w:val="20"/>
          <w:color w:val="auto"/>
        </w:rPr>
      </w:pPr>
      <w:r>
        <w:rPr>
          <w:rFonts w:ascii="Arial" w:cs="Arial" w:eastAsia="Arial" w:hAnsi="Arial"/>
          <w:sz w:val="20"/>
          <w:szCs w:val="20"/>
          <w:color w:val="auto"/>
        </w:rPr>
        <w:t>Registration Statement on Form S-3 (No. 333-218775) and in the related Prospectus of Eldorado Resorts Inc.;</w:t>
      </w:r>
    </w:p>
    <w:p>
      <w:pPr>
        <w:spacing w:after="0" w:line="198" w:lineRule="exact"/>
        <w:rPr>
          <w:rFonts w:ascii="Arial" w:cs="Arial" w:eastAsia="Arial" w:hAnsi="Arial"/>
          <w:sz w:val="20"/>
          <w:szCs w:val="20"/>
          <w:color w:val="auto"/>
        </w:rPr>
      </w:pPr>
    </w:p>
    <w:p>
      <w:pPr>
        <w:ind w:left="440" w:hanging="433"/>
        <w:spacing w:after="0"/>
        <w:tabs>
          <w:tab w:leader="none" w:pos="4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Registration Statements on Form S-4 (Nos. 33-233591 and 333-214422) and in the related Prospectus of Eldorado Resorts, Inc.; and</w:t>
      </w:r>
    </w:p>
    <w:p>
      <w:pPr>
        <w:spacing w:after="0" w:line="219" w:lineRule="exact"/>
        <w:rPr>
          <w:rFonts w:ascii="Arial" w:cs="Arial" w:eastAsia="Arial" w:hAnsi="Arial"/>
          <w:sz w:val="17"/>
          <w:szCs w:val="17"/>
          <w:color w:val="auto"/>
        </w:rPr>
      </w:pPr>
    </w:p>
    <w:p>
      <w:pPr>
        <w:ind w:left="440" w:hanging="433"/>
        <w:spacing w:after="0"/>
        <w:tabs>
          <w:tab w:leader="none" w:pos="440" w:val="left"/>
        </w:tabs>
        <w:numPr>
          <w:ilvl w:val="0"/>
          <w:numId w:val="77"/>
        </w:numPr>
        <w:rPr>
          <w:rFonts w:ascii="Arial" w:cs="Arial" w:eastAsia="Arial" w:hAnsi="Arial"/>
          <w:sz w:val="20"/>
          <w:szCs w:val="20"/>
          <w:color w:val="auto"/>
        </w:rPr>
      </w:pPr>
      <w:r>
        <w:rPr>
          <w:rFonts w:ascii="Arial" w:cs="Arial" w:eastAsia="Arial" w:hAnsi="Arial"/>
          <w:sz w:val="20"/>
          <w:szCs w:val="20"/>
          <w:color w:val="auto"/>
        </w:rPr>
        <w:t>Registration Statements on Form S-8 (Nos. 333-198830, 333-203227 and 333-232336) of Eldorado Resorts, Inc.</w:t>
      </w:r>
    </w:p>
    <w:p>
      <w:pPr>
        <w:spacing w:after="0" w:line="171" w:lineRule="exact"/>
        <w:rPr>
          <w:sz w:val="20"/>
          <w:szCs w:val="20"/>
          <w:color w:val="auto"/>
        </w:rPr>
      </w:pPr>
    </w:p>
    <w:p>
      <w:pPr>
        <w:jc w:val="both"/>
        <w:ind w:right="500"/>
        <w:spacing w:after="0" w:line="247" w:lineRule="auto"/>
        <w:rPr>
          <w:sz w:val="20"/>
          <w:szCs w:val="20"/>
          <w:color w:val="auto"/>
        </w:rPr>
      </w:pPr>
      <w:r>
        <w:rPr>
          <w:rFonts w:ascii="Arial" w:cs="Arial" w:eastAsia="Arial" w:hAnsi="Arial"/>
          <w:sz w:val="20"/>
          <w:szCs w:val="20"/>
          <w:color w:val="auto"/>
        </w:rPr>
        <w:t>of our reports dated February 27, 2020 with respect to the consolidated financial statements and schedule of Eldorado Resorts, Inc. and the effectiveness of internal control over financial reporting of Eldorado Resorts, Inc. included in this Annual Report (Form 10-K) of Eldorado Resorts, Inc. for the year ended December 31, 2019.</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Las Vegas, Nevada</w:t>
      </w:r>
    </w:p>
    <w:p>
      <w:pPr>
        <w:spacing w:after="0"/>
        <w:rPr>
          <w:sz w:val="20"/>
          <w:szCs w:val="20"/>
          <w:color w:val="auto"/>
        </w:rPr>
      </w:pPr>
      <w:r>
        <w:rPr>
          <w:rFonts w:ascii="Arial" w:cs="Arial" w:eastAsia="Arial" w:hAnsi="Arial"/>
          <w:sz w:val="20"/>
          <w:szCs w:val="20"/>
          <w:color w:val="auto"/>
        </w:rPr>
        <w:t>February 27, 2020</w:t>
      </w:r>
    </w:p>
    <w:p>
      <w:pPr>
        <w:sectPr>
          <w:pgSz w:w="11900" w:h="16838" w:orient="portrait"/>
          <w:cols w:equalWidth="0" w:num="1">
            <w:col w:w="11420"/>
          </w:cols>
          <w:pgMar w:left="240" w:top="357"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31.1</w:t>
      </w:r>
    </w:p>
    <w:p>
      <w:pPr>
        <w:spacing w:after="0" w:line="221"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114" w:lineRule="exact"/>
        <w:rPr>
          <w:sz w:val="20"/>
          <w:szCs w:val="20"/>
          <w:color w:val="auto"/>
        </w:rPr>
      </w:pPr>
    </w:p>
    <w:p>
      <w:pPr>
        <w:ind w:left="560" w:hanging="553"/>
        <w:spacing w:after="0" w:line="207" w:lineRule="exact"/>
        <w:tabs>
          <w:tab w:leader="none" w:pos="5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Eldorado Resorts, Inc.;</w:t>
      </w:r>
    </w:p>
    <w:p>
      <w:pPr>
        <w:spacing w:after="0" w:line="114" w:lineRule="exact"/>
        <w:rPr>
          <w:rFonts w:ascii="Arial" w:cs="Arial" w:eastAsia="Arial" w:hAnsi="Arial"/>
          <w:sz w:val="18"/>
          <w:szCs w:val="18"/>
          <w:color w:val="auto"/>
        </w:rPr>
      </w:pPr>
    </w:p>
    <w:p>
      <w:pPr>
        <w:jc w:val="both"/>
        <w:ind w:left="560" w:right="480" w:hanging="553"/>
        <w:spacing w:after="0" w:line="259" w:lineRule="auto"/>
        <w:tabs>
          <w:tab w:leader="none" w:pos="5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8"/>
          <w:szCs w:val="18"/>
          <w:color w:val="auto"/>
        </w:rPr>
      </w:pPr>
    </w:p>
    <w:p>
      <w:pPr>
        <w:ind w:left="560" w:right="460" w:hanging="553"/>
        <w:spacing w:after="0" w:line="301" w:lineRule="auto"/>
        <w:tabs>
          <w:tab w:leader="none" w:pos="5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ind w:left="560" w:right="120" w:hanging="553"/>
        <w:spacing w:after="0" w:line="219" w:lineRule="exact"/>
        <w:tabs>
          <w:tab w:leader="none" w:pos="5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94" w:lineRule="exact"/>
        <w:rPr>
          <w:rFonts w:ascii="Arial" w:cs="Arial" w:eastAsia="Arial" w:hAnsi="Arial"/>
          <w:sz w:val="18"/>
          <w:szCs w:val="18"/>
          <w:color w:val="auto"/>
        </w:rPr>
      </w:pPr>
    </w:p>
    <w:p>
      <w:pPr>
        <w:ind w:left="1100" w:right="200" w:hanging="544"/>
        <w:spacing w:after="0" w:line="259" w:lineRule="auto"/>
        <w:tabs>
          <w:tab w:leader="none" w:pos="11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ind w:left="1100" w:right="520" w:hanging="544"/>
        <w:spacing w:after="0" w:line="259" w:lineRule="auto"/>
        <w:tabs>
          <w:tab w:leader="none" w:pos="11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8"/>
          <w:szCs w:val="18"/>
          <w:color w:val="auto"/>
        </w:rPr>
      </w:pPr>
    </w:p>
    <w:p>
      <w:pPr>
        <w:jc w:val="both"/>
        <w:ind w:left="1100" w:right="700" w:hanging="544"/>
        <w:spacing w:after="0" w:line="335" w:lineRule="auto"/>
        <w:tabs>
          <w:tab w:leader="none" w:pos="11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ind w:left="1100" w:right="200" w:hanging="544"/>
        <w:spacing w:after="0" w:line="259" w:lineRule="auto"/>
        <w:tabs>
          <w:tab w:leader="none" w:pos="11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8"/>
          <w:szCs w:val="18"/>
          <w:color w:val="auto"/>
        </w:rPr>
      </w:pPr>
    </w:p>
    <w:p>
      <w:pPr>
        <w:ind w:left="560" w:right="200" w:hanging="553"/>
        <w:spacing w:after="0" w:line="301" w:lineRule="auto"/>
        <w:tabs>
          <w:tab w:leader="none" w:pos="5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7"/>
          <w:szCs w:val="17"/>
          <w:color w:val="auto"/>
        </w:rPr>
      </w:pPr>
    </w:p>
    <w:p>
      <w:pPr>
        <w:ind w:left="1100" w:right="100" w:hanging="544"/>
        <w:spacing w:after="0" w:line="301" w:lineRule="auto"/>
        <w:tabs>
          <w:tab w:leader="none" w:pos="1100" w:val="left"/>
        </w:tabs>
        <w:numPr>
          <w:ilvl w:val="1"/>
          <w:numId w:val="7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7"/>
          <w:szCs w:val="17"/>
          <w:color w:val="auto"/>
        </w:rPr>
      </w:pPr>
    </w:p>
    <w:p>
      <w:pPr>
        <w:ind w:left="1100" w:right="60" w:hanging="544"/>
        <w:spacing w:after="0" w:line="271" w:lineRule="auto"/>
        <w:tabs>
          <w:tab w:leader="none" w:pos="11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HOMAS</w:t>
      </w:r>
      <w:r>
        <w:rPr>
          <w:rFonts w:ascii="Arial" w:cs="Arial" w:eastAsia="Arial" w:hAnsi="Arial"/>
          <w:sz w:val="18"/>
          <w:szCs w:val="18"/>
          <w:color w:val="auto"/>
        </w:rPr>
        <w:t xml:space="preserve"> R. R</w:t>
      </w:r>
      <w:r>
        <w:rPr>
          <w:rFonts w:ascii="Arial" w:cs="Arial" w:eastAsia="Arial" w:hAnsi="Arial"/>
          <w:sz w:val="12"/>
          <w:szCs w:val="12"/>
          <w:color w:val="auto"/>
        </w:rPr>
        <w:t>EEG</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95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01">
                      <a:extLst>
                        <a:ext uri="{28A0092B-C50C-407E-A947-70E740481C1C}"/>
                      </a:extLst>
                    </a:blip>
                    <a:srcRect/>
                    <a:stretch>
                      <a:fillRect/>
                    </a:stretch>
                  </pic:blipFill>
                  <pic:spPr bwMode="auto">
                    <a:xfrm>
                      <a:off x="0" y="0"/>
                      <a:ext cx="361950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Bret Yunker, certify that:</w:t>
      </w:r>
    </w:p>
    <w:p>
      <w:pPr>
        <w:spacing w:after="0" w:line="114" w:lineRule="exact"/>
        <w:rPr>
          <w:sz w:val="20"/>
          <w:szCs w:val="20"/>
          <w:color w:val="auto"/>
        </w:rPr>
      </w:pPr>
    </w:p>
    <w:p>
      <w:pPr>
        <w:ind w:left="520" w:hanging="513"/>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Eldorado Resorts, Inc.;</w:t>
      </w:r>
    </w:p>
    <w:p>
      <w:pPr>
        <w:spacing w:after="0" w:line="114" w:lineRule="exact"/>
        <w:rPr>
          <w:rFonts w:ascii="Arial" w:cs="Arial" w:eastAsia="Arial" w:hAnsi="Arial"/>
          <w:sz w:val="18"/>
          <w:szCs w:val="18"/>
          <w:color w:val="auto"/>
        </w:rPr>
      </w:pPr>
    </w:p>
    <w:p>
      <w:pPr>
        <w:ind w:left="520" w:right="40" w:hanging="513"/>
        <w:spacing w:after="0" w:line="335" w:lineRule="auto"/>
        <w:tabs>
          <w:tab w:leader="none" w:pos="5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6"/>
          <w:szCs w:val="16"/>
          <w:color w:val="auto"/>
        </w:rPr>
      </w:pPr>
    </w:p>
    <w:p>
      <w:pPr>
        <w:ind w:left="520" w:right="500" w:hanging="513"/>
        <w:spacing w:after="0" w:line="301" w:lineRule="auto"/>
        <w:tabs>
          <w:tab w:leader="none" w:pos="5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ind w:left="520" w:right="160" w:hanging="513"/>
        <w:spacing w:after="0" w:line="259"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8"/>
          <w:szCs w:val="18"/>
          <w:color w:val="auto"/>
        </w:rPr>
      </w:pPr>
    </w:p>
    <w:p>
      <w:pPr>
        <w:ind w:left="1020" w:right="280" w:hanging="504"/>
        <w:spacing w:after="0" w:line="259" w:lineRule="auto"/>
        <w:tabs>
          <w:tab w:leader="none" w:pos="10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ind w:left="1020" w:right="600" w:hanging="504"/>
        <w:spacing w:after="0" w:line="259" w:lineRule="auto"/>
        <w:tabs>
          <w:tab w:leader="none" w:pos="10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8"/>
          <w:szCs w:val="18"/>
          <w:color w:val="auto"/>
        </w:rPr>
      </w:pPr>
    </w:p>
    <w:p>
      <w:pPr>
        <w:jc w:val="both"/>
        <w:ind w:left="1020" w:right="780" w:hanging="504"/>
        <w:spacing w:after="0" w:line="335" w:lineRule="auto"/>
        <w:tabs>
          <w:tab w:leader="none" w:pos="1020"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ind w:left="1020" w:right="280" w:hanging="504"/>
        <w:spacing w:after="0" w:line="259" w:lineRule="auto"/>
        <w:tabs>
          <w:tab w:leader="none" w:pos="10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8"/>
          <w:szCs w:val="18"/>
          <w:color w:val="auto"/>
        </w:rPr>
      </w:pPr>
    </w:p>
    <w:p>
      <w:pPr>
        <w:ind w:left="520" w:right="240" w:hanging="513"/>
        <w:spacing w:after="0" w:line="301" w:lineRule="auto"/>
        <w:tabs>
          <w:tab w:leader="none" w:pos="5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7"/>
          <w:szCs w:val="17"/>
          <w:color w:val="auto"/>
        </w:rPr>
      </w:pPr>
    </w:p>
    <w:p>
      <w:pPr>
        <w:ind w:left="1020" w:right="180" w:hanging="504"/>
        <w:spacing w:after="0" w:line="301" w:lineRule="auto"/>
        <w:tabs>
          <w:tab w:leader="none" w:pos="1020" w:val="left"/>
        </w:tabs>
        <w:numPr>
          <w:ilvl w:val="1"/>
          <w:numId w:val="7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7"/>
          <w:szCs w:val="17"/>
          <w:color w:val="auto"/>
        </w:rPr>
      </w:pPr>
    </w:p>
    <w:p>
      <w:pPr>
        <w:ind w:left="1020" w:right="140" w:hanging="504"/>
        <w:spacing w:after="0" w:line="271" w:lineRule="auto"/>
        <w:tabs>
          <w:tab w:leader="none" w:pos="10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95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02">
                      <a:extLst>
                        <a:ext uri="{28A0092B-C50C-407E-A947-70E740481C1C}"/>
                      </a:extLst>
                    </a:blip>
                    <a:srcRect/>
                    <a:stretch>
                      <a:fillRect/>
                    </a:stretch>
                  </pic:blipFill>
                  <pic:spPr bwMode="auto">
                    <a:xfrm>
                      <a:off x="0" y="0"/>
                      <a:ext cx="361950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121"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Thomas R. Reeg</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08" w:lineRule="exact"/>
        <w:rPr>
          <w:sz w:val="20"/>
          <w:szCs w:val="20"/>
          <w:color w:val="auto"/>
        </w:rPr>
      </w:pPr>
    </w:p>
    <w:p>
      <w:pPr>
        <w:ind w:right="520" w:firstLine="555"/>
        <w:spacing w:after="0" w:line="220" w:lineRule="exact"/>
        <w:rPr>
          <w:sz w:val="20"/>
          <w:szCs w:val="20"/>
          <w:color w:val="auto"/>
        </w:rPr>
      </w:pPr>
      <w:r>
        <w:rPr>
          <w:rFonts w:ascii="Arial" w:cs="Arial" w:eastAsia="Arial" w:hAnsi="Arial"/>
          <w:sz w:val="18"/>
          <w:szCs w:val="18"/>
          <w:color w:val="auto"/>
        </w:rPr>
        <w:t>I, Thomas R. Reeg, Chief Executive Officer of Eldorado Resorts, Inc. (the “Company”), do hereby certify in accordance with 18 U.S.C.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202" w:lineRule="exact"/>
        <w:rPr>
          <w:sz w:val="20"/>
          <w:szCs w:val="20"/>
          <w:color w:val="auto"/>
        </w:rPr>
      </w:pPr>
    </w:p>
    <w:p>
      <w:pPr>
        <w:ind w:left="1100" w:right="640" w:hanging="544"/>
        <w:spacing w:after="0" w:line="220" w:lineRule="exact"/>
        <w:tabs>
          <w:tab w:leader="none" w:pos="11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fiscal year ended December 31, 2019 (</w:t>
      </w:r>
      <w:r>
        <w:rPr>
          <w:rFonts w:ascii="MS PGothic" w:cs="MS PGothic" w:eastAsia="MS PGothic" w:hAnsi="MS PGothic"/>
          <w:sz w:val="17"/>
          <w:szCs w:val="17"/>
          <w:color w:val="auto"/>
        </w:rPr>
        <w:t>‑</w:t>
      </w:r>
      <w:r>
        <w:rPr>
          <w:rFonts w:ascii="Arial" w:cs="Arial" w:eastAsia="Arial" w:hAnsi="Arial"/>
          <w:sz w:val="17"/>
          <w:szCs w:val="17"/>
          <w:color w:val="auto"/>
        </w:rPr>
        <w:t>the “Report”) fully complies with the requirements of Section 13(a) or 15(d) of the Securities Exchange Act of 1934 (15 U.S.C. 78m or 78o(d)); and</w:t>
      </w:r>
    </w:p>
    <w:p>
      <w:pPr>
        <w:spacing w:after="0" w:line="202" w:lineRule="exact"/>
        <w:rPr>
          <w:rFonts w:ascii="Arial" w:cs="Arial" w:eastAsia="Arial" w:hAnsi="Arial"/>
          <w:sz w:val="17"/>
          <w:szCs w:val="17"/>
          <w:color w:val="auto"/>
        </w:rPr>
      </w:pPr>
    </w:p>
    <w:p>
      <w:pPr>
        <w:ind w:left="1100" w:right="220" w:hanging="544"/>
        <w:spacing w:after="0" w:line="271" w:lineRule="auto"/>
        <w:tabs>
          <w:tab w:leader="none" w:pos="11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23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HOMAS</w:t>
      </w:r>
      <w:r>
        <w:rPr>
          <w:rFonts w:ascii="Arial" w:cs="Arial" w:eastAsia="Arial" w:hAnsi="Arial"/>
          <w:sz w:val="18"/>
          <w:szCs w:val="18"/>
          <w:color w:val="auto"/>
        </w:rPr>
        <w:t xml:space="preserve"> R. R</w:t>
      </w:r>
      <w:r>
        <w:rPr>
          <w:rFonts w:ascii="Arial" w:cs="Arial" w:eastAsia="Arial" w:hAnsi="Arial"/>
          <w:sz w:val="12"/>
          <w:szCs w:val="12"/>
          <w:color w:val="auto"/>
        </w:rPr>
        <w:t>EEG</w:t>
      </w:r>
    </w:p>
    <w:p>
      <w:pPr>
        <w:spacing w:after="0" w:line="2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3997960</wp:posOffset>
            </wp:positionH>
            <wp:positionV relativeFrom="paragraph">
              <wp:posOffset>-130175</wp:posOffset>
            </wp:positionV>
            <wp:extent cx="325437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03">
                      <a:extLst>
                        <a:ext uri="{28A0092B-C50C-407E-A947-70E740481C1C}"/>
                      </a:extLst>
                    </a:blip>
                    <a:srcRect/>
                    <a:stretch>
                      <a:fillRect/>
                    </a:stretch>
                  </pic:blipFill>
                  <pic:spPr bwMode="auto">
                    <a:xfrm>
                      <a:off x="0" y="0"/>
                      <a:ext cx="3254375" cy="8255"/>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1"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Bret Yunker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08" w:lineRule="exact"/>
        <w:rPr>
          <w:sz w:val="20"/>
          <w:szCs w:val="20"/>
          <w:color w:val="auto"/>
        </w:rPr>
      </w:pPr>
    </w:p>
    <w:p>
      <w:pPr>
        <w:ind w:right="340" w:firstLine="518"/>
        <w:spacing w:after="0" w:line="271" w:lineRule="auto"/>
        <w:rPr>
          <w:sz w:val="20"/>
          <w:szCs w:val="20"/>
          <w:color w:val="auto"/>
        </w:rPr>
      </w:pPr>
      <w:r>
        <w:rPr>
          <w:rFonts w:ascii="Arial" w:cs="Arial" w:eastAsia="Arial" w:hAnsi="Arial"/>
          <w:sz w:val="18"/>
          <w:szCs w:val="18"/>
          <w:color w:val="auto"/>
        </w:rPr>
        <w:t>I, Bret Yunker, Chief Financial Officer of Eldorado Resorts, Inc. (the “Company”), do hereby certify in accordance with 18 U.S.C. 1350, as adopted pursuant to Section 906 of the Sarbanes-Oxley Act of 2002, that, to my knowledge:</w:t>
      </w:r>
    </w:p>
    <w:p>
      <w:pPr>
        <w:spacing w:after="0" w:line="175" w:lineRule="exact"/>
        <w:rPr>
          <w:sz w:val="20"/>
          <w:szCs w:val="20"/>
          <w:color w:val="auto"/>
        </w:rPr>
      </w:pPr>
    </w:p>
    <w:p>
      <w:pPr>
        <w:ind w:left="1020" w:right="780" w:hanging="504"/>
        <w:spacing w:after="0" w:line="301" w:lineRule="auto"/>
        <w:tabs>
          <w:tab w:leader="none" w:pos="10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fiscal year ended December 31, 2019 (the “Report”) fully complies with the requirements of Section 13(a) or 15(d) of the Securities Exchange Act of 1934 (15 U.S.C. 78m or 78o(d)); and</w:t>
      </w:r>
    </w:p>
    <w:p>
      <w:pPr>
        <w:spacing w:after="0" w:line="151" w:lineRule="exact"/>
        <w:rPr>
          <w:rFonts w:ascii="Arial" w:cs="Arial" w:eastAsia="Arial" w:hAnsi="Arial"/>
          <w:sz w:val="17"/>
          <w:szCs w:val="17"/>
          <w:color w:val="auto"/>
        </w:rPr>
      </w:pPr>
    </w:p>
    <w:p>
      <w:pPr>
        <w:ind w:left="1020" w:right="40" w:hanging="504"/>
        <w:spacing w:after="0" w:line="271" w:lineRule="auto"/>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22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3997960</wp:posOffset>
            </wp:positionH>
            <wp:positionV relativeFrom="paragraph">
              <wp:posOffset>-130175</wp:posOffset>
            </wp:positionV>
            <wp:extent cx="325437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04">
                      <a:extLst>
                        <a:ext uri="{28A0092B-C50C-407E-A947-70E740481C1C}"/>
                      </a:extLst>
                    </a:blip>
                    <a:srcRect/>
                    <a:stretch>
                      <a:fillRect/>
                    </a:stretch>
                  </pic:blipFill>
                  <pic:spPr bwMode="auto">
                    <a:xfrm>
                      <a:off x="0" y="0"/>
                      <a:ext cx="3254375" cy="8255"/>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1"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99.1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Governmental Regulations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48" w:lineRule="exact"/>
        <w:rPr>
          <w:sz w:val="20"/>
          <w:szCs w:val="20"/>
          <w:color w:val="auto"/>
        </w:rPr>
      </w:pPr>
    </w:p>
    <w:p>
      <w:pPr>
        <w:ind w:right="200" w:firstLine="815"/>
        <w:spacing w:after="0" w:line="290" w:lineRule="auto"/>
        <w:rPr>
          <w:sz w:val="20"/>
          <w:szCs w:val="20"/>
          <w:color w:val="auto"/>
        </w:rPr>
      </w:pPr>
      <w:r>
        <w:rPr>
          <w:rFonts w:ascii="Arial" w:cs="Arial" w:eastAsia="Arial" w:hAnsi="Arial"/>
          <w:sz w:val="16"/>
          <w:szCs w:val="16"/>
          <w:color w:val="auto"/>
        </w:rPr>
        <w:t>The ownership, operation, and management of our gaming, betting and racing facilities (generically referred to herein as “gaming”) are subject to significant regulation under the laws and regulations of each of the jurisdictions in which we operate. Gaming laws are generally based upon declarations of public policy designed to protect gaming consumers and the viability and integrity of the gaming industry. Gaming laws also may be designed to protect and maximize state and local revenues derived through taxes and licensing fees imposed on gaming industry participants, as well as to enhance economic development and tourism. To accomplish these public policy goals, gaming laws establish stringent procedures to ensure that participants in the gaming industry meet certain standards of character and fitness. In addition, gaming laws require gaming industry participants to:</w:t>
      </w:r>
    </w:p>
    <w:p>
      <w:pPr>
        <w:spacing w:after="0" w:line="192" w:lineRule="exact"/>
        <w:rPr>
          <w:sz w:val="20"/>
          <w:szCs w:val="20"/>
          <w:color w:val="auto"/>
        </w:rPr>
      </w:pPr>
    </w:p>
    <w:p>
      <w:pPr>
        <w:ind w:left="1220" w:hanging="410"/>
        <w:spacing w:after="0"/>
        <w:tabs>
          <w:tab w:leader="none" w:pos="1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ensure that unsuitable individuals and organizations have no role in gaming operations;</w:t>
      </w:r>
    </w:p>
    <w:p>
      <w:pPr>
        <w:spacing w:after="0" w:line="19" w:lineRule="exact"/>
        <w:rPr>
          <w:rFonts w:ascii="Arial" w:cs="Arial" w:eastAsia="Arial" w:hAnsi="Arial"/>
          <w:sz w:val="18"/>
          <w:szCs w:val="18"/>
          <w:color w:val="auto"/>
        </w:rPr>
      </w:pPr>
    </w:p>
    <w:p>
      <w:pPr>
        <w:ind w:left="1220" w:hanging="410"/>
        <w:spacing w:after="0"/>
        <w:tabs>
          <w:tab w:leader="none" w:pos="1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establish procedures designed to prevent cheating and fraudulent practices;</w:t>
      </w:r>
    </w:p>
    <w:p>
      <w:pPr>
        <w:spacing w:after="0" w:line="7" w:lineRule="exact"/>
        <w:rPr>
          <w:rFonts w:ascii="Arial" w:cs="Arial" w:eastAsia="Arial" w:hAnsi="Arial"/>
          <w:sz w:val="18"/>
          <w:szCs w:val="18"/>
          <w:color w:val="auto"/>
        </w:rPr>
      </w:pPr>
    </w:p>
    <w:p>
      <w:pPr>
        <w:ind w:left="1220" w:hanging="410"/>
        <w:spacing w:after="0"/>
        <w:tabs>
          <w:tab w:leader="none" w:pos="1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establish and maintain responsible accounting practices and procedures;</w:t>
      </w:r>
    </w:p>
    <w:p>
      <w:pPr>
        <w:spacing w:after="0" w:line="7" w:lineRule="exact"/>
        <w:rPr>
          <w:rFonts w:ascii="Arial" w:cs="Arial" w:eastAsia="Arial" w:hAnsi="Arial"/>
          <w:sz w:val="18"/>
          <w:szCs w:val="18"/>
          <w:color w:val="auto"/>
        </w:rPr>
      </w:pPr>
    </w:p>
    <w:p>
      <w:pPr>
        <w:ind w:left="1220" w:right="660" w:hanging="410"/>
        <w:spacing w:after="0" w:line="248" w:lineRule="auto"/>
        <w:tabs>
          <w:tab w:leader="none" w:pos="1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maintain effective controls over their financial practices, including establishing minimum procedures for internal fiscal affairs and the safeguarding of assets and revenues;</w:t>
      </w:r>
    </w:p>
    <w:p>
      <w:pPr>
        <w:ind w:left="1220" w:hanging="410"/>
        <w:spacing w:after="0"/>
        <w:tabs>
          <w:tab w:leader="none" w:pos="1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maintain systems for reliable record keeping;</w:t>
      </w:r>
    </w:p>
    <w:p>
      <w:pPr>
        <w:spacing w:after="0" w:line="7" w:lineRule="exact"/>
        <w:rPr>
          <w:rFonts w:ascii="Arial" w:cs="Arial" w:eastAsia="Arial" w:hAnsi="Arial"/>
          <w:sz w:val="18"/>
          <w:szCs w:val="18"/>
          <w:color w:val="auto"/>
        </w:rPr>
      </w:pPr>
    </w:p>
    <w:p>
      <w:pPr>
        <w:ind w:left="1220" w:hanging="410"/>
        <w:spacing w:after="0"/>
        <w:tabs>
          <w:tab w:leader="none" w:pos="1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file periodic reports with gaming regulators;</w:t>
      </w:r>
    </w:p>
    <w:p>
      <w:pPr>
        <w:spacing w:after="0" w:line="7" w:lineRule="exact"/>
        <w:rPr>
          <w:rFonts w:ascii="Arial" w:cs="Arial" w:eastAsia="Arial" w:hAnsi="Arial"/>
          <w:sz w:val="18"/>
          <w:szCs w:val="18"/>
          <w:color w:val="auto"/>
        </w:rPr>
      </w:pPr>
    </w:p>
    <w:p>
      <w:pPr>
        <w:ind w:left="1220" w:hanging="410"/>
        <w:spacing w:after="0"/>
        <w:tabs>
          <w:tab w:leader="none" w:pos="12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ensure that contracts and financial transactions are commercially reasonable, reflect fair market value and are arms-length transactions; and</w:t>
      </w:r>
    </w:p>
    <w:p>
      <w:pPr>
        <w:spacing w:after="0" w:line="30" w:lineRule="exact"/>
        <w:rPr>
          <w:rFonts w:ascii="Arial" w:cs="Arial" w:eastAsia="Arial" w:hAnsi="Arial"/>
          <w:sz w:val="16"/>
          <w:szCs w:val="16"/>
          <w:color w:val="auto"/>
        </w:rPr>
      </w:pPr>
    </w:p>
    <w:p>
      <w:pPr>
        <w:ind w:left="1220" w:hanging="410"/>
        <w:spacing w:after="0"/>
        <w:tabs>
          <w:tab w:leader="none" w:pos="1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establish programs to promote responsible gaming.</w:t>
      </w:r>
    </w:p>
    <w:p>
      <w:pPr>
        <w:spacing w:after="0" w:line="235" w:lineRule="exact"/>
        <w:rPr>
          <w:sz w:val="20"/>
          <w:szCs w:val="20"/>
          <w:color w:val="auto"/>
        </w:rPr>
      </w:pPr>
    </w:p>
    <w:p>
      <w:pPr>
        <w:jc w:val="both"/>
        <w:ind w:right="220" w:firstLine="815"/>
        <w:spacing w:after="0" w:line="259" w:lineRule="auto"/>
        <w:rPr>
          <w:sz w:val="20"/>
          <w:szCs w:val="20"/>
          <w:color w:val="auto"/>
        </w:rPr>
      </w:pPr>
      <w:r>
        <w:rPr>
          <w:rFonts w:ascii="Arial" w:cs="Arial" w:eastAsia="Arial" w:hAnsi="Arial"/>
          <w:sz w:val="18"/>
          <w:szCs w:val="18"/>
          <w:color w:val="auto"/>
        </w:rPr>
        <w:t>Typically, a state regulatory environment is established by statute and is administered by a regulatory agency with broad discretion to regulate the affairs of owners, managers, and persons with financial interests in gaming operations. Among other things, gaming authorities in the various jurisdictions in which we operate:</w:t>
      </w:r>
    </w:p>
    <w:p>
      <w:pPr>
        <w:spacing w:after="0" w:line="213" w:lineRule="exact"/>
        <w:rPr>
          <w:sz w:val="20"/>
          <w:szCs w:val="20"/>
          <w:color w:val="auto"/>
        </w:rPr>
      </w:pPr>
    </w:p>
    <w:p>
      <w:pPr>
        <w:ind w:left="1220" w:hanging="410"/>
        <w:spacing w:after="0"/>
        <w:tabs>
          <w:tab w:leader="none" w:pos="1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adopt rules and regulations under the implementing statutes;</w:t>
      </w:r>
    </w:p>
    <w:p>
      <w:pPr>
        <w:spacing w:after="0" w:line="19" w:lineRule="exact"/>
        <w:rPr>
          <w:rFonts w:ascii="Arial" w:cs="Arial" w:eastAsia="Arial" w:hAnsi="Arial"/>
          <w:sz w:val="18"/>
          <w:szCs w:val="18"/>
          <w:color w:val="auto"/>
        </w:rPr>
      </w:pPr>
    </w:p>
    <w:p>
      <w:pPr>
        <w:ind w:left="1220" w:hanging="410"/>
        <w:spacing w:after="0"/>
        <w:tabs>
          <w:tab w:leader="none" w:pos="1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interpret and enforce gaming laws;</w:t>
      </w:r>
    </w:p>
    <w:p>
      <w:pPr>
        <w:spacing w:after="0" w:line="7" w:lineRule="exact"/>
        <w:rPr>
          <w:rFonts w:ascii="Arial" w:cs="Arial" w:eastAsia="Arial" w:hAnsi="Arial"/>
          <w:sz w:val="18"/>
          <w:szCs w:val="18"/>
          <w:color w:val="auto"/>
        </w:rPr>
      </w:pPr>
    </w:p>
    <w:p>
      <w:pPr>
        <w:ind w:left="1220" w:hanging="410"/>
        <w:spacing w:after="0"/>
        <w:tabs>
          <w:tab w:leader="none" w:pos="1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impose disciplinary sanctions for violations, including fines and penalties;</w:t>
      </w:r>
    </w:p>
    <w:p>
      <w:pPr>
        <w:spacing w:after="0" w:line="7" w:lineRule="exact"/>
        <w:rPr>
          <w:rFonts w:ascii="Arial" w:cs="Arial" w:eastAsia="Arial" w:hAnsi="Arial"/>
          <w:sz w:val="18"/>
          <w:szCs w:val="18"/>
          <w:color w:val="auto"/>
        </w:rPr>
      </w:pPr>
    </w:p>
    <w:p>
      <w:pPr>
        <w:ind w:left="1220" w:right="240" w:hanging="410"/>
        <w:spacing w:after="0" w:line="248" w:lineRule="auto"/>
        <w:tabs>
          <w:tab w:leader="none" w:pos="1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 the character and fitness of participants in gaming operations and make determinations regarding their suitability or qualification for licensure;</w:t>
      </w:r>
    </w:p>
    <w:p>
      <w:pPr>
        <w:ind w:left="1220" w:hanging="410"/>
        <w:spacing w:after="0"/>
        <w:tabs>
          <w:tab w:leader="none" w:pos="1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grant licenses for participation in gaming operations;</w:t>
      </w:r>
    </w:p>
    <w:p>
      <w:pPr>
        <w:spacing w:after="0" w:line="7" w:lineRule="exact"/>
        <w:rPr>
          <w:rFonts w:ascii="Arial" w:cs="Arial" w:eastAsia="Arial" w:hAnsi="Arial"/>
          <w:sz w:val="18"/>
          <w:szCs w:val="18"/>
          <w:color w:val="auto"/>
        </w:rPr>
      </w:pPr>
    </w:p>
    <w:p>
      <w:pPr>
        <w:ind w:left="1220" w:hanging="410"/>
        <w:spacing w:after="0"/>
        <w:tabs>
          <w:tab w:leader="none" w:pos="1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collect and review reports and information submitted by participants in gaming operations;</w:t>
      </w:r>
    </w:p>
    <w:p>
      <w:pPr>
        <w:spacing w:after="0" w:line="7" w:lineRule="exact"/>
        <w:rPr>
          <w:rFonts w:ascii="Arial" w:cs="Arial" w:eastAsia="Arial" w:hAnsi="Arial"/>
          <w:sz w:val="18"/>
          <w:szCs w:val="18"/>
          <w:color w:val="auto"/>
        </w:rPr>
      </w:pPr>
    </w:p>
    <w:p>
      <w:pPr>
        <w:ind w:left="1220" w:right="260" w:hanging="410"/>
        <w:spacing w:after="0" w:line="248" w:lineRule="auto"/>
        <w:tabs>
          <w:tab w:leader="none" w:pos="1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 and approve transactions, such as acquisitions or change-of-control transactions of gaming industry participants, securities offerings and debt transactions engaged in by such participants; and</w:t>
      </w:r>
    </w:p>
    <w:p>
      <w:pPr>
        <w:ind w:left="1220" w:hanging="410"/>
        <w:spacing w:after="0"/>
        <w:tabs>
          <w:tab w:leader="none" w:pos="1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establish and collect fees and taxes.</w:t>
      </w:r>
    </w:p>
    <w:p>
      <w:pPr>
        <w:spacing w:after="0" w:line="23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Any change in the laws or regulations of a gaming jurisdiction could have a material adverse effect on our gaming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Licensing and Suitability Determinations</w:t>
      </w:r>
    </w:p>
    <w:p>
      <w:pPr>
        <w:spacing w:after="0" w:line="248" w:lineRule="exact"/>
        <w:rPr>
          <w:sz w:val="20"/>
          <w:szCs w:val="20"/>
          <w:color w:val="auto"/>
        </w:rPr>
      </w:pPr>
    </w:p>
    <w:p>
      <w:pPr>
        <w:ind w:right="60" w:firstLine="815"/>
        <w:spacing w:after="0" w:line="254" w:lineRule="auto"/>
        <w:rPr>
          <w:sz w:val="20"/>
          <w:szCs w:val="20"/>
          <w:color w:val="auto"/>
        </w:rPr>
      </w:pPr>
      <w:r>
        <w:rPr>
          <w:rFonts w:ascii="Arial" w:cs="Arial" w:eastAsia="Arial" w:hAnsi="Arial"/>
          <w:sz w:val="18"/>
          <w:szCs w:val="18"/>
          <w:color w:val="auto"/>
        </w:rPr>
        <w:t>Gaming laws require us, each of our subsidiaries engaged in gaming operations, certain of our directors, officers and employees, and in some cases, certain of our shareholders and holders of our debt securities, to obtain licenses from gaming authorities. Licenses typically require a determination that the applicant qualifies or is suitable to hold the license. Gaming authorities have broad discretion in determining whether an applicant qualifies for licensing or should be deemed suitable. Criteria used in determining whether to grant or renew a license to conduct gaming operations, while varying between jurisdictions, generally include consideration of factors such as: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77" w:name="page178"/>
    <w:bookmarkEnd w:id="177"/>
    <w:p>
      <w:pPr>
        <w:ind w:left="1220" w:hanging="410"/>
        <w:spacing w:after="0"/>
        <w:tabs>
          <w:tab w:leader="none" w:pos="1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good character, honesty and integrity of the applicant;</w:t>
      </w:r>
    </w:p>
    <w:p>
      <w:pPr>
        <w:spacing w:after="0" w:line="19" w:lineRule="exact"/>
        <w:rPr>
          <w:rFonts w:ascii="Arial" w:cs="Arial" w:eastAsia="Arial" w:hAnsi="Arial"/>
          <w:sz w:val="18"/>
          <w:szCs w:val="18"/>
          <w:color w:val="auto"/>
        </w:rPr>
      </w:pPr>
    </w:p>
    <w:p>
      <w:pPr>
        <w:ind w:left="1220" w:right="280" w:hanging="410"/>
        <w:spacing w:after="0" w:line="248" w:lineRule="auto"/>
        <w:tabs>
          <w:tab w:leader="none" w:pos="1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financial stability, integrity and responsibility of the applicant, including whether the operation is adequately capitalized in the state and exhibits the ability to maintain adequate insurance levels; the quality of the applicant’s casino facilities;</w:t>
      </w:r>
    </w:p>
    <w:p>
      <w:pPr>
        <w:ind w:left="1220" w:hanging="410"/>
        <w:spacing w:after="0"/>
        <w:tabs>
          <w:tab w:leader="none" w:pos="1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amount of revenue to be derived by the applicable state from the operation of the applicant’s casino;</w:t>
      </w:r>
    </w:p>
    <w:p>
      <w:pPr>
        <w:spacing w:after="0" w:line="7" w:lineRule="exact"/>
        <w:rPr>
          <w:rFonts w:ascii="Arial" w:cs="Arial" w:eastAsia="Arial" w:hAnsi="Arial"/>
          <w:sz w:val="18"/>
          <w:szCs w:val="18"/>
          <w:color w:val="auto"/>
        </w:rPr>
      </w:pPr>
    </w:p>
    <w:p>
      <w:pPr>
        <w:ind w:left="1220" w:hanging="410"/>
        <w:spacing w:after="0"/>
        <w:tabs>
          <w:tab w:leader="none" w:pos="1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applicant’s practices with respect to minority hiring and training; and</w:t>
      </w:r>
    </w:p>
    <w:p>
      <w:pPr>
        <w:spacing w:after="0" w:line="7" w:lineRule="exact"/>
        <w:rPr>
          <w:rFonts w:ascii="Arial" w:cs="Arial" w:eastAsia="Arial" w:hAnsi="Arial"/>
          <w:sz w:val="18"/>
          <w:szCs w:val="18"/>
          <w:color w:val="auto"/>
        </w:rPr>
      </w:pPr>
    </w:p>
    <w:p>
      <w:pPr>
        <w:ind w:left="1220" w:hanging="410"/>
        <w:spacing w:after="0"/>
        <w:tabs>
          <w:tab w:leader="none" w:pos="1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effect on competition and general impact on the community.</w:t>
      </w:r>
    </w:p>
    <w:p>
      <w:pPr>
        <w:spacing w:after="0" w:line="235" w:lineRule="exact"/>
        <w:rPr>
          <w:sz w:val="20"/>
          <w:szCs w:val="20"/>
          <w:color w:val="auto"/>
        </w:rPr>
      </w:pPr>
    </w:p>
    <w:p>
      <w:pPr>
        <w:ind w:right="720" w:firstLine="815"/>
        <w:spacing w:after="0" w:line="271" w:lineRule="auto"/>
        <w:rPr>
          <w:sz w:val="20"/>
          <w:szCs w:val="20"/>
          <w:color w:val="auto"/>
        </w:rPr>
      </w:pPr>
      <w:r>
        <w:rPr>
          <w:rFonts w:ascii="Arial" w:cs="Arial" w:eastAsia="Arial" w:hAnsi="Arial"/>
          <w:sz w:val="18"/>
          <w:szCs w:val="18"/>
          <w:color w:val="auto"/>
        </w:rPr>
        <w:t>In evaluating individual applicants, gaming authorities consider the individual’s business experience and reputation for good character, the individual’s criminal history and the character of those with whom the individual associates.</w:t>
      </w:r>
    </w:p>
    <w:p>
      <w:pPr>
        <w:spacing w:after="0" w:line="202" w:lineRule="exact"/>
        <w:rPr>
          <w:sz w:val="20"/>
          <w:szCs w:val="20"/>
          <w:color w:val="auto"/>
        </w:rPr>
      </w:pPr>
    </w:p>
    <w:p>
      <w:pPr>
        <w:ind w:right="240" w:firstLine="815"/>
        <w:spacing w:after="0" w:line="297" w:lineRule="auto"/>
        <w:rPr>
          <w:sz w:val="20"/>
          <w:szCs w:val="20"/>
          <w:color w:val="auto"/>
        </w:rPr>
      </w:pPr>
      <w:r>
        <w:rPr>
          <w:rFonts w:ascii="Arial" w:cs="Arial" w:eastAsia="Arial" w:hAnsi="Arial"/>
          <w:sz w:val="16"/>
          <w:szCs w:val="16"/>
          <w:color w:val="auto"/>
        </w:rPr>
        <w:t>Many gaming jurisdictions limit the number of licenses granted to operate casinos within the state, and some states limit the number of licenses granted to any one gaming operator. Licenses under gaming laws are generally not transferable without regulatory approval. Licenses in most of the jurisdictions in which we conduct gaming operations are granted for limited durations and require renewal from time to time. There can be no assurance that any of our licenses will be renewed. The failure to renew any of our licenses could have a material adverse effect on our gaming operations.</w:t>
      </w:r>
    </w:p>
    <w:p>
      <w:pPr>
        <w:spacing w:after="0" w:line="187" w:lineRule="exact"/>
        <w:rPr>
          <w:sz w:val="20"/>
          <w:szCs w:val="20"/>
          <w:color w:val="auto"/>
        </w:rPr>
      </w:pPr>
    </w:p>
    <w:p>
      <w:pPr>
        <w:ind w:right="20" w:firstLine="815"/>
        <w:spacing w:after="0" w:line="288" w:lineRule="auto"/>
        <w:rPr>
          <w:sz w:val="20"/>
          <w:szCs w:val="20"/>
          <w:color w:val="auto"/>
        </w:rPr>
      </w:pPr>
      <w:r>
        <w:rPr>
          <w:rFonts w:ascii="Arial" w:cs="Arial" w:eastAsia="Arial" w:hAnsi="Arial"/>
          <w:sz w:val="16"/>
          <w:szCs w:val="16"/>
          <w:color w:val="auto"/>
        </w:rPr>
        <w:t>In addition to us and our direct and indirect subsidiaries engaged in gaming operations, gaming authorities may investigate any individual who has a material relationship to or material involvement with any of these entities to determine whether such individual is suitable or should be licensed. Our officers, directors and certain key employees must file applications with the gaming authorities and may be required to be licensed, qualify or be found suitable in many jurisdictions. Gaming authorities may deny an application for licensing for any cause which they deem reasonable. Qualification and suitability determinations require submission of detailed personal and financial information followed by a thorough investigation. The applicant must pay all the costs of the investigation. Changes in licensed positions must be reported to gaming authorities and in addition to their authority to deny an application for licensure, qualification or a finding of suitability, gaming authorities have jurisdiction to disapprove a change in a corporate position.</w:t>
      </w:r>
    </w:p>
    <w:p>
      <w:pPr>
        <w:spacing w:after="0" w:line="194" w:lineRule="exact"/>
        <w:rPr>
          <w:sz w:val="20"/>
          <w:szCs w:val="20"/>
          <w:color w:val="auto"/>
        </w:rPr>
      </w:pPr>
    </w:p>
    <w:p>
      <w:pPr>
        <w:ind w:right="60" w:firstLine="815"/>
        <w:spacing w:after="0" w:line="259" w:lineRule="auto"/>
        <w:rPr>
          <w:sz w:val="20"/>
          <w:szCs w:val="20"/>
          <w:color w:val="auto"/>
        </w:rPr>
      </w:pPr>
      <w:r>
        <w:rPr>
          <w:rFonts w:ascii="Arial" w:cs="Arial" w:eastAsia="Arial" w:hAnsi="Arial"/>
          <w:sz w:val="18"/>
          <w:szCs w:val="18"/>
          <w:color w:val="auto"/>
        </w:rPr>
        <w:t>If one or more gaming authorities were to find that an officer, director or key employee fails to qualify or is unsuitable for licensing or unsuitable to continue having a relationship with us, we would be required to sever all relationships with such person. In addition, gaming authorities may require us to terminate the employment of any person who refuses to file appropriate applications.</w:t>
      </w:r>
    </w:p>
    <w:p>
      <w:pPr>
        <w:spacing w:after="0" w:line="213" w:lineRule="exact"/>
        <w:rPr>
          <w:sz w:val="20"/>
          <w:szCs w:val="20"/>
          <w:color w:val="auto"/>
        </w:rPr>
      </w:pPr>
    </w:p>
    <w:p>
      <w:pPr>
        <w:ind w:right="140" w:firstLine="815"/>
        <w:spacing w:after="0" w:line="255" w:lineRule="auto"/>
        <w:rPr>
          <w:sz w:val="20"/>
          <w:szCs w:val="20"/>
          <w:color w:val="auto"/>
        </w:rPr>
      </w:pPr>
      <w:r>
        <w:rPr>
          <w:rFonts w:ascii="Arial" w:cs="Arial" w:eastAsia="Arial" w:hAnsi="Arial"/>
          <w:sz w:val="18"/>
          <w:szCs w:val="18"/>
          <w:color w:val="auto"/>
        </w:rPr>
        <w:t>Moreover, in many jurisdictions, certain of our stockholders or holders of our debt securities may be required to undergo a suitability investigation similar to that described above. Many jurisdictions require any person who acquires beneficial ownership of more than a certain percentage of our voting securities, typically 5%, to report the acquisition to gaming authorities, and gaming authorities may require such holders to apply for qualification or a finding of suitability.</w:t>
      </w:r>
    </w:p>
    <w:p>
      <w:pPr>
        <w:spacing w:after="0" w:line="218" w:lineRule="exact"/>
        <w:rPr>
          <w:sz w:val="20"/>
          <w:szCs w:val="20"/>
          <w:color w:val="auto"/>
        </w:rPr>
      </w:pPr>
    </w:p>
    <w:p>
      <w:pPr>
        <w:ind w:right="100" w:firstLine="815"/>
        <w:spacing w:after="0" w:line="290" w:lineRule="auto"/>
        <w:rPr>
          <w:sz w:val="20"/>
          <w:szCs w:val="20"/>
          <w:color w:val="auto"/>
        </w:rPr>
      </w:pPr>
      <w:r>
        <w:rPr>
          <w:rFonts w:ascii="Arial" w:cs="Arial" w:eastAsia="Arial" w:hAnsi="Arial"/>
          <w:sz w:val="16"/>
          <w:szCs w:val="16"/>
          <w:color w:val="auto"/>
        </w:rPr>
        <w:t>Most gaming authorities, however, allow an “institutional investor” to apply for a waiver. An “institutional investor” is generally defined as an investor acquiring and holding voting securities in the ordinary course of business as an institutional investor for passive investment purposes only, and not for the purpose of causing, directly or indirectly, the election of a member of our board of directors, any change in our corporate charter, bylaws, management, policies or operations, or those of any of our gaming affiliates, or the taking of any other action which gaming authorities find to be inconsistent with holding our voting securities for passive investment purposes only. Even if a waiver is granted, an institutional investor generally may not take any action inconsistent with its status when the waiver was granted without once again becoming subject to the foregoing reporting and application obligations.</w:t>
      </w:r>
    </w:p>
    <w:p>
      <w:pPr>
        <w:spacing w:after="0" w:line="192" w:lineRule="exact"/>
        <w:rPr>
          <w:sz w:val="20"/>
          <w:szCs w:val="20"/>
          <w:color w:val="auto"/>
        </w:rPr>
      </w:pPr>
    </w:p>
    <w:p>
      <w:pPr>
        <w:ind w:firstLine="815"/>
        <w:spacing w:after="0" w:line="287" w:lineRule="auto"/>
        <w:rPr>
          <w:sz w:val="20"/>
          <w:szCs w:val="20"/>
          <w:color w:val="auto"/>
        </w:rPr>
      </w:pPr>
      <w:r>
        <w:rPr>
          <w:rFonts w:ascii="Arial" w:cs="Arial" w:eastAsia="Arial" w:hAnsi="Arial"/>
          <w:sz w:val="16"/>
          <w:szCs w:val="16"/>
          <w:color w:val="auto"/>
        </w:rPr>
        <w:t>Generally, any person who fails or refuses to apply for a finding of suitability or a license within the prescribed period after being advised that it is required by gaming authorities may be denied a license or found unsuitable, as applicable. Any stockholder found unsuitable or denied a license and who holds, directly or indirectly, any beneficial ownership of our voting securities beyond such period of time, as may be prescribed by the applicable gaming authorities, may be guilty of a criminal offense. Furthermore, we may be subject to disciplinary action if, after we receive notice that a person is unsuitable to be a stockholder or to have any other relationship with us or any of our subsidiaries, we: (i) pay that person any dividend or interest upon our voting securities; (ii) allow that person to exercise, directly or indirectly, any voting right conferred through securities held by that person; (iii) pay remuneration in any form to that person for services rendered or otherwise; or (iv) fail to pursue all lawful efforts to require such unsuitable person to relinquish his voting securities including, if necessary, the immediate purchase of said voting securities for cash at fair market value.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0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78" w:name="page179"/>
    <w:bookmarkEnd w:id="178"/>
    <w:p>
      <w:pPr>
        <w:ind w:right="180" w:firstLine="815"/>
        <w:spacing w:after="0" w:line="301" w:lineRule="auto"/>
        <w:rPr>
          <w:sz w:val="20"/>
          <w:szCs w:val="20"/>
          <w:color w:val="auto"/>
        </w:rPr>
      </w:pPr>
      <w:r>
        <w:rPr>
          <w:rFonts w:ascii="Arial" w:cs="Arial" w:eastAsia="Arial" w:hAnsi="Arial"/>
          <w:sz w:val="17"/>
          <w:szCs w:val="17"/>
          <w:color w:val="auto"/>
        </w:rPr>
        <w:t>The gaming jurisdictions in which we operate also require that suppliers of certain goods and services to gaming industry participants be licensed and require us to purchase and lease gaming equipment, and certain supplies and services only from licensed suppliers.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Violations of Gaming Laws</w:t>
      </w:r>
    </w:p>
    <w:p>
      <w:pPr>
        <w:spacing w:after="0" w:line="248" w:lineRule="exact"/>
        <w:rPr>
          <w:sz w:val="20"/>
          <w:szCs w:val="20"/>
          <w:color w:val="auto"/>
        </w:rPr>
      </w:pPr>
    </w:p>
    <w:p>
      <w:pPr>
        <w:ind w:right="120" w:firstLine="815"/>
        <w:spacing w:after="0" w:line="252" w:lineRule="auto"/>
        <w:rPr>
          <w:sz w:val="20"/>
          <w:szCs w:val="20"/>
          <w:color w:val="auto"/>
        </w:rPr>
      </w:pPr>
      <w:r>
        <w:rPr>
          <w:rFonts w:ascii="Arial" w:cs="Arial" w:eastAsia="Arial" w:hAnsi="Arial"/>
          <w:sz w:val="18"/>
          <w:szCs w:val="18"/>
          <w:color w:val="auto"/>
        </w:rPr>
        <w:t>If we or our subsidiaries violate applicable gaming laws, our gaming licenses could be limited, conditioned, suspended or revoked by gaming authorities, and we and any other persons involved could be subject to substantial fines. Further, a supervisor or conservator can be appointed by gaming authorities to operate our gaming properties, or in some jurisdictions, take title to our gaming assets in the jurisdiction, and under certain circumstances, earnings generated during such appointment could be forfeited to the applicable state or states. Furthermore, violations of laws in one jurisdiction could result in disciplinary action in other jurisdictions. As a result, violations by us of applicable gaming laws could have a material adverse effect on our gaming operations.</w:t>
      </w:r>
    </w:p>
    <w:p>
      <w:pPr>
        <w:spacing w:after="0" w:line="221" w:lineRule="exact"/>
        <w:rPr>
          <w:sz w:val="20"/>
          <w:szCs w:val="20"/>
          <w:color w:val="auto"/>
        </w:rPr>
      </w:pPr>
    </w:p>
    <w:p>
      <w:pPr>
        <w:ind w:firstLine="815"/>
        <w:spacing w:after="0" w:line="271" w:lineRule="auto"/>
        <w:rPr>
          <w:sz w:val="20"/>
          <w:szCs w:val="20"/>
          <w:color w:val="auto"/>
        </w:rPr>
      </w:pPr>
      <w:r>
        <w:rPr>
          <w:rFonts w:ascii="Arial" w:cs="Arial" w:eastAsia="Arial" w:hAnsi="Arial"/>
          <w:sz w:val="18"/>
          <w:szCs w:val="18"/>
          <w:color w:val="auto"/>
        </w:rPr>
        <w:t>Some gaming jurisdictions prohibit certain types of political activity by a gaming licensee, its officers, directors and key people. A violation of such a prohibition may subject the offender to criminal and/or disciplinary action.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and Record-keeping Requirements</w:t>
      </w:r>
    </w:p>
    <w:p>
      <w:pPr>
        <w:spacing w:after="0" w:line="248" w:lineRule="exact"/>
        <w:rPr>
          <w:sz w:val="20"/>
          <w:szCs w:val="20"/>
          <w:color w:val="auto"/>
        </w:rPr>
      </w:pPr>
    </w:p>
    <w:p>
      <w:pPr>
        <w:ind w:right="60" w:firstLine="815"/>
        <w:spacing w:after="0" w:line="290" w:lineRule="auto"/>
        <w:rPr>
          <w:sz w:val="20"/>
          <w:szCs w:val="20"/>
          <w:color w:val="auto"/>
        </w:rPr>
      </w:pPr>
      <w:r>
        <w:rPr>
          <w:rFonts w:ascii="Arial" w:cs="Arial" w:eastAsia="Arial" w:hAnsi="Arial"/>
          <w:sz w:val="16"/>
          <w:szCs w:val="16"/>
          <w:color w:val="auto"/>
        </w:rPr>
        <w:t>We are required periodically to submit detailed financial and operating reports and furnish any other information about us and our subsidiaries which gaming authorities may require. Under federal law, we are required to record and submit detailed reports of currency transactions involving greater than $10,000 at our casinos as well as any suspicious activity that may occur at such facilities. We are required to maintain a current stock ledger which may be examined by gaming authorities at any time. If any securities are held in trust by an agent or by a nominee, the record holder may be required to disclose the identity of the beneficial owner to gaming authorities. A failure to make such disclosure may be grounds for finding the record holder unsuitable. Gaming authorities may require certificates for our securities to bear a legend indicating that the securities are subject to specified gaming laws.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Transactions</w:t>
      </w:r>
    </w:p>
    <w:p>
      <w:pPr>
        <w:spacing w:after="0" w:line="248" w:lineRule="exact"/>
        <w:rPr>
          <w:sz w:val="20"/>
          <w:szCs w:val="20"/>
          <w:color w:val="auto"/>
        </w:rPr>
      </w:pPr>
    </w:p>
    <w:p>
      <w:pPr>
        <w:ind w:right="20" w:firstLine="815"/>
        <w:spacing w:after="0" w:line="269" w:lineRule="auto"/>
        <w:rPr>
          <w:sz w:val="20"/>
          <w:szCs w:val="20"/>
          <w:color w:val="auto"/>
        </w:rPr>
      </w:pPr>
      <w:r>
        <w:rPr>
          <w:rFonts w:ascii="Arial" w:cs="Arial" w:eastAsia="Arial" w:hAnsi="Arial"/>
          <w:sz w:val="17"/>
          <w:szCs w:val="17"/>
          <w:color w:val="auto"/>
        </w:rPr>
        <w:t>Substantially all material loans, leases, sales of securities and similar financing transactions by us and our subsidiaries must be reported to and in some cases approved by gaming authorities. Neither we nor any of our subsidiaries may make a public offering of securities without the prior approval of certain gaming authorities. Changes in control through merger, consolidation, stock or asset acquisitions, management or consulting agreements, or otherwise are subject to receipt of prior approval of gaming authorities. Entities seeking to acquire control of us or one of our subsidiaries must satisfy gaming authorities with respect to a variety of stringent standards prior to assuming control. Gaming authorities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206" w:lineRule="exact"/>
        <w:rPr>
          <w:sz w:val="20"/>
          <w:szCs w:val="20"/>
          <w:color w:val="auto"/>
        </w:rPr>
      </w:pPr>
    </w:p>
    <w:p>
      <w:pPr>
        <w:ind w:right="560" w:firstLine="815"/>
        <w:spacing w:after="0" w:line="271" w:lineRule="auto"/>
        <w:rPr>
          <w:sz w:val="20"/>
          <w:szCs w:val="20"/>
          <w:color w:val="auto"/>
        </w:rPr>
      </w:pPr>
      <w:r>
        <w:rPr>
          <w:rFonts w:ascii="Arial" w:cs="Arial" w:eastAsia="Arial" w:hAnsi="Arial"/>
          <w:sz w:val="18"/>
          <w:szCs w:val="18"/>
          <w:color w:val="auto"/>
        </w:rPr>
        <w:t>Because of regulatory restrictions, our ability to grant a security interest in any of our gaming assets is limited and subject to receipt of prior approval by certain gaming authorities.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Fees and Gaming Taxes</w:t>
      </w:r>
    </w:p>
    <w:p>
      <w:pPr>
        <w:spacing w:after="0" w:line="248" w:lineRule="exact"/>
        <w:rPr>
          <w:sz w:val="20"/>
          <w:szCs w:val="20"/>
          <w:color w:val="auto"/>
        </w:rPr>
      </w:pPr>
    </w:p>
    <w:p>
      <w:pPr>
        <w:jc w:val="both"/>
        <w:ind w:right="20" w:firstLine="815"/>
        <w:spacing w:after="0" w:line="307" w:lineRule="auto"/>
        <w:rPr>
          <w:sz w:val="20"/>
          <w:szCs w:val="20"/>
          <w:color w:val="auto"/>
        </w:rPr>
      </w:pPr>
      <w:r>
        <w:rPr>
          <w:rFonts w:ascii="Arial" w:cs="Arial" w:eastAsia="Arial" w:hAnsi="Arial"/>
          <w:sz w:val="16"/>
          <w:szCs w:val="16"/>
          <w:color w:val="auto"/>
        </w:rPr>
        <w:t>We pay substantial license fees and taxes in many jurisdictions, including some of the counties and cities in which our operations are conducted, in connection with our casino gaming operations, computed in various ways depending on the type of gaming or activity involved. Depending upon the particular fee or tax involved, these fees and taxes are payable with varying frequency. License fees and taxes are based upon such factors as:</w:t>
      </w:r>
    </w:p>
    <w:p>
      <w:pPr>
        <w:spacing w:after="0" w:line="177" w:lineRule="exact"/>
        <w:rPr>
          <w:sz w:val="20"/>
          <w:szCs w:val="20"/>
          <w:color w:val="auto"/>
        </w:rPr>
      </w:pPr>
    </w:p>
    <w:p>
      <w:pPr>
        <w:ind w:left="1220" w:hanging="410"/>
        <w:spacing w:after="0"/>
        <w:tabs>
          <w:tab w:leader="none" w:pos="12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percentage of the gross gaming revenues received;</w:t>
      </w:r>
    </w:p>
    <w:p>
      <w:pPr>
        <w:spacing w:after="0" w:line="19" w:lineRule="exact"/>
        <w:rPr>
          <w:rFonts w:ascii="Arial" w:cs="Arial" w:eastAsia="Arial" w:hAnsi="Arial"/>
          <w:sz w:val="18"/>
          <w:szCs w:val="18"/>
          <w:color w:val="auto"/>
        </w:rPr>
      </w:pPr>
    </w:p>
    <w:p>
      <w:pPr>
        <w:ind w:left="1220" w:hanging="410"/>
        <w:spacing w:after="0"/>
        <w:tabs>
          <w:tab w:leader="none" w:pos="12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number of gaming devices and table games operated;</w:t>
      </w:r>
    </w:p>
    <w:p>
      <w:pPr>
        <w:spacing w:after="0" w:line="7" w:lineRule="exact"/>
        <w:rPr>
          <w:rFonts w:ascii="Arial" w:cs="Arial" w:eastAsia="Arial" w:hAnsi="Arial"/>
          <w:sz w:val="18"/>
          <w:szCs w:val="18"/>
          <w:color w:val="auto"/>
        </w:rPr>
      </w:pPr>
    </w:p>
    <w:p>
      <w:pPr>
        <w:ind w:left="1220" w:hanging="410"/>
        <w:spacing w:after="0"/>
        <w:tabs>
          <w:tab w:leader="none" w:pos="12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admission fees for customers boarding our riverboat casinos; and/or</w:t>
      </w:r>
    </w:p>
    <w:p>
      <w:pPr>
        <w:spacing w:after="0" w:line="7" w:lineRule="exact"/>
        <w:rPr>
          <w:rFonts w:ascii="Arial" w:cs="Arial" w:eastAsia="Arial" w:hAnsi="Arial"/>
          <w:sz w:val="18"/>
          <w:szCs w:val="18"/>
          <w:color w:val="auto"/>
        </w:rPr>
      </w:pPr>
    </w:p>
    <w:p>
      <w:pPr>
        <w:ind w:left="1220" w:hanging="410"/>
        <w:spacing w:after="0"/>
        <w:tabs>
          <w:tab w:leader="none" w:pos="12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one time fees payable upon the initial receipt of license and fees in connection with the renewal of license.</w:t>
      </w:r>
    </w:p>
    <w:p>
      <w:pPr>
        <w:spacing w:after="0" w:line="235" w:lineRule="exact"/>
        <w:rPr>
          <w:sz w:val="20"/>
          <w:szCs w:val="20"/>
          <w:color w:val="auto"/>
        </w:rPr>
      </w:pPr>
    </w:p>
    <w:p>
      <w:pPr>
        <w:ind w:right="20" w:firstLine="815"/>
        <w:spacing w:after="0" w:line="271" w:lineRule="auto"/>
        <w:rPr>
          <w:sz w:val="20"/>
          <w:szCs w:val="20"/>
          <w:color w:val="auto"/>
        </w:rPr>
      </w:pPr>
      <w:r>
        <w:rPr>
          <w:rFonts w:ascii="Arial" w:cs="Arial" w:eastAsia="Arial" w:hAnsi="Arial"/>
          <w:sz w:val="18"/>
          <w:szCs w:val="18"/>
          <w:color w:val="auto"/>
        </w:rPr>
        <w:t>In many jurisdictions, gaming tax rates are graduated, such that they increase as gross gaming revenues increase. Furthermore, tax rates are subject to change, sometimes with little notice, and such changes could have a material adverse effect on our gaming operations.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sectPr>
      </w:pPr>
    </w:p>
    <w:bookmarkStart w:id="179" w:name="page180"/>
    <w:bookmarkEnd w:id="179"/>
    <w:p>
      <w:pPr>
        <w:ind w:left="820"/>
        <w:spacing w:after="0"/>
        <w:rPr>
          <w:sz w:val="20"/>
          <w:szCs w:val="20"/>
          <w:color w:val="auto"/>
        </w:rPr>
      </w:pPr>
      <w:r>
        <w:rPr>
          <w:rFonts w:ascii="Arial" w:cs="Arial" w:eastAsia="Arial" w:hAnsi="Arial"/>
          <w:sz w:val="18"/>
          <w:szCs w:val="18"/>
          <w:color w:val="auto"/>
        </w:rPr>
        <w:t>In addition to taxes specifically unique to gaming, we are required to pay all other applicable taxes.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Requirements</w:t>
      </w:r>
    </w:p>
    <w:p>
      <w:pPr>
        <w:spacing w:after="0" w:line="248" w:lineRule="exact"/>
        <w:rPr>
          <w:sz w:val="20"/>
          <w:szCs w:val="20"/>
          <w:color w:val="auto"/>
        </w:rPr>
      </w:pPr>
    </w:p>
    <w:p>
      <w:pPr>
        <w:ind w:firstLine="815"/>
        <w:spacing w:after="0" w:line="255" w:lineRule="auto"/>
        <w:rPr>
          <w:sz w:val="20"/>
          <w:szCs w:val="20"/>
          <w:color w:val="auto"/>
        </w:rPr>
      </w:pPr>
      <w:r>
        <w:rPr>
          <w:rFonts w:ascii="Arial" w:cs="Arial" w:eastAsia="Arial" w:hAnsi="Arial"/>
          <w:sz w:val="18"/>
          <w:szCs w:val="18"/>
          <w:color w:val="auto"/>
        </w:rPr>
        <w:t>In most jurisdictions, we are subject to certain requirements and restrictions on how we must conduct our gaming operations. In many states, we are required to give preference to local suppliers and include minority and women-owned businesses as well as organized labor in construction projects to the maximum extent practicable as well as in general vendor business activity. Similarly, we may be required to give employment preference to minorities, women and in-state residents in certain jurisdictions.</w:t>
      </w:r>
    </w:p>
    <w:p>
      <w:pPr>
        <w:spacing w:after="0" w:line="218" w:lineRule="exact"/>
        <w:rPr>
          <w:sz w:val="20"/>
          <w:szCs w:val="20"/>
          <w:color w:val="auto"/>
        </w:rPr>
      </w:pPr>
    </w:p>
    <w:p>
      <w:pPr>
        <w:ind w:right="100" w:firstLine="815"/>
        <w:spacing w:after="0" w:line="254" w:lineRule="auto"/>
        <w:rPr>
          <w:sz w:val="20"/>
          <w:szCs w:val="20"/>
          <w:color w:val="auto"/>
        </w:rPr>
      </w:pPr>
      <w:r>
        <w:rPr>
          <w:rFonts w:ascii="Arial" w:cs="Arial" w:eastAsia="Arial" w:hAnsi="Arial"/>
          <w:sz w:val="18"/>
          <w:szCs w:val="18"/>
          <w:color w:val="auto"/>
        </w:rPr>
        <w:t>Some gaming jurisdictions also prohibit a distribution, except to allow for the payment of taxes, if the distribution would impair the financial viability of the gaming operation. Moreover, many jurisdictions require a gaming operation to maintain insurance and post bonds in amounts determined by their gaming authority. In addition, our ability to conduct certain types of games, introduce new games or move existing games within our facilities may be restricted or subject to regulatory review and approval. Some of our operations are subject to restrictions on the number of gaming positions we may have and the maximum wagers allowed to be placed by our customers.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Riverboat Casinos</w:t>
      </w:r>
    </w:p>
    <w:p>
      <w:pPr>
        <w:spacing w:after="0" w:line="248" w:lineRule="exact"/>
        <w:rPr>
          <w:sz w:val="20"/>
          <w:szCs w:val="20"/>
          <w:color w:val="auto"/>
        </w:rPr>
      </w:pPr>
    </w:p>
    <w:p>
      <w:pPr>
        <w:ind w:right="40" w:firstLine="815"/>
        <w:spacing w:after="0" w:line="270" w:lineRule="auto"/>
        <w:rPr>
          <w:sz w:val="20"/>
          <w:szCs w:val="20"/>
          <w:color w:val="auto"/>
        </w:rPr>
      </w:pPr>
      <w:r>
        <w:rPr>
          <w:rFonts w:ascii="Arial" w:cs="Arial" w:eastAsia="Arial" w:hAnsi="Arial"/>
          <w:sz w:val="17"/>
          <w:szCs w:val="17"/>
          <w:color w:val="auto"/>
        </w:rPr>
        <w:t>In addition to all other regulations generally applicable to the gaming industry, certain of our riverboat casinos are also subject to regulations applicable to vessels operating on navigable waterways, including regulations of the U.S. Coast Guard, or alternative inspection requirements. These requirements set limits on the operation of the vessel, mandate that it must be operated by a minimum complement of licensed personnel, establish periodic inspections, including the physical inspection of the outside hull, and establish other mechanical and operations rules. In addition, the riverboat casinos may be subject to future U.S. Coast Guard regulations, or alternative security procedures, designed to increase homeland security which could affect some of our properties and require significant expenditures to bring such properties into compliance.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Racetracks</w:t>
      </w:r>
    </w:p>
    <w:p>
      <w:pPr>
        <w:spacing w:after="0" w:line="248" w:lineRule="exact"/>
        <w:rPr>
          <w:sz w:val="20"/>
          <w:szCs w:val="20"/>
          <w:color w:val="auto"/>
        </w:rPr>
      </w:pPr>
    </w:p>
    <w:p>
      <w:pPr>
        <w:ind w:right="80" w:firstLine="815"/>
        <w:spacing w:after="0" w:line="259" w:lineRule="auto"/>
        <w:rPr>
          <w:sz w:val="20"/>
          <w:szCs w:val="20"/>
          <w:color w:val="auto"/>
        </w:rPr>
      </w:pPr>
      <w:r>
        <w:rPr>
          <w:rFonts w:ascii="Arial" w:cs="Arial" w:eastAsia="Arial" w:hAnsi="Arial"/>
          <w:sz w:val="18"/>
          <w:szCs w:val="18"/>
          <w:color w:val="auto"/>
        </w:rPr>
        <w:t>We conduct horse racing operations at our harness racing track Isle Casino Racing Pompano Park, located in Pompano Beach, Florida and live standard bred harness racing at Scioto Downs in the Columbus, Ohio area. Each of these facilities also offer pari-mutuel wagering and live wagering on races held at other facilities.</w:t>
      </w:r>
    </w:p>
    <w:p>
      <w:pPr>
        <w:spacing w:after="0" w:line="213" w:lineRule="exact"/>
        <w:rPr>
          <w:sz w:val="20"/>
          <w:szCs w:val="20"/>
          <w:color w:val="auto"/>
        </w:rPr>
      </w:pPr>
    </w:p>
    <w:p>
      <w:pPr>
        <w:ind w:right="20" w:firstLine="815"/>
        <w:spacing w:after="0" w:line="255" w:lineRule="auto"/>
        <w:rPr>
          <w:sz w:val="20"/>
          <w:szCs w:val="20"/>
          <w:color w:val="auto"/>
        </w:rPr>
      </w:pPr>
      <w:r>
        <w:rPr>
          <w:rFonts w:ascii="Arial" w:cs="Arial" w:eastAsia="Arial" w:hAnsi="Arial"/>
          <w:sz w:val="18"/>
          <w:szCs w:val="18"/>
          <w:color w:val="auto"/>
        </w:rPr>
        <w:t>We currently operate slot machines at the Pompano Beach racetrack and video lottery terminals at the Scioto Downs racetrack. Generally, our slot and table operations at racetracks are regulated in the same manner as our gaming operations in other jurisdictions. In some jurisdictions, our ability to conduct gaming operations may be conditioned on the maintenance of agreements or certain arrangements with horsemen’s or labor groups or meeting minimum live racing requirements.</w:t>
      </w:r>
    </w:p>
    <w:p>
      <w:pPr>
        <w:spacing w:after="0" w:line="218" w:lineRule="exact"/>
        <w:rPr>
          <w:sz w:val="20"/>
          <w:szCs w:val="20"/>
          <w:color w:val="auto"/>
        </w:rPr>
      </w:pPr>
    </w:p>
    <w:p>
      <w:pPr>
        <w:ind w:right="180" w:firstLine="815"/>
        <w:spacing w:after="0" w:line="293" w:lineRule="auto"/>
        <w:rPr>
          <w:sz w:val="20"/>
          <w:szCs w:val="20"/>
          <w:color w:val="auto"/>
        </w:rPr>
      </w:pPr>
      <w:r>
        <w:rPr>
          <w:rFonts w:ascii="Arial" w:cs="Arial" w:eastAsia="Arial" w:hAnsi="Arial"/>
          <w:sz w:val="16"/>
          <w:szCs w:val="16"/>
          <w:color w:val="auto"/>
        </w:rPr>
        <w:t>Regulations governing our horse, and harness racing operations are, in most jurisdictions, administered separately from the regulations governing gaming operations, with separate licenses and license fee structures. The racing authorities responsible for regulating our racing operations have broad oversight authority, which may include: annually reviewing and granting racing licenses and racing dates; approving the opening and operation of off track wagering facilities; approving simulcasting activities; licensing all officers, directors, racing officials and certain other employees of a racing licensee; and approving certain contracts entered into by a racing licensee affecting racing, pari-mutuel wagering, account wagering and off track wagering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Interactive Business</w:t>
      </w:r>
    </w:p>
    <w:p>
      <w:pPr>
        <w:spacing w:after="0" w:line="248" w:lineRule="exact"/>
        <w:rPr>
          <w:sz w:val="20"/>
          <w:szCs w:val="20"/>
          <w:color w:val="auto"/>
        </w:rPr>
      </w:pPr>
    </w:p>
    <w:p>
      <w:pPr>
        <w:ind w:right="140" w:firstLine="815"/>
        <w:spacing w:after="0" w:line="269" w:lineRule="auto"/>
        <w:rPr>
          <w:sz w:val="20"/>
          <w:szCs w:val="20"/>
          <w:color w:val="auto"/>
        </w:rPr>
      </w:pPr>
      <w:r>
        <w:rPr>
          <w:rFonts w:ascii="Arial" w:cs="Arial" w:eastAsia="Arial" w:hAnsi="Arial"/>
          <w:sz w:val="17"/>
          <w:szCs w:val="17"/>
          <w:color w:val="auto"/>
        </w:rPr>
        <w:t>We are subject to various federal, state and international laws and regulations that affect our interactive business, including those relating to the privacy and security of customer and employee personal information and those relating to the Internet, behavioral tracking, mobile applications, advertising and marketing activities, sweepstakes and contests. Additional laws in all of these areas are likely to be passed in the future, which could result in significant limitations on or changes to the ways in which we can collect, use, host, store or transmit the personal information and data of our customers or employees, communicate with our customers, and deliver products and services, or may significantly increase our compliance costs. As our business expands to include new uses or collection of data that is subject to privacy or security regulations, our compliance requirements and costs will increase and we may be subject to increased regulatory scrutiny.</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9043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0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sectPr>
      </w:pPr>
    </w:p>
    <w:bookmarkStart w:id="180" w:name="page181"/>
    <w:bookmarkEnd w:id="180"/>
    <w:p>
      <w:pPr>
        <w:jc w:val="both"/>
        <w:ind w:right="320" w:firstLine="815"/>
        <w:spacing w:after="0" w:line="259" w:lineRule="auto"/>
        <w:rPr>
          <w:sz w:val="20"/>
          <w:szCs w:val="20"/>
          <w:color w:val="auto"/>
        </w:rPr>
      </w:pPr>
      <w:r>
        <w:rPr>
          <w:rFonts w:ascii="Arial" w:cs="Arial" w:eastAsia="Arial" w:hAnsi="Arial"/>
          <w:sz w:val="18"/>
          <w:szCs w:val="18"/>
          <w:color w:val="auto"/>
        </w:rPr>
        <w:t>Some of our social gaming products and features are based upon traditional casino games, such as slots and table games. Although we do not believe these products and features constitute gambling, it is possible that additional laws or regulations may be passed in the future that would restrict or impose additional requirements on our social gaming products and features.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Sports Book Wagering &amp; Online Wagering</w:t>
      </w:r>
    </w:p>
    <w:p>
      <w:pPr>
        <w:spacing w:after="0" w:line="248" w:lineRule="exact"/>
        <w:rPr>
          <w:sz w:val="20"/>
          <w:szCs w:val="20"/>
          <w:color w:val="auto"/>
        </w:rPr>
      </w:pPr>
    </w:p>
    <w:p>
      <w:pPr>
        <w:ind w:firstLine="815"/>
        <w:spacing w:after="0" w:line="259" w:lineRule="auto"/>
        <w:rPr>
          <w:sz w:val="20"/>
          <w:szCs w:val="20"/>
          <w:color w:val="auto"/>
        </w:rPr>
      </w:pPr>
      <w:r>
        <w:rPr>
          <w:rFonts w:ascii="Arial" w:cs="Arial" w:eastAsia="Arial" w:hAnsi="Arial"/>
          <w:sz w:val="18"/>
          <w:szCs w:val="18"/>
          <w:color w:val="auto"/>
        </w:rPr>
        <w:t>We and our partners are subject to various federal, state and international laws and regulations that affect our sports wagering and online wagering businesses. Additional laws in any of these areas are likely to be passed in the future, which could result in impact to the ways in which we and our partners are able to offer sports wagering and online wagering in jurisdictions that permit such activities.</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sectPr>
      <w:pgSz w:w="11900" w:h="16838" w:orient="portrait"/>
      <w:cols w:equalWidth="0" w:num="1">
        <w:col w:w="11260"/>
      </w:cols>
      <w:pgMar w:left="240" w:top="33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1)"/>
      <w:numFmt w:val="decimal"/>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1)"/>
      <w:numFmt w:val="lowerRoman"/>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1)"/>
      <w:numFmt w:val="upperLetter"/>
      <w:start w:val="3"/>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1)"/>
      <w:numFmt w:val="decimal"/>
      <w:start w:val="1"/>
    </w:lvl>
    <w:lvl w:ilvl="1">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1)"/>
      <w:numFmt w:val="lowerRoman"/>
      <w:start w:val="4"/>
    </w:lvl>
  </w:abstractNum>
  <w:abstractNum w:abstractNumId="28">
    <w:nsid w:val="1CF10FD8"/>
    <w:multiLevelType w:val="hybridMultilevel"/>
    <w:lvl w:ilvl="0">
      <w:lvlJc w:val="left"/>
      <w:lvlText w:val="(%1)"/>
      <w:numFmt w:val="lowerLetter"/>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1)"/>
      <w:numFmt w:val="decimal"/>
      <w:start w:val="1"/>
    </w:lvl>
  </w:abstractNum>
  <w:abstractNum w:abstractNumId="38">
    <w:nsid w:val="61574095"/>
    <w:multiLevelType w:val="hybridMultilevel"/>
    <w:lvl w:ilvl="0">
      <w:lvlJc w:val="left"/>
      <w:lvlText w:val="(%1)"/>
      <w:numFmt w:val="decimal"/>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1)"/>
      <w:numFmt w:val="decimal"/>
      <w:start w:val="1"/>
    </w:lvl>
  </w:abstractNum>
  <w:abstractNum w:abstractNumId="43">
    <w:nsid w:val="5FF87E05"/>
    <w:multiLevelType w:val="hybridMultilevel"/>
    <w:lvl w:ilvl="0">
      <w:lvlJc w:val="left"/>
      <w:lvlText w:val="(%1)"/>
      <w:numFmt w:val="decimal"/>
      <w:start w:val="2"/>
    </w:lvl>
  </w:abstractNum>
  <w:abstractNum w:abstractNumId="44">
    <w:nsid w:val="2F305DEF"/>
    <w:multiLevelType w:val="hybridMultilevel"/>
    <w:lvl w:ilvl="0">
      <w:lvlJc w:val="left"/>
      <w:lvlText w:val="(%1)"/>
      <w:numFmt w:val="decimal"/>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1)"/>
      <w:numFmt w:val="lowerLetter"/>
      <w:start w:val="1"/>
    </w:lvl>
  </w:abstractNum>
  <w:abstractNum w:abstractNumId="48">
    <w:nsid w:val="1F48EAA1"/>
    <w:multiLevelType w:val="hybridMultilevel"/>
    <w:lvl w:ilvl="0">
      <w:lvlJc w:val="left"/>
      <w:lvlText w:val="(%1)"/>
      <w:numFmt w:val="decimal"/>
      <w:start w:val="1"/>
    </w:lvl>
  </w:abstractNum>
  <w:abstractNum w:abstractNumId="49">
    <w:nsid w:val="1381823A"/>
    <w:multiLevelType w:val="hybridMultilevel"/>
    <w:lvl w:ilvl="0">
      <w:lvlJc w:val="left"/>
      <w:lvlText w:val="(%1)"/>
      <w:numFmt w:val="decimal"/>
      <w:start w:val="1"/>
    </w:lvl>
  </w:abstractNum>
  <w:abstractNum w:abstractNumId="50">
    <w:nsid w:val="5DB70AE5"/>
    <w:multiLevelType w:val="hybridMultilevel"/>
    <w:lvl w:ilvl="0">
      <w:lvlJc w:val="left"/>
      <w:lvlText w:val="(%1)"/>
      <w:numFmt w:val="lowerRoman"/>
      <w:start w:val="1"/>
    </w:lvl>
  </w:abstractNum>
  <w:abstractNum w:abstractNumId="51">
    <w:nsid w:val="100F8FCA"/>
    <w:multiLevelType w:val="hybridMultilevel"/>
    <w:lvl w:ilvl="0">
      <w:lvlJc w:val="left"/>
      <w:lvlText w:val="(%1)"/>
      <w:numFmt w:val="lowerRoman"/>
      <w:start w:val="1"/>
    </w:lvl>
  </w:abstractNum>
  <w:abstractNum w:abstractNumId="52">
    <w:nsid w:val="6590700B"/>
    <w:multiLevelType w:val="hybridMultilevel"/>
    <w:lvl w:ilvl="0">
      <w:lvlJc w:val="left"/>
      <w:lvlText w:val="(%1)"/>
      <w:numFmt w:val="lowerRoman"/>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1)"/>
      <w:numFmt w:val="lowerRoman"/>
      <w:start w:val="2"/>
    </w:lvl>
  </w:abstractNum>
  <w:abstractNum w:abstractNumId="58">
    <w:nsid w:val="42C296BD"/>
    <w:multiLevelType w:val="hybridMultilevel"/>
    <w:lvl w:ilvl="0">
      <w:lvlJc w:val="left"/>
      <w:lvlText w:val="%1."/>
      <w:numFmt w:val="decimal"/>
      <w:start w:val="740"/>
    </w:lvl>
  </w:abstractNum>
  <w:abstractNum w:abstractNumId="59">
    <w:nsid w:val="168E121F"/>
    <w:multiLevelType w:val="hybridMultilevel"/>
    <w:lvl w:ilvl="0">
      <w:lvlJc w:val="left"/>
      <w:lvlText w:val="(%1)"/>
      <w:numFmt w:val="decimal"/>
      <w:start w:val="1"/>
    </w:lvl>
  </w:abstractNum>
  <w:abstractNum w:abstractNumId="60">
    <w:nsid w:val="1EBA5D23"/>
    <w:multiLevelType w:val="hybridMultilevel"/>
    <w:lvl w:ilvl="0">
      <w:lvlJc w:val="left"/>
      <w:lvlText w:val="(%1)"/>
      <w:numFmt w:val="decimal"/>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1)"/>
      <w:numFmt w:val="decimal"/>
      <w:start w:val="1"/>
    </w:lvl>
  </w:abstractNum>
  <w:abstractNum w:abstractNumId="63">
    <w:nsid w:val="540A471C"/>
    <w:multiLevelType w:val="hybridMultilevel"/>
    <w:lvl w:ilvl="0">
      <w:lvlJc w:val="left"/>
      <w:lvlText w:val="(%1)"/>
      <w:numFmt w:val="decimal"/>
      <w:start w:val="2"/>
    </w:lvl>
  </w:abstractNum>
  <w:abstractNum w:abstractNumId="64">
    <w:nsid w:val="7BD3EE7B"/>
    <w:multiLevelType w:val="hybridMultilevel"/>
    <w:lvl w:ilvl="0">
      <w:lvlJc w:val="left"/>
      <w:lvlText w:val="(%1)"/>
      <w:numFmt w:val="decimal"/>
      <w:start w:val="3"/>
    </w:lvl>
  </w:abstractNum>
  <w:abstractNum w:abstractNumId="65">
    <w:nsid w:val="51D9C564"/>
    <w:multiLevelType w:val="hybridMultilevel"/>
    <w:lvl w:ilvl="0">
      <w:lvlJc w:val="left"/>
      <w:lvlText w:val="(%1)"/>
      <w:numFmt w:val="decimal"/>
      <w:start w:val="1"/>
    </w:lvl>
  </w:abstractNum>
  <w:abstractNum w:abstractNumId="66">
    <w:nsid w:val="613EFDC5"/>
    <w:multiLevelType w:val="hybridMultilevel"/>
    <w:lvl w:ilvl="0">
      <w:lvlJc w:val="left"/>
      <w:lvlText w:val="%1."/>
      <w:numFmt w:val="upperLetter"/>
      <w:start w:val="1"/>
    </w:lvl>
  </w:abstractNum>
  <w:abstractNum w:abstractNumId="67">
    <w:nsid w:val="BF72B14"/>
    <w:multiLevelType w:val="hybridMultilevel"/>
    <w:lvl w:ilvl="0">
      <w:lvlJc w:val="left"/>
      <w:lvlText w:val="%1."/>
      <w:numFmt w:val="decimal"/>
      <w:start w:val="1"/>
    </w:lvl>
  </w:abstractNum>
  <w:abstractNum w:abstractNumId="68">
    <w:nsid w:val="11447B73"/>
    <w:multiLevelType w:val="hybridMultilevel"/>
    <w:lvl w:ilvl="0">
      <w:lvlJc w:val="left"/>
      <w:lvlText w:val="%1."/>
      <w:numFmt w:val="decimal"/>
      <w:start w:val="3"/>
    </w:lvl>
  </w:abstractNum>
  <w:abstractNum w:abstractNumId="69">
    <w:nsid w:val="42963E5A"/>
    <w:multiLevelType w:val="hybridMultilevel"/>
    <w:lvl w:ilvl="0">
      <w:lvlJc w:val="left"/>
      <w:lvlText w:val="["/>
      <w:numFmt w:val="bullet"/>
      <w:start w:val="1"/>
    </w:lvl>
  </w:abstractNum>
  <w:abstractNum w:abstractNumId="70">
    <w:nsid w:val="A0382C5"/>
    <w:multiLevelType w:val="hybridMultilevel"/>
    <w:lvl w:ilvl="0">
      <w:lvlJc w:val="left"/>
      <w:lvlText w:val="]"/>
      <w:numFmt w:val="bullet"/>
      <w:start w:val="1"/>
    </w:lvl>
  </w:abstractNum>
  <w:abstractNum w:abstractNumId="71">
    <w:nsid w:val="8F2B15E"/>
    <w:multiLevelType w:val="hybridMultilevel"/>
    <w:lvl w:ilvl="0">
      <w:lvlJc w:val="left"/>
      <w:lvlText w:val="(%1)"/>
      <w:numFmt w:val="lowerLetter"/>
      <w:start w:val="1"/>
    </w:lvl>
  </w:abstractNum>
  <w:abstractNum w:abstractNumId="72">
    <w:nsid w:val="1A32234B"/>
    <w:multiLevelType w:val="hybridMultilevel"/>
    <w:lvl w:ilvl="0">
      <w:lvlJc w:val="left"/>
      <w:lvlText w:val="%1."/>
      <w:numFmt w:val="upperLetter"/>
      <w:start w:val="9"/>
    </w:lvl>
  </w:abstractNum>
  <w:abstractNum w:abstractNumId="73">
    <w:nsid w:val="3B0FD379"/>
    <w:multiLevelType w:val="hybridMultilevel"/>
    <w:lvl w:ilvl="0">
      <w:lvlJc w:val="left"/>
      <w:lvlText w:val="%1."/>
      <w:numFmt w:val="upperLetter"/>
      <w:start w:val="35"/>
    </w:lvl>
  </w:abstractNum>
  <w:abstractNum w:abstractNumId="74">
    <w:nsid w:val="68EB2F63"/>
    <w:multiLevelType w:val="hybridMultilevel"/>
    <w:lvl w:ilvl="0">
      <w:lvlJc w:val="left"/>
      <w:lvlText w:val="%1."/>
      <w:numFmt w:val="upperLetter"/>
      <w:start w:val="61"/>
    </w:lvl>
  </w:abstractNum>
  <w:abstractNum w:abstractNumId="75">
    <w:nsid w:val="4962813B"/>
    <w:multiLevelType w:val="hybridMultilevel"/>
    <w:lvl w:ilvl="0">
      <w:lvlJc w:val="left"/>
      <w:lvlText w:val="%1."/>
      <w:numFmt w:val="upperLetter"/>
      <w:start w:val="22"/>
    </w:lvl>
  </w:abstractNum>
  <w:abstractNum w:abstractNumId="76">
    <w:nsid w:val="60B6DF70"/>
    <w:multiLevelType w:val="hybridMultilevel"/>
    <w:lvl w:ilvl="0">
      <w:lvlJc w:val="left"/>
      <w:lvlText w:val="(%1)"/>
      <w:numFmt w:val="decimal"/>
      <w:start w:val="1"/>
    </w:lvl>
  </w:abstractNum>
  <w:abstractNum w:abstractNumId="77">
    <w:nsid w:val="6A5EE64"/>
    <w:multiLevelType w:val="hybridMultilevel"/>
    <w:lvl w:ilvl="0">
      <w:lvlJc w:val="left"/>
      <w:lvlText w:val="%1."/>
      <w:numFmt w:val="decimal"/>
      <w:start w:val="1"/>
    </w:lvl>
    <w:lvl w:ilvl="1">
      <w:lvlJc w:val="left"/>
      <w:lvlText w:val="(%2)"/>
      <w:numFmt w:val="lowerLetter"/>
      <w:start w:val="1"/>
    </w:lvl>
  </w:abstractNum>
  <w:abstractNum w:abstractNumId="78">
    <w:nsid w:val="14330624"/>
    <w:multiLevelType w:val="hybridMultilevel"/>
    <w:lvl w:ilvl="0">
      <w:lvlJc w:val="left"/>
      <w:lvlText w:val="%1."/>
      <w:numFmt w:val="decimal"/>
      <w:start w:val="1"/>
    </w:lvl>
    <w:lvl w:ilvl="1">
      <w:lvlJc w:val="left"/>
      <w:lvlText w:val="(%2)"/>
      <w:numFmt w:val="lowerLetter"/>
      <w:start w:val="1"/>
    </w:lvl>
  </w:abstractNum>
  <w:abstractNum w:abstractNumId="79">
    <w:nsid w:val="7FFFCA11"/>
    <w:multiLevelType w:val="hybridMultilevel"/>
    <w:lvl w:ilvl="0">
      <w:lvlJc w:val="left"/>
      <w:lvlText w:val="%1."/>
      <w:numFmt w:val="decimal"/>
      <w:start w:val="1"/>
    </w:lvl>
  </w:abstractNum>
  <w:abstractNum w:abstractNumId="80">
    <w:nsid w:val="1A27709E"/>
    <w:multiLevelType w:val="hybridMultilevel"/>
    <w:lvl w:ilvl="0">
      <w:lvlJc w:val="left"/>
      <w:lvlText w:val="%1."/>
      <w:numFmt w:val="decimal"/>
      <w:start w:val="1"/>
    </w:lvl>
  </w:abstractNum>
  <w:abstractNum w:abstractNumId="81">
    <w:nsid w:val="71EA1109"/>
    <w:multiLevelType w:val="hybridMultilevel"/>
    <w:lvl w:ilvl="0">
      <w:lvlJc w:val="left"/>
      <w:lvlText w:val="•"/>
      <w:numFmt w:val="bullet"/>
      <w:start w:val="1"/>
    </w:lvl>
  </w:abstractNum>
  <w:abstractNum w:abstractNumId="82">
    <w:nsid w:val="100F59DC"/>
    <w:multiLevelType w:val="hybridMultilevel"/>
    <w:lvl w:ilvl="0">
      <w:lvlJc w:val="left"/>
      <w:lvlText w:val="•"/>
      <w:numFmt w:val="bullet"/>
      <w:start w:val="1"/>
    </w:lvl>
  </w:abstractNum>
  <w:abstractNum w:abstractNumId="83">
    <w:nsid w:val="7FB7E0AA"/>
    <w:multiLevelType w:val="hybridMultilevel"/>
    <w:lvl w:ilvl="0">
      <w:lvlJc w:val="left"/>
      <w:lvlText w:val="•"/>
      <w:numFmt w:val="bullet"/>
      <w:start w:val="1"/>
    </w:lvl>
  </w:abstractNum>
  <w:abstractNum w:abstractNumId="84">
    <w:nsid w:val="6EB5B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20" Type="http://schemas.openxmlformats.org/officeDocument/2006/relationships/image" Target="media/image87.png"/><Relationship Id="rId121" Type="http://schemas.openxmlformats.org/officeDocument/2006/relationships/image" Target="media/image88.png"/><Relationship Id="rId137" Type="http://schemas.openxmlformats.org/officeDocument/2006/relationships/image" Target="media/image89.png"/><Relationship Id="rId155" Type="http://schemas.openxmlformats.org/officeDocument/2006/relationships/image" Target="media/image90.png"/><Relationship Id="rId172" Type="http://schemas.openxmlformats.org/officeDocument/2006/relationships/image" Target="media/image91.png"/><Relationship Id="rId186" Type="http://schemas.openxmlformats.org/officeDocument/2006/relationships/image" Target="media/image92.png"/><Relationship Id="rId187" Type="http://schemas.openxmlformats.org/officeDocument/2006/relationships/image" Target="media/image93.png"/><Relationship Id="rId188" Type="http://schemas.openxmlformats.org/officeDocument/2006/relationships/image" Target="media/image94.png"/><Relationship Id="rId189" Type="http://schemas.openxmlformats.org/officeDocument/2006/relationships/image" Target="media/image95.png"/><Relationship Id="rId190" Type="http://schemas.openxmlformats.org/officeDocument/2006/relationships/image" Target="media/image96.png"/><Relationship Id="rId191" Type="http://schemas.openxmlformats.org/officeDocument/2006/relationships/image" Target="media/image97.png"/><Relationship Id="rId192" Type="http://schemas.openxmlformats.org/officeDocument/2006/relationships/image" Target="media/image98.png"/><Relationship Id="rId193" Type="http://schemas.openxmlformats.org/officeDocument/2006/relationships/image" Target="media/image99.png"/><Relationship Id="rId194" Type="http://schemas.openxmlformats.org/officeDocument/2006/relationships/image" Target="media/image100.png"/><Relationship Id="rId195" Type="http://schemas.openxmlformats.org/officeDocument/2006/relationships/image" Target="media/image101.png"/><Relationship Id="rId196" Type="http://schemas.openxmlformats.org/officeDocument/2006/relationships/image" Target="media/image102.png"/><Relationship Id="rId197" Type="http://schemas.openxmlformats.org/officeDocument/2006/relationships/image" Target="media/image103.png"/><Relationship Id="rId198" Type="http://schemas.openxmlformats.org/officeDocument/2006/relationships/image" Target="media/image104.png"/><Relationship Id="rId199" Type="http://schemas.openxmlformats.org/officeDocument/2006/relationships/image" Target="media/image105.png"/><Relationship Id="rId200" Type="http://schemas.openxmlformats.org/officeDocument/2006/relationships/image" Target="media/image106.png"/><Relationship Id="rId201" Type="http://schemas.openxmlformats.org/officeDocument/2006/relationships/image" Target="media/image107.png"/><Relationship Id="rId202" Type="http://schemas.openxmlformats.org/officeDocument/2006/relationships/image" Target="media/image108.png"/><Relationship Id="rId203" Type="http://schemas.openxmlformats.org/officeDocument/2006/relationships/image" Target="media/image109.png"/><Relationship Id="rId204" Type="http://schemas.openxmlformats.org/officeDocument/2006/relationships/image" Target="media/image110.png"/><Relationship Id="rId205" Type="http://schemas.openxmlformats.org/officeDocument/2006/relationships/image" Target="media/image111.png"/><Relationship Id="rId206" Type="http://schemas.openxmlformats.org/officeDocument/2006/relationships/image" Target="media/image112.png"/><Relationship Id="rId207" Type="http://schemas.openxmlformats.org/officeDocument/2006/relationships/image" Target="media/image113.png"/><Relationship Id="rId208" Type="http://schemas.openxmlformats.org/officeDocument/2006/relationships/image" Target="media/image114.png"/><Relationship Id="rId209" Type="http://schemas.openxmlformats.org/officeDocument/2006/relationships/image" Target="media/image115.png"/><Relationship Id="rId210" Type="http://schemas.openxmlformats.org/officeDocument/2006/relationships/image" Target="media/image116.png"/><Relationship Id="rId211" Type="http://schemas.openxmlformats.org/officeDocument/2006/relationships/image" Target="media/image117.png"/><Relationship Id="rId212" Type="http://schemas.openxmlformats.org/officeDocument/2006/relationships/image" Target="media/image118.png"/><Relationship Id="rId213" Type="http://schemas.openxmlformats.org/officeDocument/2006/relationships/image" Target="media/image119.png"/><Relationship Id="rId214" Type="http://schemas.openxmlformats.org/officeDocument/2006/relationships/image" Target="media/image120.png"/><Relationship Id="rId215" Type="http://schemas.openxmlformats.org/officeDocument/2006/relationships/image" Target="media/image121.png"/><Relationship Id="rId216" Type="http://schemas.openxmlformats.org/officeDocument/2006/relationships/image" Target="media/image122.png"/><Relationship Id="rId217" Type="http://schemas.openxmlformats.org/officeDocument/2006/relationships/image" Target="media/image123.png"/><Relationship Id="rId218" Type="http://schemas.openxmlformats.org/officeDocument/2006/relationships/image" Target="media/image124.png"/><Relationship Id="rId219" Type="http://schemas.openxmlformats.org/officeDocument/2006/relationships/image" Target="media/image125.png"/><Relationship Id="rId220" Type="http://schemas.openxmlformats.org/officeDocument/2006/relationships/image" Target="media/image126.png"/><Relationship Id="rId221" Type="http://schemas.openxmlformats.org/officeDocument/2006/relationships/image" Target="media/image127.png"/><Relationship Id="rId222" Type="http://schemas.openxmlformats.org/officeDocument/2006/relationships/image" Target="media/image128.png"/><Relationship Id="rId223" Type="http://schemas.openxmlformats.org/officeDocument/2006/relationships/image" Target="media/image129.png"/><Relationship Id="rId224" Type="http://schemas.openxmlformats.org/officeDocument/2006/relationships/image" Target="media/image130.png"/><Relationship Id="rId225" Type="http://schemas.openxmlformats.org/officeDocument/2006/relationships/image" Target="media/image131.png"/><Relationship Id="rId226" Type="http://schemas.openxmlformats.org/officeDocument/2006/relationships/image" Target="media/image132.png"/><Relationship Id="rId227" Type="http://schemas.openxmlformats.org/officeDocument/2006/relationships/image" Target="media/image133.png"/><Relationship Id="rId228" Type="http://schemas.openxmlformats.org/officeDocument/2006/relationships/image" Target="media/image134.png"/><Relationship Id="rId229" Type="http://schemas.openxmlformats.org/officeDocument/2006/relationships/image" Target="media/image135.png"/><Relationship Id="rId230" Type="http://schemas.openxmlformats.org/officeDocument/2006/relationships/image" Target="media/image136.png"/><Relationship Id="rId231" Type="http://schemas.openxmlformats.org/officeDocument/2006/relationships/image" Target="media/image137.png"/><Relationship Id="rId232" Type="http://schemas.openxmlformats.org/officeDocument/2006/relationships/image" Target="media/image138.png"/><Relationship Id="rId233" Type="http://schemas.openxmlformats.org/officeDocument/2006/relationships/image" Target="media/image139.png"/><Relationship Id="rId234" Type="http://schemas.openxmlformats.org/officeDocument/2006/relationships/image" Target="media/image140.png"/><Relationship Id="rId235" Type="http://schemas.openxmlformats.org/officeDocument/2006/relationships/image" Target="media/image141.png"/><Relationship Id="rId236" Type="http://schemas.openxmlformats.org/officeDocument/2006/relationships/image" Target="media/image142.png"/><Relationship Id="rId237" Type="http://schemas.openxmlformats.org/officeDocument/2006/relationships/image" Target="media/image143.png"/><Relationship Id="rId238" Type="http://schemas.openxmlformats.org/officeDocument/2006/relationships/image" Target="media/image144.png"/><Relationship Id="rId239" Type="http://schemas.openxmlformats.org/officeDocument/2006/relationships/image" Target="media/image145.png"/><Relationship Id="rId240" Type="http://schemas.openxmlformats.org/officeDocument/2006/relationships/image" Target="media/image146.png"/><Relationship Id="rId241" Type="http://schemas.openxmlformats.org/officeDocument/2006/relationships/image" Target="media/image147.png"/><Relationship Id="rId242" Type="http://schemas.openxmlformats.org/officeDocument/2006/relationships/image" Target="media/image148.png"/><Relationship Id="rId243" Type="http://schemas.openxmlformats.org/officeDocument/2006/relationships/image" Target="media/image149.png"/><Relationship Id="rId244" Type="http://schemas.openxmlformats.org/officeDocument/2006/relationships/image" Target="media/image150.png"/><Relationship Id="rId245" Type="http://schemas.openxmlformats.org/officeDocument/2006/relationships/image" Target="media/image151.png"/><Relationship Id="rId246" Type="http://schemas.openxmlformats.org/officeDocument/2006/relationships/image" Target="media/image152.png"/><Relationship Id="rId247" Type="http://schemas.openxmlformats.org/officeDocument/2006/relationships/image" Target="media/image153.png"/><Relationship Id="rId248" Type="http://schemas.openxmlformats.org/officeDocument/2006/relationships/image" Target="media/image154.png"/><Relationship Id="rId249" Type="http://schemas.openxmlformats.org/officeDocument/2006/relationships/image" Target="media/image155.png"/><Relationship Id="rId250" Type="http://schemas.openxmlformats.org/officeDocument/2006/relationships/image" Target="media/image156.png"/><Relationship Id="rId251" Type="http://schemas.openxmlformats.org/officeDocument/2006/relationships/image" Target="media/image157.png"/><Relationship Id="rId252" Type="http://schemas.openxmlformats.org/officeDocument/2006/relationships/image" Target="media/image158.png"/><Relationship Id="rId253" Type="http://schemas.openxmlformats.org/officeDocument/2006/relationships/image" Target="media/image159.png"/><Relationship Id="rId254" Type="http://schemas.openxmlformats.org/officeDocument/2006/relationships/image" Target="media/image160.png"/><Relationship Id="rId255" Type="http://schemas.openxmlformats.org/officeDocument/2006/relationships/image" Target="media/image161.png"/><Relationship Id="rId256" Type="http://schemas.openxmlformats.org/officeDocument/2006/relationships/image" Target="media/image162.png"/><Relationship Id="rId257" Type="http://schemas.openxmlformats.org/officeDocument/2006/relationships/image" Target="media/image163.png"/><Relationship Id="rId258" Type="http://schemas.openxmlformats.org/officeDocument/2006/relationships/image" Target="media/image164.png"/><Relationship Id="rId259" Type="http://schemas.openxmlformats.org/officeDocument/2006/relationships/image" Target="media/image165.png"/><Relationship Id="rId260" Type="http://schemas.openxmlformats.org/officeDocument/2006/relationships/image" Target="media/image166.png"/><Relationship Id="rId261" Type="http://schemas.openxmlformats.org/officeDocument/2006/relationships/image" Target="media/image167.png"/><Relationship Id="rId262" Type="http://schemas.openxmlformats.org/officeDocument/2006/relationships/image" Target="media/image168.png"/><Relationship Id="rId263" Type="http://schemas.openxmlformats.org/officeDocument/2006/relationships/image" Target="media/image169.png"/><Relationship Id="rId264" Type="http://schemas.openxmlformats.org/officeDocument/2006/relationships/image" Target="media/image170.png"/><Relationship Id="rId265" Type="http://schemas.openxmlformats.org/officeDocument/2006/relationships/image" Target="media/image171.png"/><Relationship Id="rId266" Type="http://schemas.openxmlformats.org/officeDocument/2006/relationships/image" Target="media/image172.png"/><Relationship Id="rId267" Type="http://schemas.openxmlformats.org/officeDocument/2006/relationships/image" Target="media/image173.png"/><Relationship Id="rId268" Type="http://schemas.openxmlformats.org/officeDocument/2006/relationships/image" Target="media/image174.png"/><Relationship Id="rId269" Type="http://schemas.openxmlformats.org/officeDocument/2006/relationships/image" Target="media/image175.png"/><Relationship Id="rId270" Type="http://schemas.openxmlformats.org/officeDocument/2006/relationships/image" Target="media/image176.png"/><Relationship Id="rId271" Type="http://schemas.openxmlformats.org/officeDocument/2006/relationships/image" Target="media/image177.png"/><Relationship Id="rId272" Type="http://schemas.openxmlformats.org/officeDocument/2006/relationships/image" Target="media/image178.png"/><Relationship Id="rId273" Type="http://schemas.openxmlformats.org/officeDocument/2006/relationships/image" Target="media/image179.png"/><Relationship Id="rId274" Type="http://schemas.openxmlformats.org/officeDocument/2006/relationships/image" Target="media/image180.png"/><Relationship Id="rId275" Type="http://schemas.openxmlformats.org/officeDocument/2006/relationships/image" Target="media/image181.png"/><Relationship Id="rId276" Type="http://schemas.openxmlformats.org/officeDocument/2006/relationships/image" Target="media/image182.png"/><Relationship Id="rId277" Type="http://schemas.openxmlformats.org/officeDocument/2006/relationships/image" Target="media/image183.png"/><Relationship Id="rId278" Type="http://schemas.openxmlformats.org/officeDocument/2006/relationships/image" Target="media/image184.png"/><Relationship Id="rId279" Type="http://schemas.openxmlformats.org/officeDocument/2006/relationships/image" Target="media/image185.png"/><Relationship Id="rId280" Type="http://schemas.openxmlformats.org/officeDocument/2006/relationships/image" Target="media/image186.png"/><Relationship Id="rId281" Type="http://schemas.openxmlformats.org/officeDocument/2006/relationships/image" Target="media/image187.png"/><Relationship Id="rId282" Type="http://schemas.openxmlformats.org/officeDocument/2006/relationships/image" Target="media/image188.png"/><Relationship Id="rId283" Type="http://schemas.openxmlformats.org/officeDocument/2006/relationships/image" Target="media/image189.png"/><Relationship Id="rId284" Type="http://schemas.openxmlformats.org/officeDocument/2006/relationships/image" Target="media/image190.png"/><Relationship Id="rId285" Type="http://schemas.openxmlformats.org/officeDocument/2006/relationships/image" Target="media/image191.png"/><Relationship Id="rId286" Type="http://schemas.openxmlformats.org/officeDocument/2006/relationships/image" Target="media/image192.png"/><Relationship Id="rId287" Type="http://schemas.openxmlformats.org/officeDocument/2006/relationships/image" Target="media/image193.png"/><Relationship Id="rId288" Type="http://schemas.openxmlformats.org/officeDocument/2006/relationships/image" Target="media/image194.png"/><Relationship Id="rId289" Type="http://schemas.openxmlformats.org/officeDocument/2006/relationships/image" Target="media/image195.png"/><Relationship Id="rId290" Type="http://schemas.openxmlformats.org/officeDocument/2006/relationships/image" Target="media/image196.png"/><Relationship Id="rId291" Type="http://schemas.openxmlformats.org/officeDocument/2006/relationships/image" Target="media/image197.png"/><Relationship Id="rId292" Type="http://schemas.openxmlformats.org/officeDocument/2006/relationships/image" Target="media/image198.png"/><Relationship Id="rId293" Type="http://schemas.openxmlformats.org/officeDocument/2006/relationships/image" Target="media/image199.png"/><Relationship Id="rId294" Type="http://schemas.openxmlformats.org/officeDocument/2006/relationships/image" Target="media/image200.png"/><Relationship Id="rId295" Type="http://schemas.openxmlformats.org/officeDocument/2006/relationships/image" Target="media/image201.png"/><Relationship Id="rId296" Type="http://schemas.openxmlformats.org/officeDocument/2006/relationships/image" Target="media/image202.png"/><Relationship Id="rId297" Type="http://schemas.openxmlformats.org/officeDocument/2006/relationships/image" Target="media/image203.png"/><Relationship Id="rId298" Type="http://schemas.openxmlformats.org/officeDocument/2006/relationships/image" Target="media/image204.png"/><Relationship Id="rId299" Type="http://schemas.openxmlformats.org/officeDocument/2006/relationships/image" Target="media/image205.png"/><Relationship Id="rId300" Type="http://schemas.openxmlformats.org/officeDocument/2006/relationships/image" Target="media/image206.jpeg"/><Relationship Id="rId301" Type="http://schemas.openxmlformats.org/officeDocument/2006/relationships/image" Target="media/image207.png"/><Relationship Id="rId302" Type="http://schemas.openxmlformats.org/officeDocument/2006/relationships/image" Target="media/image208.png"/><Relationship Id="rId303" Type="http://schemas.openxmlformats.org/officeDocument/2006/relationships/image" Target="media/image209.png"/><Relationship Id="rId304" Type="http://schemas.openxmlformats.org/officeDocument/2006/relationships/image" Target="media/image210.png"/><Relationship Id="rId305" Type="http://schemas.openxmlformats.org/officeDocument/2006/relationships/image" Target="media/image211.png"/><Relationship Id="rId306" Type="http://schemas.openxmlformats.org/officeDocument/2006/relationships/image" Target="media/image212.png"/><Relationship Id="rId307" Type="http://schemas.openxmlformats.org/officeDocument/2006/relationships/image" Target="media/image213.png"/><Relationship Id="rId308" Type="http://schemas.openxmlformats.org/officeDocument/2006/relationships/image" Target="media/image214.png"/><Relationship Id="rId92" Type="http://schemas.openxmlformats.org/officeDocument/2006/relationships/hyperlink" Target="http://www.sec.gov/Archives/edgar/data/1590895/000110465916146062/a16-18683_2ex2d1.htm" TargetMode="External"/><Relationship Id="rId93" Type="http://schemas.openxmlformats.org/officeDocument/2006/relationships/hyperlink" Target="http://www.sec.gov/Archives/edgar/data/1590895/000119312519223544/d793420dex21.htm" TargetMode="External"/><Relationship Id="rId94" Type="http://schemas.openxmlformats.org/officeDocument/2006/relationships/hyperlink" Target="http://www.sec.gov/Archives/edgar/data/1590895/000110465914067189/a14-21021_2ex3d1.htm" TargetMode="External"/><Relationship Id="rId95" Type="http://schemas.openxmlformats.org/officeDocument/2006/relationships/hyperlink" Target="http://www.sec.gov/Archives/edgar/data/1590895/000119312519174200/d764799dex21.htm" TargetMode="External"/><Relationship Id="rId96" Type="http://schemas.openxmlformats.org/officeDocument/2006/relationships/hyperlink" Target="http://www.sec.gov/Archives/edgar/data/1590895/000156459018019805/eri-ex31_407.htm" TargetMode="External"/><Relationship Id="rId97" Type="http://schemas.openxmlformats.org/officeDocument/2006/relationships/hyperlink" Target="http://www.sec.gov/Archives/edgar/data/1590895/000110465914067189/a14-21021_2ex3d2.htm" TargetMode="External"/><Relationship Id="rId98" Type="http://schemas.openxmlformats.org/officeDocument/2006/relationships/hyperlink" Target="http://www.sec.gov/Archives/edgar/data/1590895/000104746914003998/a2219509zex-4_1.htm" TargetMode="External"/><Relationship Id="rId99" Type="http://schemas.openxmlformats.org/officeDocument/2006/relationships/hyperlink" Target="http://www.sec.gov/Archives/edgar/data/1590895/000110465915052820/a15-16141_1ex4d3.htm" TargetMode="External"/><Relationship Id="rId100" Type="http://schemas.openxmlformats.org/officeDocument/2006/relationships/hyperlink" Target="http://www.sec.gov/Archives/edgar/data/87836/000104746916009700/a2227071zex-4_2.htm" TargetMode="External"/><Relationship Id="rId101" Type="http://schemas.openxmlformats.org/officeDocument/2006/relationships/hyperlink" Target="http://www.sec.gov/Archives/edgar/data/87836/000119312517206003/d391294dex44.htm" TargetMode="External"/><Relationship Id="rId102" Type="http://schemas.openxmlformats.org/officeDocument/2006/relationships/hyperlink" Target="http://www.sec.gov/Archives/edgar/data/1590895/000119312517092159/d364482dex41.htm" TargetMode="External"/><Relationship Id="rId103" Type="http://schemas.openxmlformats.org/officeDocument/2006/relationships/hyperlink" Target="http://www.sec.gov/Archives/edgar/data/1590895/000119312517152208/d377572dex42.htm" TargetMode="External"/><Relationship Id="rId104" Type="http://schemas.openxmlformats.org/officeDocument/2006/relationships/hyperlink" Target="http://www.sec.gov/Archives/edgar/data/1590895/000119312518289591/d625611dex43.htm" TargetMode="External"/><Relationship Id="rId105" Type="http://schemas.openxmlformats.org/officeDocument/2006/relationships/hyperlink" Target="http://www.sec.gov/Archives/edgar/data/1590895/000119312517101492/d323067dex41.htm" TargetMode="External"/><Relationship Id="rId108" Type="http://schemas.openxmlformats.org/officeDocument/2006/relationships/hyperlink" Target="http://www.sec.gov/Archives/edgar/data/1590895/000119312517152208/d377572dex41.htm" TargetMode="External"/><Relationship Id="rId109" Type="http://schemas.openxmlformats.org/officeDocument/2006/relationships/hyperlink" Target="http://www.sec.gov/Archives/edgar/data/1590895/000156459018019805/eri-ex42_411.htm" TargetMode="External"/><Relationship Id="rId110" Type="http://schemas.openxmlformats.org/officeDocument/2006/relationships/hyperlink" Target="http://www.sec.gov/Archives/edgar/data/1590895/000119312518289591/d625611dex44.htm" TargetMode="External"/><Relationship Id="rId111" Type="http://schemas.openxmlformats.org/officeDocument/2006/relationships/hyperlink" Target="http://www.sec.gov/Archives/edgar/data/1590895/000119312518278536/d627152dex41.htm" TargetMode="External"/><Relationship Id="rId112" Type="http://schemas.openxmlformats.org/officeDocument/2006/relationships/hyperlink" Target="http://www.sec.gov/Archives/edgar/data/1590895/000119312518289591/d625611dex42.htm" TargetMode="External"/><Relationship Id="rId113" Type="http://schemas.openxmlformats.org/officeDocument/2006/relationships/hyperlink" Target="http://www.sec.gov/Archives/edgar/data/834162/000104746909002769/a2191532zex-10_2.htm" TargetMode="External"/><Relationship Id="rId114" Type="http://schemas.openxmlformats.org/officeDocument/2006/relationships/hyperlink" Target="http://www.sec.gov/Archives/edgar/data/1590895/000119312519180347/d767286dex102.htm" TargetMode="External"/><Relationship Id="rId115" Type="http://schemas.openxmlformats.org/officeDocument/2006/relationships/hyperlink" Target="http://www.sec.gov/Archives/edgar/data/1590895/000119312518016157/d427842dex101.htm" TargetMode="External"/><Relationship Id="rId116" Type="http://schemas.openxmlformats.org/officeDocument/2006/relationships/hyperlink" Target="http://www.sec.gov/Archives/edgar/data/1590895/000119312518289591/d625611dex104.htm" TargetMode="External"/><Relationship Id="rId117" Type="http://schemas.openxmlformats.org/officeDocument/2006/relationships/hyperlink" Target="http://www.sec.gov/Archives/edgar/data/1590895/000119312519182266/d769492dex42.htm" TargetMode="External"/><Relationship Id="rId118" Type="http://schemas.openxmlformats.org/officeDocument/2006/relationships/hyperlink" Target="http://www.sec.gov/Archives/edgar/data/1590895/000119312518016157/d427842dex102.htm" TargetMode="External"/><Relationship Id="rId119" Type="http://schemas.openxmlformats.org/officeDocument/2006/relationships/hyperlink" Target="http://www.sec.gov/Archives/edgar/data/1590895/000119312518289591/d625611dex103.htm" TargetMode="External"/><Relationship Id="rId122" Type="http://schemas.openxmlformats.org/officeDocument/2006/relationships/hyperlink" Target="http://www.sec.gov/Archives/edgar/data/1590895/000119312518016157/d427842dex103.htm" TargetMode="External"/><Relationship Id="rId123" Type="http://schemas.openxmlformats.org/officeDocument/2006/relationships/hyperlink" Target="http://www.sec.gov/Archives/edgar/data/1590895/000119312518289591/d625611dex105.htm" TargetMode="External"/><Relationship Id="rId124" Type="http://schemas.openxmlformats.org/officeDocument/2006/relationships/hyperlink" Target="http://www.sec.gov/Archives/edgar/data/1590895/000156459018003554/eri-ex107_425.htm" TargetMode="External"/><Relationship Id="rId125" Type="http://schemas.openxmlformats.org/officeDocument/2006/relationships/hyperlink" Target="http://www.sec.gov/Archives/edgar/data/1590895/000119312519174200/d764799dex22.htm" TargetMode="External"/><Relationship Id="rId126" Type="http://schemas.openxmlformats.org/officeDocument/2006/relationships/hyperlink" Target="http://www.sec.gov/Archives/edgar/data/1590895/000119312519255996/d811614dex21.htm" TargetMode="External"/><Relationship Id="rId127" Type="http://schemas.openxmlformats.org/officeDocument/2006/relationships/hyperlink" Target="http://www.sec.gov/Archives/edgar/data/1590895/000119312519255996/d811614dex22.htm" TargetMode="External"/><Relationship Id="rId128" Type="http://schemas.openxmlformats.org/officeDocument/2006/relationships/hyperlink" Target="http://www.sec.gov/Archives/edgar/data/1590895/000119312519255996/d811614dex23.htm" TargetMode="External"/><Relationship Id="rId129" Type="http://schemas.openxmlformats.org/officeDocument/2006/relationships/hyperlink" Target="http://www.sec.gov/Archives/edgar/data/834162/000104746910007224/a2199727zex-10_4.htm" TargetMode="External"/><Relationship Id="rId130" Type="http://schemas.openxmlformats.org/officeDocument/2006/relationships/hyperlink" Target="http://www.sec.gov/Archives/edgar/data/834162/000110465911004792/a11-5216_1ex10d1.htm" TargetMode="External"/><Relationship Id="rId131" Type="http://schemas.openxmlformats.org/officeDocument/2006/relationships/hyperlink" Target="http://www.sec.gov/Archives/edgar/data/1590895/000104746915006100/a2225323zex-10_29.htm" TargetMode="External"/><Relationship Id="rId132" Type="http://schemas.openxmlformats.org/officeDocument/2006/relationships/hyperlink" Target="http://www.sec.gov/Archives/edgar/data/1590895/000156459019005640/eri-ex1019_598.htm" TargetMode="External"/><Relationship Id="rId133" Type="http://schemas.openxmlformats.org/officeDocument/2006/relationships/hyperlink" Target="http://www.sec.gov/Archives/edgar/data/1590895/000104746915002278/a2223636zex-10_17.htm" TargetMode="External"/><Relationship Id="rId134" Type="http://schemas.openxmlformats.org/officeDocument/2006/relationships/hyperlink" Target="http://www.sec.gov/Archives/edgar/data/1590895/000104746915002278/a2223636zex-10_18.htm" TargetMode="External"/><Relationship Id="rId135" Type="http://schemas.openxmlformats.org/officeDocument/2006/relationships/hyperlink" Target="http://www.sec.gov/Archives/edgar/data/1590895/000104746915002278/a2223636zex-10_19.htm" TargetMode="External"/><Relationship Id="rId136" Type="http://schemas.openxmlformats.org/officeDocument/2006/relationships/hyperlink" Target="http://www.sec.gov/Archives/edgar/data/1590895/000104746915002278/a2223636zex-10_20.htm" TargetMode="External"/><Relationship Id="rId138" Type="http://schemas.openxmlformats.org/officeDocument/2006/relationships/hyperlink" Target="http://www.sec.gov/Archives/edgar/data/1590895/000104746915002278/a2223636zex-10_21.htm" TargetMode="External"/><Relationship Id="rId139" Type="http://schemas.openxmlformats.org/officeDocument/2006/relationships/hyperlink" Target="http://www.sec.gov/Archives/edgar/data/1590895/000104746915002278/a2223636zex-10_22.htm" TargetMode="External"/><Relationship Id="rId140" Type="http://schemas.openxmlformats.org/officeDocument/2006/relationships/hyperlink" Target="http://www.sec.gov/Archives/edgar/data/1590895/000104746915002278/a2223636zex-10_23.htm" TargetMode="External"/><Relationship Id="rId141" Type="http://schemas.openxmlformats.org/officeDocument/2006/relationships/hyperlink" Target="http://www.sec.gov/Archives/edgar/data/1590895/000104746915002278/a2223636zex-10_24.htm" TargetMode="External"/><Relationship Id="rId142" Type="http://schemas.openxmlformats.org/officeDocument/2006/relationships/hyperlink" Target="http://www.sec.gov/Archives/edgar/data/1590895/000104746915002278/a2223636zex-10_25.htm" TargetMode="External"/><Relationship Id="rId143" Type="http://schemas.openxmlformats.org/officeDocument/2006/relationships/hyperlink" Target="http://www.sec.gov/Archives/edgar/data/1590895/000119312517125939/d304079dex101.htm" TargetMode="External"/><Relationship Id="rId144" Type="http://schemas.openxmlformats.org/officeDocument/2006/relationships/hyperlink" Target="http://www.sec.gov/Archives/edgar/data/1590895/000119312517152208/d377572dex43.htm" TargetMode="External"/><Relationship Id="rId145" Type="http://schemas.openxmlformats.org/officeDocument/2006/relationships/hyperlink" Target="http://www.sec.gov/Archives/edgar/data/1590895/000119312517152208/d377572dex44.htm" TargetMode="External"/><Relationship Id="rId146" Type="http://schemas.openxmlformats.org/officeDocument/2006/relationships/hyperlink" Target="http://www.sec.gov/Archives/edgar/data/1590895/000156459017022182/eri-ex101_491.htm" TargetMode="External"/><Relationship Id="rId147" Type="http://schemas.openxmlformats.org/officeDocument/2006/relationships/hyperlink" Target="http://www.sec.gov/Archives/edgar/data/1590895/000156459018019805/eri-ex101_55.htm" TargetMode="External"/><Relationship Id="rId148" Type="http://schemas.openxmlformats.org/officeDocument/2006/relationships/hyperlink" Target="http://www.sec.gov/Archives/edgar/data/1590895/000119312518289591/d625611dex102.htm" TargetMode="External"/><Relationship Id="rId149" Type="http://schemas.openxmlformats.org/officeDocument/2006/relationships/hyperlink" Target="http://www.sec.gov/Archives/edgar/data/1590895/000119312518289591/d625611dex41.htm" TargetMode="External"/><Relationship Id="rId150" Type="http://schemas.openxmlformats.org/officeDocument/2006/relationships/hyperlink" Target="http://www.sec.gov/Archives/edgar/data/1590895/000119312518289591/d625611dex101.htm" TargetMode="External"/><Relationship Id="rId151" Type="http://schemas.openxmlformats.org/officeDocument/2006/relationships/hyperlink" Target="http://www.sec.gov/Archives/edgar/data/1590895/000119312517152208/d377572dex45.htm" TargetMode="External"/><Relationship Id="rId152" Type="http://schemas.openxmlformats.org/officeDocument/2006/relationships/hyperlink" Target="http://www.sec.gov/Archives/edgar/data/863015/000110465915070112/a15-20934_1ex10d1.htm" TargetMode="External"/><Relationship Id="rId153" Type="http://schemas.openxmlformats.org/officeDocument/2006/relationships/hyperlink" Target="http://www.sec.gov/Archives/edgar/data/863015/000104746915005507/a2225088zex-10_27.htm" TargetMode="External"/><Relationship Id="rId154" Type="http://schemas.openxmlformats.org/officeDocument/2006/relationships/hyperlink" Target="http://www.sec.gov/Archives/edgar/data/863015/000104746915005507/a2225088zex-10_28.htm" TargetMode="External"/><Relationship Id="rId156" Type="http://schemas.openxmlformats.org/officeDocument/2006/relationships/hyperlink" Target="http://www.sec.gov/Archives/edgar/data/863015/000104746915005507/a2225088zex-10_29.htm" TargetMode="External"/><Relationship Id="rId157" Type="http://schemas.openxmlformats.org/officeDocument/2006/relationships/hyperlink" Target="http://www.sec.gov/Archives/edgar/data/863015/000089924399001470/0000899243-99-001470.txt" TargetMode="External"/><Relationship Id="rId158" Type="http://schemas.openxmlformats.org/officeDocument/2006/relationships/hyperlink" Target="http://www.sec.gov/Archives/edgar/data/863015/000095013102002417/dex1014.txt" TargetMode="External"/><Relationship Id="rId159" Type="http://schemas.openxmlformats.org/officeDocument/2006/relationships/hyperlink" Target="http://www.sec.gov/Archives/edgar/data/863015/000086301500000024/0000863015-00-000024-0002.txt" TargetMode="External"/><Relationship Id="rId160" Type="http://schemas.openxmlformats.org/officeDocument/2006/relationships/hyperlink" Target="http://www.sec.gov/Archives/edgar/data/863015/000086301500000024/0000863015-00-000024-0003.txt" TargetMode="External"/><Relationship Id="rId161" Type="http://schemas.openxmlformats.org/officeDocument/2006/relationships/hyperlink" Target="http://www.sec.gov/Archives/edgar/data/863015/000110465908045272/a08-17534_3ex10d40.htm" TargetMode="External"/><Relationship Id="rId162" Type="http://schemas.openxmlformats.org/officeDocument/2006/relationships/hyperlink" Target="http://www.sec.gov/Archives/edgar/data/863015/000110465908045272/a08-17534_3ex10d41.htm" TargetMode="External"/><Relationship Id="rId163" Type="http://schemas.openxmlformats.org/officeDocument/2006/relationships/hyperlink" Target="http://www.sec.gov/Archives/edgar/data/863015/000110465908045272/a08-17534_3ex10d42.htm" TargetMode="External"/><Relationship Id="rId164" Type="http://schemas.openxmlformats.org/officeDocument/2006/relationships/hyperlink" Target="http://www.sec.gov/Archives/edgar/data/863015/000110465908045272/a08-17534_3ex10d43.htm" TargetMode="External"/><Relationship Id="rId165" Type="http://schemas.openxmlformats.org/officeDocument/2006/relationships/hyperlink" Target="http://www.sec.gov/Archives/edgar/data/863015/000104746909006505/a2193533zex-10_44.htm" TargetMode="External"/><Relationship Id="rId166" Type="http://schemas.openxmlformats.org/officeDocument/2006/relationships/hyperlink" Target="http://www.sec.gov/Archives/edgar/data/863015/000104746909006505/a2193533zex-10_45.htm" TargetMode="External"/><Relationship Id="rId167" Type="http://schemas.openxmlformats.org/officeDocument/2006/relationships/hyperlink" Target="http://www.sec.gov/Archives/edgar/data/863015/000104746909006505/a2193533zex-10_46.htm" TargetMode="External"/><Relationship Id="rId168" Type="http://schemas.openxmlformats.org/officeDocument/2006/relationships/hyperlink" Target="http://www.sec.gov/Archives/edgar/data/863015/000110465908045272/a08-17534_3ex10d44.htm" TargetMode="External"/><Relationship Id="rId169" Type="http://schemas.openxmlformats.org/officeDocument/2006/relationships/hyperlink" Target="http://www.sec.gov/Archives/edgar/data/863015/000110465908045272/a08-17534_3ex10d45.htm" TargetMode="External"/><Relationship Id="rId170" Type="http://schemas.openxmlformats.org/officeDocument/2006/relationships/hyperlink" Target="http://www.sec.gov/Archives/edgar/data/863015/000110465908045272/a08-17534_3ex10d46.htm" TargetMode="External"/><Relationship Id="rId171" Type="http://schemas.openxmlformats.org/officeDocument/2006/relationships/hyperlink" Target="http://www.sec.gov/Archives/edgar/data/863015/000110465908045272/a08-17534_3ex10d47.htm" TargetMode="External"/><Relationship Id="rId173" Type="http://schemas.openxmlformats.org/officeDocument/2006/relationships/hyperlink" Target="http://www.sec.gov/Archives/edgar/data/863015/000110465908045272/a08-17534_3ex10d48.htm" TargetMode="External"/><Relationship Id="rId174" Type="http://schemas.openxmlformats.org/officeDocument/2006/relationships/hyperlink" Target="http://www.sec.gov/Archives/edgar/data/863015/000104746914005795/a2220481zex-10_49.htm" TargetMode="External"/><Relationship Id="rId175" Type="http://schemas.openxmlformats.org/officeDocument/2006/relationships/hyperlink" Target="http://www.sec.gov/Archives/edgar/data/863015/000104746914005795/a2220481zex-10_51.htm" TargetMode="External"/><Relationship Id="rId176" Type="http://schemas.openxmlformats.org/officeDocument/2006/relationships/hyperlink" Target="http://www.sec.gov/Archives/edgar/data/863015/000104746914005795/a2220481zex-10_53.htm" TargetMode="External"/><Relationship Id="rId177" Type="http://schemas.openxmlformats.org/officeDocument/2006/relationships/hyperlink" Target="http://www.sec.gov/Archives/edgar/data/863015/000104746914005795/a2220481zex-10_54.htm" TargetMode="External"/><Relationship Id="rId178" Type="http://schemas.openxmlformats.org/officeDocument/2006/relationships/hyperlink" Target="http://www.sec.gov/Archives/edgar/data/863015/000104746914005795/a2220481zex-10_55.htm" TargetMode="External"/><Relationship Id="rId179" Type="http://schemas.openxmlformats.org/officeDocument/2006/relationships/hyperlink" Target="http://www.sec.gov/Archives/edgar/data/863015/000104746914005795/a2220481zex-10_56.htm" TargetMode="External"/><Relationship Id="rId180" Type="http://schemas.openxmlformats.org/officeDocument/2006/relationships/hyperlink" Target="http://www.sec.gov/Archives/edgar/data/863015/000104746915005507/a2225088zex-10_62.htm" TargetMode="External"/><Relationship Id="rId181" Type="http://schemas.openxmlformats.org/officeDocument/2006/relationships/hyperlink" Target="http://www.sec.gov/Archives/edgar/data/1476246/000110465910013715/a10-5254_1ex10d20.htm" TargetMode="External"/><Relationship Id="rId182" Type="http://schemas.openxmlformats.org/officeDocument/2006/relationships/hyperlink" Target="http://www.sec.gov/Archives/edgar/data/1476246/000110465910013715/a10-5254_1ex10d20a.htm" TargetMode="External"/><Relationship Id="rId183" Type="http://schemas.openxmlformats.org/officeDocument/2006/relationships/hyperlink" Target="http://www.sec.gov/Archives/edgar/data/1476246/000110465910013715/a10-5254_1ex10d20b.htm" TargetMode="External"/><Relationship Id="rId184" Type="http://schemas.openxmlformats.org/officeDocument/2006/relationships/hyperlink" Target="http://www.sec.gov/Archives/edgar/data/1476246/000110465910045371/a10-13083_1ex10d1.htm" TargetMode="External"/><Relationship Id="rId185" Type="http://schemas.openxmlformats.org/officeDocument/2006/relationships/hyperlink" Target="http://www.sec.gov/Archives/edgar/data/1476246/000147624614000009/a2014-09x3010q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2020-02-28T17:07:36Z</dcterms:created>
  <dcterms:modified xsi:type="dcterms:W3CDTF">2020-02-28T17:07:36Z</dcterms:modified>
</cp:coreProperties>
</file>