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612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366395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jc w:val="center"/>
        <w:ind w:right="-279"/>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29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77"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(Mark One)</w:t>
      </w:r>
    </w:p>
    <w:p>
      <w:pPr>
        <w:ind w:left="1400" w:right="260" w:hanging="787"/>
        <w:spacing w:after="0" w:line="229" w:lineRule="auto"/>
        <w:tabs>
          <w:tab w:leader="none" w:pos="1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18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1400" w:right="240" w:hanging="787"/>
        <w:spacing w:after="0" w:line="237" w:lineRule="auto"/>
        <w:tabs>
          <w:tab w:leader="none" w:pos="14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480"/>
        <w:spacing w:after="0"/>
        <w:tabs>
          <w:tab w:leader="none" w:pos="61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185" w:lineRule="exact"/>
        <w:rPr>
          <w:sz w:val="24"/>
          <w:szCs w:val="24"/>
          <w:color w:val="auto"/>
        </w:rPr>
      </w:pPr>
    </w:p>
    <w:p>
      <w:pPr>
        <w:jc w:val="center"/>
        <w:ind w:right="-299"/>
        <w:spacing w:after="0" w:line="207" w:lineRule="exact"/>
        <w:rPr>
          <w:sz w:val="20"/>
          <w:szCs w:val="20"/>
          <w:color w:val="auto"/>
        </w:rPr>
      </w:pPr>
      <w:r>
        <w:rPr>
          <w:rFonts w:ascii="Arial" w:cs="Arial" w:eastAsia="Arial" w:hAnsi="Arial"/>
          <w:sz w:val="18"/>
          <w:szCs w:val="18"/>
          <w:b w:val="1"/>
          <w:bCs w:val="1"/>
          <w:color w:val="auto"/>
        </w:rPr>
        <w:t>Commission File No. 001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36629</w:t>
      </w:r>
    </w:p>
    <w:p>
      <w:pPr>
        <w:spacing w:after="0" w:line="5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ELDORADO RESORTS, INC.</w:t>
      </w:r>
    </w:p>
    <w:p>
      <w:pPr>
        <w:jc w:val="center"/>
        <w:ind w:right="-29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100"/>
          </w:cols>
          <w:pgMar w:left="760" w:top="220" w:right="1039" w:bottom="1440" w:gutter="0" w:footer="0" w:header="0"/>
        </w:sectPr>
      </w:pPr>
    </w:p>
    <w:p>
      <w:pPr>
        <w:spacing w:after="0" w:line="45"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Nevada</w:t>
      </w:r>
    </w:p>
    <w:p>
      <w:pPr>
        <w:ind w:left="1640"/>
        <w:spacing w:after="0" w:line="229" w:lineRule="auto"/>
        <w:rPr>
          <w:sz w:val="20"/>
          <w:szCs w:val="20"/>
          <w:color w:val="auto"/>
        </w:rPr>
      </w:pPr>
      <w:r>
        <w:rPr>
          <w:rFonts w:ascii="Arial" w:cs="Arial" w:eastAsia="Arial" w:hAnsi="Arial"/>
          <w:sz w:val="16"/>
          <w:szCs w:val="16"/>
          <w:color w:val="auto"/>
        </w:rPr>
        <w:t>(State or other jurisdiction of</w:t>
      </w: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1640"/>
        <w:spacing w:after="0" w:line="207" w:lineRule="exact"/>
        <w:rPr>
          <w:sz w:val="20"/>
          <w:szCs w:val="20"/>
          <w:color w:val="auto"/>
        </w:rPr>
      </w:pPr>
      <w:r>
        <w:rPr>
          <w:rFonts w:ascii="Arial" w:cs="Arial" w:eastAsia="Arial" w:hAnsi="Arial"/>
          <w:sz w:val="18"/>
          <w:szCs w:val="18"/>
          <w:b w:val="1"/>
          <w:bCs w:val="1"/>
          <w:color w:val="auto"/>
        </w:rPr>
        <w:t>46</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3657681</w:t>
      </w:r>
    </w:p>
    <w:p>
      <w:pPr>
        <w:jc w:val="center"/>
        <w:ind w:right="1640"/>
        <w:spacing w:after="0" w:line="203" w:lineRule="auto"/>
        <w:rPr>
          <w:sz w:val="20"/>
          <w:szCs w:val="20"/>
          <w:color w:val="auto"/>
        </w:rPr>
      </w:pPr>
      <w:r>
        <w:rPr>
          <w:rFonts w:ascii="Arial" w:cs="Arial" w:eastAsia="Arial" w:hAnsi="Arial"/>
          <w:sz w:val="18"/>
          <w:szCs w:val="18"/>
          <w:color w:val="auto"/>
        </w:rPr>
        <w:t>(I.R.S. Employer</w:t>
      </w:r>
    </w:p>
    <w:p>
      <w:pPr>
        <w:jc w:val="center"/>
        <w:ind w:right="1640"/>
        <w:spacing w:after="0"/>
        <w:rPr>
          <w:sz w:val="20"/>
          <w:szCs w:val="20"/>
          <w:color w:val="auto"/>
        </w:rPr>
      </w:pPr>
      <w:r>
        <w:rPr>
          <w:rFonts w:ascii="Arial" w:cs="Arial" w:eastAsia="Arial" w:hAnsi="Arial"/>
          <w:sz w:val="17"/>
          <w:szCs w:val="17"/>
          <w:color w:val="auto"/>
        </w:rPr>
        <w:t>Identification No.)</w:t>
      </w:r>
    </w:p>
    <w:p>
      <w:pPr>
        <w:spacing w:after="0" w:line="57" w:lineRule="exact"/>
        <w:rPr>
          <w:sz w:val="24"/>
          <w:szCs w:val="24"/>
          <w:color w:val="auto"/>
        </w:rPr>
      </w:pPr>
    </w:p>
    <w:p>
      <w:pPr>
        <w:sectPr>
          <w:pgSz w:w="11900" w:h="16838" w:orient="portrait"/>
          <w:cols w:equalWidth="0" w:num="2">
            <w:col w:w="6400" w:space="720"/>
            <w:col w:w="2980"/>
          </w:cols>
          <w:pgMar w:left="760" w:top="220" w:right="1039" w:bottom="1440" w:gutter="0" w:footer="0" w:header="0"/>
          <w:type w:val="continuous"/>
        </w:sectPr>
      </w:pPr>
    </w:p>
    <w:p>
      <w:pPr>
        <w:ind w:left="3020"/>
        <w:spacing w:after="0"/>
        <w:rPr>
          <w:sz w:val="20"/>
          <w:szCs w:val="20"/>
          <w:color w:val="auto"/>
        </w:rPr>
      </w:pPr>
      <w:r>
        <w:rPr>
          <w:rFonts w:ascii="Arial" w:cs="Arial" w:eastAsia="Arial" w:hAnsi="Arial"/>
          <w:sz w:val="18"/>
          <w:szCs w:val="18"/>
          <w:b w:val="1"/>
          <w:bCs w:val="1"/>
          <w:color w:val="auto"/>
        </w:rPr>
        <w:t>100 West Liberty Street, Suite 1150, Reno, Nevada 89501</w:t>
      </w:r>
    </w:p>
    <w:p>
      <w:pPr>
        <w:ind w:left="3280"/>
        <w:spacing w:after="0"/>
        <w:rPr>
          <w:sz w:val="20"/>
          <w:szCs w:val="20"/>
          <w:color w:val="auto"/>
        </w:rPr>
      </w:pPr>
      <w:r>
        <w:rPr>
          <w:rFonts w:ascii="Arial" w:cs="Arial" w:eastAsia="Arial" w:hAnsi="Arial"/>
          <w:sz w:val="18"/>
          <w:szCs w:val="18"/>
          <w:color w:val="auto"/>
        </w:rPr>
        <w:t>(Address and zip code of principal executive offices)</w:t>
      </w:r>
    </w:p>
    <w:p>
      <w:pPr>
        <w:spacing w:after="0" w:line="45" w:lineRule="exact"/>
        <w:rPr>
          <w:sz w:val="24"/>
          <w:szCs w:val="24"/>
          <w:color w:val="auto"/>
        </w:rPr>
      </w:pPr>
    </w:p>
    <w:p>
      <w:pPr>
        <w:jc w:val="center"/>
        <w:ind w:right="-279"/>
        <w:spacing w:after="0" w:line="207" w:lineRule="exact"/>
        <w:rPr>
          <w:sz w:val="20"/>
          <w:szCs w:val="20"/>
          <w:color w:val="auto"/>
        </w:rPr>
      </w:pPr>
      <w:r>
        <w:rPr>
          <w:rFonts w:ascii="Arial" w:cs="Arial" w:eastAsia="Arial" w:hAnsi="Arial"/>
          <w:sz w:val="18"/>
          <w:szCs w:val="18"/>
          <w:b w:val="1"/>
          <w:bCs w:val="1"/>
          <w:color w:val="auto"/>
        </w:rPr>
        <w:t>(775) 328</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0100</w:t>
      </w:r>
    </w:p>
    <w:p>
      <w:pPr>
        <w:jc w:val="center"/>
        <w:ind w:right="-279"/>
        <w:spacing w:after="0"/>
        <w:rPr>
          <w:sz w:val="20"/>
          <w:szCs w:val="20"/>
          <w:color w:val="auto"/>
        </w:rPr>
      </w:pPr>
      <w:r>
        <w:rPr>
          <w:rFonts w:ascii="Arial" w:cs="Arial" w:eastAsia="Arial" w:hAnsi="Arial"/>
          <w:sz w:val="18"/>
          <w:szCs w:val="18"/>
          <w:color w:val="auto"/>
        </w:rPr>
        <w:t>(Registrant’s telephone number, including area code)</w:t>
      </w:r>
    </w:p>
    <w:p>
      <w:pPr>
        <w:spacing w:after="0" w:line="74" w:lineRule="exact"/>
        <w:rPr>
          <w:sz w:val="24"/>
          <w:szCs w:val="24"/>
          <w:color w:val="auto"/>
        </w:rPr>
      </w:pPr>
    </w:p>
    <w:p>
      <w:pPr>
        <w:ind w:right="160" w:firstLine="648"/>
        <w:spacing w:after="0" w:line="235"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9" w:lineRule="exact"/>
        <w:rPr>
          <w:sz w:val="24"/>
          <w:szCs w:val="24"/>
          <w:color w:val="auto"/>
        </w:rPr>
      </w:pPr>
    </w:p>
    <w:p>
      <w:pPr>
        <w:jc w:val="both"/>
        <w:ind w:right="420" w:firstLine="648"/>
        <w:spacing w:after="0" w:line="195" w:lineRule="exact"/>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6"/>
          <w:szCs w:val="16"/>
          <w:color w:val="auto"/>
        </w:rPr>
        <w:t>‑</w:t>
      </w:r>
      <w:r>
        <w:rPr>
          <w:rFonts w:ascii="Arial" w:cs="Arial" w:eastAsia="Arial" w:hAnsi="Arial"/>
          <w:sz w:val="16"/>
          <w:szCs w:val="16"/>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firstLine="648"/>
        <w:spacing w:after="0" w:line="194"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w:t>
      </w:r>
      <w:r>
        <w:rPr>
          <w:rFonts w:ascii="MS PGothic" w:cs="MS PGothic" w:eastAsia="MS PGothic" w:hAnsi="MS PGothic"/>
          <w:sz w:val="18"/>
          <w:szCs w:val="18"/>
          <w:color w:val="auto"/>
        </w:rPr>
        <w:t>‑</w:t>
      </w:r>
      <w:r>
        <w:rPr>
          <w:rFonts w:ascii="Arial" w:cs="Arial" w:eastAsia="Arial" w:hAnsi="Arial"/>
          <w:sz w:val="18"/>
          <w:szCs w:val="18"/>
          <w:color w:val="auto"/>
        </w:rPr>
        <w:t>accelerated filer, or a smaller reporting company. See the definitions of “large accelerated filer,” “accelerated filer,” and “smaller reporting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23" w:lineRule="exact"/>
        <w:rPr>
          <w:sz w:val="24"/>
          <w:szCs w:val="24"/>
          <w:color w:val="auto"/>
        </w:rPr>
      </w:pPr>
    </w:p>
    <w:p>
      <w:pPr>
        <w:ind w:left="440"/>
        <w:spacing w:after="0" w:line="207" w:lineRule="exact"/>
        <w:tabs>
          <w:tab w:leader="none" w:pos="3080" w:val="left"/>
          <w:tab w:leader="none" w:pos="5340" w:val="left"/>
          <w:tab w:leader="none" w:pos="7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6" w:lineRule="exact"/>
        <w:rPr>
          <w:sz w:val="24"/>
          <w:szCs w:val="24"/>
          <w:color w:val="auto"/>
        </w:rPr>
      </w:pPr>
    </w:p>
    <w:p>
      <w:pPr>
        <w:jc w:val="center"/>
        <w:ind w:left="2080"/>
        <w:spacing w:after="0"/>
        <w:rPr>
          <w:sz w:val="20"/>
          <w:szCs w:val="20"/>
          <w:color w:val="auto"/>
        </w:rPr>
      </w:pPr>
      <w:r>
        <w:rPr>
          <w:rFonts w:ascii="Arial" w:cs="Arial" w:eastAsia="Arial" w:hAnsi="Arial"/>
          <w:sz w:val="14"/>
          <w:szCs w:val="14"/>
          <w:color w:val="auto"/>
        </w:rPr>
        <w:t>(Do not check if a</w:t>
      </w:r>
    </w:p>
    <w:p>
      <w:pPr>
        <w:spacing w:after="0" w:line="9" w:lineRule="exact"/>
        <w:rPr>
          <w:sz w:val="24"/>
          <w:szCs w:val="24"/>
          <w:color w:val="auto"/>
        </w:rPr>
      </w:pPr>
    </w:p>
    <w:p>
      <w:pPr>
        <w:jc w:val="center"/>
        <w:ind w:left="2080"/>
        <w:spacing w:after="0"/>
        <w:rPr>
          <w:sz w:val="20"/>
          <w:szCs w:val="20"/>
          <w:color w:val="auto"/>
        </w:rPr>
      </w:pPr>
      <w:r>
        <w:rPr>
          <w:rFonts w:ascii="Arial" w:cs="Arial" w:eastAsia="Arial" w:hAnsi="Arial"/>
          <w:sz w:val="14"/>
          <w:szCs w:val="14"/>
          <w:color w:val="auto"/>
        </w:rPr>
        <w:t>smaller reporting company)</w:t>
      </w:r>
    </w:p>
    <w:p>
      <w:pPr>
        <w:spacing w:after="0" w:line="61" w:lineRule="exact"/>
        <w:rPr>
          <w:sz w:val="24"/>
          <w:szCs w:val="24"/>
          <w:color w:val="auto"/>
        </w:rPr>
      </w:pPr>
    </w:p>
    <w:p>
      <w:pPr>
        <w:ind w:left="640"/>
        <w:spacing w:after="0" w:line="184" w:lineRule="exact"/>
        <w:rPr>
          <w:sz w:val="20"/>
          <w:szCs w:val="20"/>
          <w:color w:val="auto"/>
        </w:rPr>
      </w:pPr>
      <w:r>
        <w:rPr>
          <w:rFonts w:ascii="Arial" w:cs="Arial" w:eastAsia="Arial" w:hAnsi="Arial"/>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Arial" w:cs="Arial" w:eastAsia="Arial" w:hAnsi="Arial"/>
          <w:sz w:val="16"/>
          <w:szCs w:val="16"/>
          <w:color w:val="auto"/>
        </w:rPr>
        <w:t xml:space="preserve">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2" w:lineRule="exact"/>
        <w:rPr>
          <w:sz w:val="24"/>
          <w:szCs w:val="24"/>
          <w:color w:val="auto"/>
        </w:rPr>
      </w:pPr>
    </w:p>
    <w:p>
      <w:pPr>
        <w:ind w:right="440" w:firstLine="648"/>
        <w:spacing w:after="0" w:line="235" w:lineRule="auto"/>
        <w:rPr>
          <w:sz w:val="20"/>
          <w:szCs w:val="20"/>
          <w:color w:val="auto"/>
        </w:rPr>
      </w:pPr>
      <w:r>
        <w:rPr>
          <w:rFonts w:ascii="Arial" w:cs="Arial" w:eastAsia="Arial" w:hAnsi="Arial"/>
          <w:sz w:val="18"/>
          <w:szCs w:val="18"/>
          <w:color w:val="auto"/>
        </w:rPr>
        <w:t>The number of shares of the Registrant’s Common Stock, $0.00001 par value per share, outstanding as of April 29, 2016 was 47,075,635.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120650</wp:posOffset>
            </wp:positionV>
            <wp:extent cx="6612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806450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100"/>
          </w:cols>
          <w:pgMar w:left="760" w:top="220" w:right="10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ELDORADO RESORTS, INC.</w:t>
      </w:r>
    </w:p>
    <w:p>
      <w:pPr>
        <w:jc w:val="center"/>
        <w:ind w:left="720"/>
        <w:spacing w:after="0" w:line="203" w:lineRule="auto"/>
        <w:rPr>
          <w:sz w:val="20"/>
          <w:szCs w:val="20"/>
          <w:color w:val="auto"/>
        </w:rPr>
      </w:pPr>
      <w:r>
        <w:rPr>
          <w:rFonts w:ascii="Arial" w:cs="Arial" w:eastAsia="Arial" w:hAnsi="Arial"/>
          <w:sz w:val="18"/>
          <w:szCs w:val="18"/>
          <w:b w:val="1"/>
          <w:bCs w:val="1"/>
          <w:color w:val="auto"/>
        </w:rPr>
        <w:t>QUARTERLY REPORT FOR THE THREE MONTHS ENDED</w:t>
      </w:r>
    </w:p>
    <w:p>
      <w:pPr>
        <w:jc w:val="center"/>
        <w:ind w:left="720"/>
        <w:spacing w:after="0" w:line="204" w:lineRule="auto"/>
        <w:rPr>
          <w:sz w:val="20"/>
          <w:szCs w:val="20"/>
          <w:color w:val="auto"/>
        </w:rPr>
      </w:pPr>
      <w:r>
        <w:rPr>
          <w:rFonts w:ascii="Arial" w:cs="Arial" w:eastAsia="Arial" w:hAnsi="Arial"/>
          <w:sz w:val="18"/>
          <w:szCs w:val="18"/>
          <w:b w:val="1"/>
          <w:bCs w:val="1"/>
          <w:color w:val="auto"/>
        </w:rPr>
        <w:t>MARCH 31, 2016</w:t>
      </w:r>
    </w:p>
    <w:p>
      <w:pPr>
        <w:jc w:val="center"/>
        <w:ind w:left="720"/>
        <w:spacing w:after="0"/>
        <w:rPr>
          <w:sz w:val="20"/>
          <w:szCs w:val="20"/>
          <w:color w:val="auto"/>
        </w:rPr>
      </w:pPr>
      <w:r>
        <w:rPr>
          <w:rFonts w:ascii="Arial" w:cs="Arial" w:eastAsia="Arial" w:hAnsi="Arial"/>
          <w:sz w:val="18"/>
          <w:szCs w:val="18"/>
          <w:b w:val="1"/>
          <w:bCs w:val="1"/>
          <w:color w:val="auto"/>
        </w:rPr>
        <w:t>TABLE OF CONTENTS</w:t>
      </w:r>
    </w:p>
    <w:p>
      <w:pPr>
        <w:spacing w:after="0" w:line="31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 w:lineRule="exact"/>
        <w:rPr>
          <w:sz w:val="20"/>
          <w:szCs w:val="20"/>
          <w:color w:val="auto"/>
        </w:rPr>
      </w:pPr>
    </w:p>
    <w:p>
      <w:pPr>
        <w:spacing w:after="0"/>
        <w:tabs>
          <w:tab w:leader="none" w:pos="800" w:val="left"/>
        </w:tabs>
        <w:rPr>
          <w:rFonts w:ascii="Arial" w:cs="Arial" w:eastAsia="Arial" w:hAnsi="Arial"/>
          <w:sz w:val="17"/>
          <w:szCs w:val="17"/>
          <w:u w:val="single" w:color="auto"/>
          <w:color w:val="0000EE"/>
        </w:rPr>
      </w:pPr>
      <w:hyperlink w:anchor="page3">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
        <w:r>
          <w:rPr>
            <w:rFonts w:ascii="Arial" w:cs="Arial" w:eastAsia="Arial" w:hAnsi="Arial"/>
            <w:sz w:val="17"/>
            <w:szCs w:val="17"/>
            <w:u w:val="single" w:color="auto"/>
            <w:color w:val="0000EE"/>
          </w:rPr>
          <w:t>FINANCIAL STATEMENTS</w:t>
        </w:r>
      </w:hyperlink>
    </w:p>
    <w:p>
      <w:pPr>
        <w:spacing w:after="0" w:line="7" w:lineRule="exact"/>
        <w:rPr>
          <w:sz w:val="20"/>
          <w:szCs w:val="20"/>
          <w:color w:val="auto"/>
        </w:rPr>
      </w:pPr>
    </w:p>
    <w:p>
      <w:pPr>
        <w:ind w:left="8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 at March 31, 2016 (unaudited) and December 31, 2015</w:t>
        </w:r>
      </w:hyperlink>
    </w:p>
    <w:p>
      <w:pPr>
        <w:spacing w:after="0" w:line="9" w:lineRule="exact"/>
        <w:rPr>
          <w:sz w:val="20"/>
          <w:szCs w:val="20"/>
          <w:color w:val="auto"/>
        </w:rPr>
      </w:pPr>
    </w:p>
    <w:p>
      <w:pPr>
        <w:ind w:left="960" w:right="720" w:hanging="129"/>
        <w:spacing w:after="0" w:line="204" w:lineRule="auto"/>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 for the Three Months Ended March 31, 2016 and 2015</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(unaudited)</w:t>
        </w:r>
      </w:hyperlink>
    </w:p>
    <w:p>
      <w:pPr>
        <w:spacing w:after="0" w:line="1" w:lineRule="exact"/>
        <w:rPr>
          <w:sz w:val="20"/>
          <w:szCs w:val="20"/>
          <w:color w:val="auto"/>
        </w:rPr>
      </w:pPr>
    </w:p>
    <w:p>
      <w:pPr>
        <w:ind w:left="960" w:hanging="129"/>
        <w:spacing w:after="0" w:line="203" w:lineRule="auto"/>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Statements of Comprehensive Income (Loss) for the Three Months Ended March 31, 2016</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and 2015 (unaudited)</w:t>
        </w:r>
      </w:hyperlink>
    </w:p>
    <w:p>
      <w:pPr>
        <w:spacing w:after="0" w:line="1" w:lineRule="exact"/>
        <w:rPr>
          <w:sz w:val="20"/>
          <w:szCs w:val="20"/>
          <w:color w:val="auto"/>
        </w:rPr>
      </w:pPr>
    </w:p>
    <w:p>
      <w:pPr>
        <w:ind w:left="960" w:right="660" w:hanging="129"/>
        <w:spacing w:after="0" w:line="203"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Cash Flows for the Three Months Ended March 31, 2016 and 2015</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(unaudited)</w:t>
        </w:r>
      </w:hyperlink>
    </w:p>
    <w:p>
      <w:pPr>
        <w:spacing w:after="0" w:line="1" w:lineRule="exact"/>
        <w:rPr>
          <w:sz w:val="20"/>
          <w:szCs w:val="20"/>
          <w:color w:val="auto"/>
        </w:rPr>
      </w:pPr>
    </w:p>
    <w:p>
      <w:pPr>
        <w:ind w:left="8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Notes to Unaudited Consolidated Financial Statements</w:t>
        </w:r>
      </w:hyperlink>
    </w:p>
    <w:p>
      <w:pPr>
        <w:spacing w:after="0" w:line="7" w:lineRule="exact"/>
        <w:rPr>
          <w:sz w:val="20"/>
          <w:szCs w:val="20"/>
          <w:color w:val="auto"/>
        </w:rPr>
      </w:pPr>
    </w:p>
    <w:p>
      <w:pPr>
        <w:ind w:left="820" w:right="20" w:hanging="952"/>
        <w:spacing w:after="0" w:line="204" w:lineRule="auto"/>
        <w:tabs>
          <w:tab w:leader="none" w:pos="800" w:val="left"/>
        </w:tabs>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Item 2.</w:t>
        </w:r>
      </w:hyperlink>
      <w:r>
        <w:rPr>
          <w:rFonts w:ascii="Arial" w:cs="Arial" w:eastAsia="Arial" w:hAnsi="Arial"/>
          <w:sz w:val="18"/>
          <w:szCs w:val="18"/>
          <w:u w:val="single" w:color="auto"/>
          <w:color w:val="0000EE"/>
        </w:rPr>
        <w:tab/>
      </w:r>
      <w:hyperlink w:anchor="page26">
        <w:r>
          <w:rPr>
            <w:rFonts w:ascii="Arial" w:cs="Arial" w:eastAsia="Arial" w:hAnsi="Arial"/>
            <w:sz w:val="18"/>
            <w:szCs w:val="18"/>
            <w:u w:val="single" w:color="auto"/>
            <w:color w:val="0000EE"/>
          </w:rPr>
          <w:t>MANAGEMENT’S DISCUSSION AND ANALYSIS OF FINANCIAL CONDITION AND RESULTS</w:t>
        </w:r>
      </w:hyperlink>
      <w:r>
        <w:rPr>
          <w:rFonts w:ascii="Arial" w:cs="Arial" w:eastAsia="Arial" w:hAnsi="Arial"/>
          <w:sz w:val="18"/>
          <w:szCs w:val="18"/>
          <w:u w:val="single" w:color="auto"/>
          <w:color w:val="0000EE"/>
        </w:rPr>
        <w:t xml:space="preserve"> </w:t>
      </w:r>
      <w:hyperlink w:anchor="page26">
        <w:r>
          <w:rPr>
            <w:rFonts w:ascii="Arial" w:cs="Arial" w:eastAsia="Arial" w:hAnsi="Arial"/>
            <w:sz w:val="18"/>
            <w:szCs w:val="18"/>
            <w:u w:val="single" w:color="auto"/>
            <w:color w:val="0000EE"/>
          </w:rPr>
          <w:t>OF OPERATIONS</w:t>
        </w:r>
      </w:hyperlink>
    </w:p>
    <w:p>
      <w:pPr>
        <w:spacing w:after="0" w:line="1" w:lineRule="exact"/>
        <w:rPr>
          <w:rFonts w:ascii="Arial" w:cs="Arial" w:eastAsia="Arial" w:hAnsi="Arial"/>
          <w:sz w:val="18"/>
          <w:szCs w:val="18"/>
          <w:u w:val="single" w:color="auto"/>
          <w:color w:val="0000EE"/>
        </w:rPr>
      </w:pPr>
    </w:p>
    <w:p>
      <w:pPr>
        <w:ind w:right="1380"/>
        <w:spacing w:after="0" w:line="249" w:lineRule="auto"/>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QUANTITATIVE AND QUALITATIVE DISCLOSURES ABOUT MARKET RISK</w:t>
        </w:r>
      </w:hyperlink>
      <w:r>
        <w:rPr>
          <w:rFonts w:ascii="Arial" w:cs="Arial" w:eastAsia="Arial" w:hAnsi="Arial"/>
          <w:sz w:val="18"/>
          <w:szCs w:val="18"/>
          <w:u w:val="single" w:color="auto"/>
          <w:color w:val="0000EE"/>
        </w:rPr>
        <w:t xml:space="preserve"> </w:t>
      </w:r>
      <w:hyperlink w:anchor="page38">
        <w:r>
          <w:rPr>
            <w:rFonts w:ascii="Arial" w:cs="Arial" w:eastAsia="Arial" w:hAnsi="Arial"/>
            <w:sz w:val="18"/>
            <w:szCs w:val="18"/>
            <w:u w:val="single" w:color="auto"/>
            <w:color w:val="0000EE"/>
          </w:rPr>
          <w:t>Item 4. CONTROLS AND PROCEDURES</w:t>
        </w:r>
      </w:hyperlink>
    </w:p>
    <w:p>
      <w:pPr>
        <w:spacing w:after="0" w:line="206" w:lineRule="auto"/>
        <w:rPr>
          <w:rFonts w:ascii="Arial" w:cs="Arial" w:eastAsia="Arial" w:hAnsi="Arial"/>
          <w:sz w:val="18"/>
          <w:szCs w:val="18"/>
          <w:b w:val="1"/>
          <w:bCs w:val="1"/>
          <w:u w:val="single" w:color="auto"/>
          <w:color w:val="0000EE"/>
        </w:rPr>
      </w:pPr>
      <w:hyperlink w:anchor="page39">
        <w:r>
          <w:rPr>
            <w:rFonts w:ascii="Arial" w:cs="Arial" w:eastAsia="Arial" w:hAnsi="Arial"/>
            <w:sz w:val="18"/>
            <w:szCs w:val="18"/>
            <w:b w:val="1"/>
            <w:bCs w:val="1"/>
            <w:u w:val="single" w:color="auto"/>
            <w:color w:val="0000EE"/>
          </w:rPr>
          <w:t>PART II. OTHER INFORMATION</w:t>
        </w:r>
      </w:hyperlink>
    </w:p>
    <w:p>
      <w:pPr>
        <w:spacing w:after="0" w:line="1" w:lineRule="exact"/>
        <w:rPr>
          <w:sz w:val="20"/>
          <w:szCs w:val="20"/>
          <w:color w:val="auto"/>
        </w:rPr>
      </w:pPr>
    </w:p>
    <w:p>
      <w:pPr>
        <w:spacing w:after="0"/>
        <w:tabs>
          <w:tab w:leader="none" w:pos="800" w:val="left"/>
        </w:tabs>
        <w:rPr>
          <w:rFonts w:ascii="Arial" w:cs="Arial" w:eastAsia="Arial" w:hAnsi="Arial"/>
          <w:sz w:val="17"/>
          <w:szCs w:val="17"/>
          <w:u w:val="single" w:color="auto"/>
          <w:color w:val="0000EE"/>
        </w:rPr>
      </w:pPr>
      <w:hyperlink w:anchor="page39">
        <w:r>
          <w:rPr>
            <w:rFonts w:ascii="Arial" w:cs="Arial" w:eastAsia="Arial" w:hAnsi="Arial"/>
            <w:sz w:val="18"/>
            <w:szCs w:val="18"/>
            <w:u w:val="single" w:color="auto"/>
            <w:color w:val="0000EE"/>
          </w:rPr>
          <w:t>Item 1.</w:t>
        </w:r>
      </w:hyperlink>
      <w:r>
        <w:rPr>
          <w:rFonts w:ascii="Arial" w:cs="Arial" w:eastAsia="Arial" w:hAnsi="Arial"/>
          <w:sz w:val="18"/>
          <w:szCs w:val="18"/>
          <w:u w:val="single" w:color="auto"/>
          <w:color w:val="0000EE"/>
        </w:rPr>
        <w:tab/>
      </w:r>
      <w:hyperlink w:anchor="page39">
        <w:r>
          <w:rPr>
            <w:rFonts w:ascii="Arial" w:cs="Arial" w:eastAsia="Arial" w:hAnsi="Arial"/>
            <w:sz w:val="17"/>
            <w:szCs w:val="17"/>
            <w:u w:val="single" w:color="auto"/>
            <w:color w:val="0000EE"/>
          </w:rPr>
          <w:t>LEGAL PROCEEDINGS</w:t>
        </w:r>
      </w:hyperlink>
    </w:p>
    <w:p>
      <w:pPr>
        <w:spacing w:after="0" w:line="7" w:lineRule="exact"/>
        <w:rPr>
          <w:sz w:val="20"/>
          <w:szCs w:val="20"/>
          <w:color w:val="auto"/>
        </w:rPr>
      </w:pPr>
    </w:p>
    <w:p>
      <w:pPr>
        <w:spacing w:after="0"/>
        <w:tabs>
          <w:tab w:leader="none" w:pos="800" w:val="left"/>
        </w:tabs>
        <w:rPr>
          <w:rFonts w:ascii="Arial" w:cs="Arial" w:eastAsia="Arial" w:hAnsi="Arial"/>
          <w:sz w:val="17"/>
          <w:szCs w:val="17"/>
          <w:u w:val="single" w:color="auto"/>
          <w:color w:val="0000EE"/>
        </w:rPr>
      </w:pPr>
      <w:hyperlink w:anchor="page39">
        <w:r>
          <w:rPr>
            <w:rFonts w:ascii="Arial" w:cs="Arial" w:eastAsia="Arial" w:hAnsi="Arial"/>
            <w:sz w:val="18"/>
            <w:szCs w:val="18"/>
            <w:u w:val="single" w:color="auto"/>
            <w:color w:val="0000EE"/>
          </w:rPr>
          <w:t>Item 1A.</w:t>
        </w:r>
      </w:hyperlink>
      <w:r>
        <w:rPr>
          <w:rFonts w:ascii="Arial" w:cs="Arial" w:eastAsia="Arial" w:hAnsi="Arial"/>
          <w:sz w:val="18"/>
          <w:szCs w:val="18"/>
          <w:u w:val="single" w:color="auto"/>
          <w:color w:val="0000EE"/>
        </w:rPr>
        <w:tab/>
      </w:r>
      <w:hyperlink w:anchor="page39">
        <w:r>
          <w:rPr>
            <w:rFonts w:ascii="Arial" w:cs="Arial" w:eastAsia="Arial" w:hAnsi="Arial"/>
            <w:sz w:val="17"/>
            <w:szCs w:val="17"/>
            <w:u w:val="single" w:color="auto"/>
            <w:color w:val="0000EE"/>
          </w:rPr>
          <w:t>RISK FACTORS</w:t>
        </w:r>
      </w:hyperlink>
    </w:p>
    <w:p>
      <w:pPr>
        <w:spacing w:after="0" w:line="9" w:lineRule="exact"/>
        <w:rPr>
          <w:sz w:val="20"/>
          <w:szCs w:val="20"/>
          <w:color w:val="auto"/>
        </w:rPr>
      </w:pPr>
    </w:p>
    <w:p>
      <w:pPr>
        <w:ind w:right="1440"/>
        <w:spacing w:after="0" w:line="250" w:lineRule="auto"/>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2. UNREGISTERED SALES OF EQUITY SECURITIES AND USE OF PROCEEDS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3. DEFAULTS UPON SENIOR SECURITIES</w:t>
        </w:r>
      </w:hyperlink>
      <w:r>
        <w:rPr>
          <w:rFonts w:ascii="Arial" w:cs="Arial" w:eastAsia="Arial" w:hAnsi="Arial"/>
          <w:sz w:val="18"/>
          <w:szCs w:val="18"/>
          <w:u w:val="single" w:color="auto"/>
          <w:color w:val="0000EE"/>
        </w:rPr>
        <w:t xml:space="preserve"> </w:t>
      </w:r>
      <w:hyperlink w:anchor="page39">
        <w:r>
          <w:rPr>
            <w:rFonts w:ascii="Arial" w:cs="Arial" w:eastAsia="Arial" w:hAnsi="Arial"/>
            <w:sz w:val="18"/>
            <w:szCs w:val="18"/>
            <w:u w:val="single" w:color="auto"/>
            <w:color w:val="0000EE"/>
          </w:rPr>
          <w:t>Item 4. MINE SAFETY DISCLOSURES</w:t>
        </w:r>
      </w:hyperlink>
    </w:p>
    <w:p>
      <w:pPr>
        <w:spacing w:after="0" w:line="1" w:lineRule="exact"/>
        <w:rPr>
          <w:rFonts w:ascii="Arial" w:cs="Arial" w:eastAsia="Arial" w:hAnsi="Arial"/>
          <w:sz w:val="18"/>
          <w:szCs w:val="18"/>
          <w:u w:val="single" w:color="auto"/>
          <w:color w:val="0000EE"/>
        </w:rPr>
      </w:pPr>
    </w:p>
    <w:p>
      <w:pPr>
        <w:spacing w:after="0"/>
        <w:tabs>
          <w:tab w:leader="none" w:pos="800" w:val="left"/>
        </w:tabs>
        <w:rPr>
          <w:rFonts w:ascii="Arial" w:cs="Arial" w:eastAsia="Arial" w:hAnsi="Arial"/>
          <w:sz w:val="17"/>
          <w:szCs w:val="17"/>
          <w:u w:val="single" w:color="auto"/>
          <w:color w:val="0000EE"/>
        </w:rPr>
      </w:pPr>
      <w:hyperlink w:anchor="page39">
        <w:r>
          <w:rPr>
            <w:rFonts w:ascii="Arial" w:cs="Arial" w:eastAsia="Arial" w:hAnsi="Arial"/>
            <w:sz w:val="18"/>
            <w:szCs w:val="18"/>
            <w:u w:val="single" w:color="auto"/>
            <w:color w:val="0000EE"/>
          </w:rPr>
          <w:t>Item 5.</w:t>
        </w:r>
      </w:hyperlink>
      <w:r>
        <w:rPr>
          <w:rFonts w:ascii="Arial" w:cs="Arial" w:eastAsia="Arial" w:hAnsi="Arial"/>
          <w:sz w:val="18"/>
          <w:szCs w:val="18"/>
          <w:u w:val="single" w:color="auto"/>
          <w:color w:val="0000EE"/>
        </w:rPr>
        <w:tab/>
      </w:r>
      <w:hyperlink w:anchor="page39">
        <w:r>
          <w:rPr>
            <w:rFonts w:ascii="Arial" w:cs="Arial" w:eastAsia="Arial" w:hAnsi="Arial"/>
            <w:sz w:val="17"/>
            <w:szCs w:val="17"/>
            <w:u w:val="single" w:color="auto"/>
            <w:color w:val="0000EE"/>
          </w:rPr>
          <w:t>OTHER INFORMATION</w:t>
        </w:r>
      </w:hyperlink>
    </w:p>
    <w:p>
      <w:pPr>
        <w:spacing w:after="0" w:line="9" w:lineRule="exact"/>
        <w:rPr>
          <w:sz w:val="20"/>
          <w:szCs w:val="20"/>
          <w:color w:val="auto"/>
        </w:rPr>
      </w:pPr>
    </w:p>
    <w:p>
      <w:pPr>
        <w:spacing w:after="0"/>
        <w:tabs>
          <w:tab w:leader="none" w:pos="800" w:val="left"/>
        </w:tabs>
        <w:rPr>
          <w:rFonts w:ascii="Arial" w:cs="Arial" w:eastAsia="Arial" w:hAnsi="Arial"/>
          <w:sz w:val="17"/>
          <w:szCs w:val="17"/>
          <w:u w:val="single" w:color="auto"/>
          <w:color w:val="0000EE"/>
        </w:rPr>
      </w:pPr>
      <w:hyperlink w:anchor="page40">
        <w:r>
          <w:rPr>
            <w:rFonts w:ascii="Arial" w:cs="Arial" w:eastAsia="Arial" w:hAnsi="Arial"/>
            <w:sz w:val="18"/>
            <w:szCs w:val="18"/>
            <w:u w:val="single" w:color="auto"/>
            <w:color w:val="0000EE"/>
          </w:rPr>
          <w:t>Item 6.</w:t>
        </w:r>
      </w:hyperlink>
      <w:r>
        <w:rPr>
          <w:rFonts w:ascii="Arial" w:cs="Arial" w:eastAsia="Arial" w:hAnsi="Arial"/>
          <w:sz w:val="18"/>
          <w:szCs w:val="18"/>
          <w:u w:val="single" w:color="auto"/>
          <w:color w:val="0000EE"/>
        </w:rPr>
        <w:tab/>
      </w:r>
      <w:hyperlink w:anchor="page40">
        <w:r>
          <w:rPr>
            <w:rFonts w:ascii="Arial" w:cs="Arial" w:eastAsia="Arial" w:hAnsi="Arial"/>
            <w:sz w:val="17"/>
            <w:szCs w:val="17"/>
            <w:u w:val="single" w:color="auto"/>
            <w:color w:val="0000EE"/>
          </w:rPr>
          <w:t>EXHIBITS</w:t>
        </w:r>
      </w:hyperlink>
    </w:p>
    <w:p>
      <w:pPr>
        <w:spacing w:after="0" w:line="9"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1">
        <w:r>
          <w:rPr>
            <w:rFonts w:ascii="Arial" w:cs="Arial" w:eastAsia="Arial" w:hAnsi="Arial"/>
            <w:sz w:val="18"/>
            <w:szCs w:val="18"/>
            <w:b w:val="1"/>
            <w:bCs w:val="1"/>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left="7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79"/>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29845</wp:posOffset>
            </wp:positionV>
            <wp:extent cx="317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500" cy="8890"/>
                    </a:xfrm>
                    <a:prstGeom prst="rect">
                      <a:avLst/>
                    </a:prstGeom>
                    <a:noFill/>
                  </pic:spPr>
                </pic:pic>
              </a:graphicData>
            </a:graphic>
          </wp:anchor>
        </w:drawing>
      </w:r>
    </w:p>
    <w:p>
      <w:pPr>
        <w:spacing w:after="0" w:line="202"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2</w:t>
      </w:r>
    </w:p>
    <w:p>
      <w:pPr>
        <w:spacing w:after="0" w:line="130"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3</w:t>
      </w:r>
    </w:p>
    <w:p>
      <w:pPr>
        <w:spacing w:after="0" w:line="144"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4</w:t>
      </w:r>
    </w:p>
    <w:p>
      <w:pPr>
        <w:spacing w:after="0" w:line="144"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right"/>
        <w:ind w:right="19"/>
        <w:spacing w:after="0"/>
        <w:rPr>
          <w:sz w:val="20"/>
          <w:szCs w:val="20"/>
          <w:color w:val="auto"/>
        </w:rPr>
      </w:pPr>
      <w:r>
        <w:rPr>
          <w:rFonts w:ascii="Arial" w:cs="Arial" w:eastAsia="Arial" w:hAnsi="Arial"/>
          <w:sz w:val="18"/>
          <w:szCs w:val="18"/>
          <w:color w:val="auto"/>
        </w:rPr>
        <w:t>6</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25</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37</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38</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39</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40</w:t>
      </w:r>
    </w:p>
    <w:p>
      <w:pPr>
        <w:sectPr>
          <w:pgSz w:w="11900" w:h="16838" w:orient="portrait"/>
          <w:cols w:equalWidth="0" w:num="2">
            <w:col w:w="8340" w:space="320"/>
            <w:col w:w="379"/>
          </w:cols>
          <w:pgMar w:left="1420" w:top="111" w:right="1440"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PART I-FINANCIAL INFORMATION</w:t>
      </w:r>
    </w:p>
    <w:p>
      <w:pPr>
        <w:spacing w:after="0" w:line="144"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Item 1. Financial Statements.</w:t>
      </w:r>
    </w:p>
    <w:p>
      <w:pPr>
        <w:spacing w:after="0" w:line="133"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3040"/>
              <w:spacing w:after="0"/>
              <w:rPr>
                <w:sz w:val="20"/>
                <w:szCs w:val="20"/>
                <w:color w:val="auto"/>
              </w:rPr>
            </w:pPr>
            <w:r>
              <w:rPr>
                <w:rFonts w:ascii="Arial" w:cs="Arial" w:eastAsia="Arial" w:hAnsi="Arial"/>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CURRENT ASSETS: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44,099</w:t>
            </w:r>
          </w:p>
        </w:tc>
        <w:tc>
          <w:tcPr>
            <w:tcW w:w="40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78,278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9,054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9,534</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11,319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11,742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income taxes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11,956</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10,795</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current assets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85,962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116,179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INVESTMENT IN AND ADVANCES TO UNCONSOLIDATED AFFILIATES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1,286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618,121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625,416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GAMING LICENSES AND OTHER INTANGIBLES, NET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490,831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492,033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66,826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NON-OPERATING REAL PROPERTY</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16,259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OTHER ASSETS, net</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6,783</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assets</w:t>
            </w:r>
          </w:p>
        </w:tc>
        <w:tc>
          <w:tcPr>
            <w:tcW w:w="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1,286,068</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1,325,008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CURRENT LIABILITIES: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long-term debt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4,527</w:t>
            </w:r>
          </w:p>
        </w:tc>
        <w:tc>
          <w:tcPr>
            <w:tcW w:w="400" w:type="dxa"/>
            <w:vAlign w:val="bottom"/>
            <w:gridSpan w:val="2"/>
            <w:shd w:val="clear" w:color="auto" w:fill="CCEEFF"/>
          </w:tcPr>
          <w:p>
            <w:pPr>
              <w:jc w:val="right"/>
              <w:ind w:right="6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4,524</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20,691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Due to affiliates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Accrued property, gaming and other taxes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12,006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payroll and related</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15,187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Accrued interest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7,720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14,978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Income taxes payable</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5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Accrued other liabilities</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35,549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31,798</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color w:val="auto"/>
              </w:rPr>
              <w:t>Total current liabilities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95,853</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105,710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tcPr>
          <w:p>
            <w:pPr>
              <w:spacing w:after="0"/>
              <w:rPr>
                <w:sz w:val="20"/>
                <w:szCs w:val="20"/>
                <w:color w:val="auto"/>
              </w:rPr>
            </w:pPr>
            <w:r>
              <w:rPr>
                <w:rFonts w:ascii="Arial" w:cs="Arial" w:eastAsia="Arial" w:hAnsi="Arial"/>
                <w:sz w:val="14"/>
                <w:szCs w:val="14"/>
                <w:color w:val="auto"/>
              </w:rPr>
              <w:t>LONG-TERM DEBT, LESS CURRENT PORTION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826,798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861,713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80,392</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78,797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LIABILITIES</w:t>
            </w: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liabilities</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1,011,112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1,054,341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440"/>
              <w:spacing w:after="0"/>
              <w:rPr>
                <w:sz w:val="20"/>
                <w:szCs w:val="20"/>
                <w:color w:val="auto"/>
              </w:rPr>
            </w:pPr>
            <w:r>
              <w:rPr>
                <w:rFonts w:ascii="Arial" w:cs="Arial" w:eastAsia="Arial" w:hAnsi="Arial"/>
                <w:sz w:val="14"/>
                <w:szCs w:val="14"/>
                <w:color w:val="auto"/>
              </w:rPr>
              <w:t>COMMITMENTS AND CONTINGENCIES (Note 10)</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500" w:type="dxa"/>
            <w:vAlign w:val="bottom"/>
          </w:tcPr>
          <w:p>
            <w:pPr>
              <w:ind w:left="220"/>
              <w:spacing w:after="0" w:line="108" w:lineRule="exact"/>
              <w:rPr>
                <w:sz w:val="20"/>
                <w:szCs w:val="20"/>
                <w:color w:val="auto"/>
              </w:rPr>
            </w:pPr>
            <w:r>
              <w:rPr>
                <w:rFonts w:ascii="Arial" w:cs="Arial" w:eastAsia="Arial" w:hAnsi="Arial"/>
                <w:sz w:val="12"/>
                <w:szCs w:val="12"/>
                <w:color w:val="auto"/>
              </w:rPr>
              <w:t>Common stock, 100,000,000 shares authorized, 46,942,735 and 46,817,829 issued and outstanding, par</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value $0.00001 as of March 31, 2016 and December 31, 2015, respectively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Paid-in capital</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171,816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170,897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103,128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99,758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income</w:t>
            </w:r>
          </w:p>
        </w:tc>
        <w:tc>
          <w:tcPr>
            <w:tcW w:w="3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50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 stockholders’ equity</w:t>
            </w:r>
          </w:p>
        </w:tc>
        <w:tc>
          <w:tcPr>
            <w:tcW w:w="3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274,956</w:t>
            </w:r>
          </w:p>
        </w:tc>
        <w:tc>
          <w:tcPr>
            <w:tcW w:w="2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270,667</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500" w:type="dxa"/>
            <w:vAlign w:val="bottom"/>
            <w:tcBorders>
              <w:bottom w:val="single" w:sz="8" w:color="CCEEFF"/>
            </w:tcBorders>
            <w:shd w:val="clear" w:color="auto" w:fill="CCEEFF"/>
          </w:tcPr>
          <w:p>
            <w:pPr>
              <w:ind w:left="44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1,286,068</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1,325,008</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jc w:val="center"/>
        <w:spacing w:after="0" w:line="215" w:lineRule="auto"/>
        <w:rPr>
          <w:sz w:val="20"/>
          <w:szCs w:val="20"/>
          <w:color w:val="auto"/>
        </w:rPr>
      </w:pPr>
      <w:r>
        <w:rPr>
          <w:rFonts w:ascii="Arial" w:cs="Arial" w:eastAsia="Arial" w:hAnsi="Arial"/>
          <w:sz w:val="17"/>
          <w:szCs w:val="17"/>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9060"/>
          </w:cols>
          <w:pgMar w:left="1420" w:top="112"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5754370" cy="1200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Pari-mutuel commissions</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Food and beverage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Hotel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Less-promotional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146050"/>
                    </a:xfrm>
                    <a:prstGeom prst="rect">
                      <a:avLst/>
                    </a:prstGeom>
                    <a:noFill/>
                  </pic:spPr>
                </pic:pic>
              </a:graphicData>
            </a:graphic>
          </wp:anchor>
        </w:drawing>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operating revenues</w:t>
      </w:r>
    </w:p>
    <w:p>
      <w:pPr>
        <w:jc w:val="center"/>
        <w:ind w:right="4933"/>
        <w:spacing w:after="0"/>
        <w:rPr>
          <w:sz w:val="20"/>
          <w:szCs w:val="20"/>
          <w:color w:val="auto"/>
        </w:rPr>
      </w:pPr>
      <w:r>
        <w:rPr>
          <w:rFonts w:ascii="Arial" w:cs="Arial" w:eastAsia="Arial" w:hAnsi="Arial"/>
          <w:sz w:val="16"/>
          <w:szCs w:val="16"/>
          <w:color w:val="auto"/>
        </w:rPr>
        <w:t>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Casino</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Pari-mutuel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Food and beverage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Hotel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Marketing and promotions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575437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line="3" w:lineRule="exact"/>
        <w:rPr>
          <w:sz w:val="20"/>
          <w:szCs w:val="20"/>
          <w:color w:val="auto"/>
        </w:rPr>
      </w:pPr>
    </w:p>
    <w:p>
      <w:pPr>
        <w:ind w:right="2193"/>
        <w:spacing w:after="0" w:line="250" w:lineRule="auto"/>
        <w:rPr>
          <w:sz w:val="20"/>
          <w:szCs w:val="20"/>
          <w:color w:val="auto"/>
        </w:rPr>
      </w:pPr>
      <w:r>
        <w:rPr>
          <w:rFonts w:ascii="Arial" w:cs="Arial" w:eastAsia="Arial" w:hAnsi="Arial"/>
          <w:sz w:val="18"/>
          <w:szCs w:val="18"/>
          <w:color w:val="auto"/>
        </w:rPr>
        <w:t>GAIN ON SALE OR DISPOSAL OF PROPERTY ACQUISITION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575437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EQUITY IN LOSS OF UNCONSOLIDATED AFFILIATE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wp:posOffset>
            </wp:positionV>
            <wp:extent cx="575437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EXPENSE:</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575437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137160"/>
                    </a:xfrm>
                    <a:prstGeom prst="rect">
                      <a:avLst/>
                    </a:prstGeom>
                    <a:noFill/>
                  </pic:spPr>
                </pic:pic>
              </a:graphicData>
            </a:graphic>
          </wp:anchor>
        </w:drawing>
      </w:r>
    </w:p>
    <w:p>
      <w:pPr>
        <w:ind w:left="220"/>
        <w:spacing w:after="0" w:line="229" w:lineRule="auto"/>
        <w:rPr>
          <w:sz w:val="20"/>
          <w:szCs w:val="20"/>
          <w:color w:val="auto"/>
        </w:rPr>
      </w:pPr>
      <w:r>
        <w:rPr>
          <w:rFonts w:ascii="Arial" w:cs="Arial" w:eastAsia="Arial" w:hAnsi="Arial"/>
          <w:sz w:val="18"/>
          <w:szCs w:val="18"/>
          <w:color w:val="auto"/>
        </w:rPr>
        <w:t>Loss on early retirement of debt, net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293"/>
        <w:spacing w:after="0"/>
        <w:rPr>
          <w:sz w:val="20"/>
          <w:szCs w:val="20"/>
          <w:color w:val="auto"/>
        </w:rPr>
      </w:pPr>
      <w:r>
        <w:rPr>
          <w:rFonts w:ascii="Arial" w:cs="Arial" w:eastAsia="Arial" w:hAnsi="Arial"/>
          <w:sz w:val="14"/>
          <w:szCs w:val="14"/>
          <w:b w:val="1"/>
          <w:bCs w:val="1"/>
          <w:color w:val="auto"/>
        </w:rPr>
        <w:t>Three Months Ended</w:t>
      </w:r>
    </w:p>
    <w:p>
      <w:pPr>
        <w:spacing w:after="0" w:line="18" w:lineRule="exact"/>
        <w:rPr>
          <w:sz w:val="20"/>
          <w:szCs w:val="20"/>
          <w:color w:val="auto"/>
        </w:rPr>
      </w:pPr>
    </w:p>
    <w:p>
      <w:pPr>
        <w:jc w:val="center"/>
        <w:ind w:right="293"/>
        <w:spacing w:after="0"/>
        <w:rPr>
          <w:sz w:val="20"/>
          <w:szCs w:val="20"/>
          <w:color w:val="auto"/>
        </w:rPr>
      </w:pPr>
      <w:r>
        <w:rPr>
          <w:rFonts w:ascii="Arial" w:cs="Arial" w:eastAsia="Arial" w:hAnsi="Arial"/>
          <w:sz w:val="14"/>
          <w:szCs w:val="14"/>
          <w:b w:val="1"/>
          <w:bCs w:val="1"/>
          <w:color w:val="auto"/>
        </w:rPr>
        <w:t>March 31,</w:t>
      </w:r>
    </w:p>
    <w:p>
      <w:pPr>
        <w:ind w:left="347"/>
        <w:spacing w:after="0"/>
        <w:tabs>
          <w:tab w:leader="none" w:pos="1526"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-97155</wp:posOffset>
            </wp:positionV>
            <wp:extent cx="13804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49" w:lineRule="exact"/>
        <w:rPr>
          <w:sz w:val="20"/>
          <w:szCs w:val="20"/>
          <w:color w:val="auto"/>
        </w:rPr>
      </w:pPr>
    </w:p>
    <w:p>
      <w:pPr>
        <w:ind w:left="347" w:hanging="347"/>
        <w:spacing w:after="0"/>
        <w:tabs>
          <w:tab w:leader="none" w:pos="347" w:val="left"/>
        </w:tabs>
        <w:numPr>
          <w:ilvl w:val="0"/>
          <w:numId w:val="3"/>
        </w:numPr>
        <w:rPr>
          <w:rFonts w:ascii="Arial" w:cs="Arial" w:eastAsia="Arial" w:hAnsi="Arial"/>
          <w:sz w:val="18"/>
          <w:szCs w:val="18"/>
          <w:color w:val="auto"/>
        </w:rPr>
      </w:pPr>
      <w:r>
        <w:rPr>
          <w:rFonts w:ascii="Arial" w:cs="Arial" w:eastAsia="Arial" w:hAnsi="Arial"/>
          <w:sz w:val="18"/>
          <w:szCs w:val="18"/>
          <w:color w:val="auto"/>
        </w:rPr>
        <w:t>169,078   $   147,662</w:t>
      </w:r>
    </w:p>
    <w:p>
      <w:pPr>
        <w:spacing w:after="0" w:line="25" w:lineRule="exact"/>
        <w:rPr>
          <w:rFonts w:ascii="Arial" w:cs="Arial" w:eastAsia="Arial" w:hAnsi="Arial"/>
          <w:sz w:val="18"/>
          <w:szCs w:val="18"/>
          <w:color w:val="auto"/>
        </w:rPr>
      </w:pPr>
    </w:p>
    <w:p>
      <w:pPr>
        <w:ind w:left="667"/>
        <w:spacing w:after="0"/>
        <w:rPr>
          <w:rFonts w:ascii="Arial" w:cs="Arial" w:eastAsia="Arial" w:hAnsi="Arial"/>
          <w:sz w:val="18"/>
          <w:szCs w:val="18"/>
          <w:color w:val="auto"/>
        </w:rPr>
      </w:pPr>
      <w:r>
        <w:rPr>
          <w:rFonts w:ascii="Arial" w:cs="Arial" w:eastAsia="Arial" w:hAnsi="Arial"/>
          <w:sz w:val="18"/>
          <w:szCs w:val="18"/>
          <w:color w:val="auto"/>
        </w:rPr>
        <w:t>684</w:t>
      </w:r>
      <w:r>
        <w:rPr>
          <w:rFonts w:ascii="Arial" w:cs="Arial" w:eastAsia="Arial" w:hAnsi="Arial"/>
          <w:sz w:val="16"/>
          <w:szCs w:val="16"/>
          <w:color w:val="auto"/>
        </w:rPr>
        <w:t>1,205</w:t>
      </w:r>
    </w:p>
    <w:p>
      <w:pPr>
        <w:spacing w:after="0" w:line="7" w:lineRule="exact"/>
        <w:rPr>
          <w:sz w:val="20"/>
          <w:szCs w:val="20"/>
          <w:color w:val="auto"/>
        </w:rPr>
      </w:pPr>
    </w:p>
    <w:p>
      <w:pPr>
        <w:ind w:left="447"/>
        <w:spacing w:after="0"/>
        <w:tabs>
          <w:tab w:leader="none" w:pos="1606" w:val="left"/>
        </w:tabs>
        <w:rPr>
          <w:sz w:val="20"/>
          <w:szCs w:val="20"/>
          <w:color w:val="auto"/>
        </w:rPr>
      </w:pPr>
      <w:r>
        <w:rPr>
          <w:rFonts w:ascii="Arial" w:cs="Arial" w:eastAsia="Arial" w:hAnsi="Arial"/>
          <w:sz w:val="17"/>
          <w:szCs w:val="17"/>
          <w:color w:val="auto"/>
        </w:rPr>
        <w:t>33,739</w:t>
      </w:r>
      <w:r>
        <w:rPr>
          <w:sz w:val="20"/>
          <w:szCs w:val="20"/>
          <w:color w:val="auto"/>
        </w:rPr>
        <w:tab/>
      </w:r>
      <w:r>
        <w:rPr>
          <w:rFonts w:ascii="Arial" w:cs="Arial" w:eastAsia="Arial" w:hAnsi="Arial"/>
          <w:sz w:val="17"/>
          <w:szCs w:val="17"/>
          <w:color w:val="auto"/>
        </w:rPr>
        <w:t>22,182</w:t>
      </w:r>
    </w:p>
    <w:p>
      <w:pPr>
        <w:spacing w:after="0" w:line="21" w:lineRule="exact"/>
        <w:rPr>
          <w:sz w:val="20"/>
          <w:szCs w:val="20"/>
          <w:color w:val="auto"/>
        </w:rPr>
      </w:pPr>
    </w:p>
    <w:p>
      <w:pPr>
        <w:ind w:left="447"/>
        <w:spacing w:after="0"/>
        <w:tabs>
          <w:tab w:leader="none" w:pos="1686" w:val="left"/>
        </w:tabs>
        <w:rPr>
          <w:sz w:val="20"/>
          <w:szCs w:val="20"/>
          <w:color w:val="auto"/>
        </w:rPr>
      </w:pPr>
      <w:r>
        <w:rPr>
          <w:rFonts w:ascii="Arial" w:cs="Arial" w:eastAsia="Arial" w:hAnsi="Arial"/>
          <w:sz w:val="18"/>
          <w:szCs w:val="18"/>
          <w:color w:val="auto"/>
        </w:rPr>
        <w:t>20,165</w:t>
      </w:r>
      <w:r>
        <w:rPr>
          <w:sz w:val="20"/>
          <w:szCs w:val="20"/>
          <w:color w:val="auto"/>
        </w:rPr>
        <w:tab/>
      </w:r>
      <w:r>
        <w:rPr>
          <w:rFonts w:ascii="Arial" w:cs="Arial" w:eastAsia="Arial" w:hAnsi="Arial"/>
          <w:sz w:val="18"/>
          <w:szCs w:val="18"/>
          <w:color w:val="auto"/>
        </w:rPr>
        <w:t>7,034</w:t>
      </w:r>
    </w:p>
    <w:p>
      <w:pPr>
        <w:spacing w:after="0" w:line="9" w:lineRule="exact"/>
        <w:rPr>
          <w:sz w:val="20"/>
          <w:szCs w:val="20"/>
          <w:color w:val="auto"/>
        </w:rPr>
      </w:pPr>
    </w:p>
    <w:p>
      <w:pPr>
        <w:ind w:left="447"/>
        <w:spacing w:after="0"/>
        <w:tabs>
          <w:tab w:leader="none" w:pos="1686" w:val="left"/>
        </w:tabs>
        <w:rPr>
          <w:sz w:val="20"/>
          <w:szCs w:val="20"/>
          <w:color w:val="auto"/>
        </w:rPr>
      </w:pPr>
      <w:r>
        <w:rPr>
          <w:rFonts w:ascii="Arial" w:cs="Arial" w:eastAsia="Arial" w:hAnsi="Arial"/>
          <w:sz w:val="18"/>
          <w:szCs w:val="18"/>
          <w:color w:val="auto"/>
        </w:rPr>
        <w:t>10,885</w:t>
      </w:r>
      <w:r>
        <w:rPr>
          <w:sz w:val="20"/>
          <w:szCs w:val="20"/>
          <w:color w:val="auto"/>
        </w:rPr>
        <w:tab/>
      </w:r>
      <w:r>
        <w:rPr>
          <w:rFonts w:ascii="Arial" w:cs="Arial" w:eastAsia="Arial" w:hAnsi="Arial"/>
          <w:sz w:val="18"/>
          <w:szCs w:val="18"/>
          <w:color w:val="auto"/>
        </w:rPr>
        <w:t>4,726</w:t>
      </w:r>
    </w:p>
    <w:p>
      <w:pPr>
        <w:spacing w:after="0" w:line="9" w:lineRule="exact"/>
        <w:rPr>
          <w:sz w:val="20"/>
          <w:szCs w:val="20"/>
          <w:color w:val="auto"/>
        </w:rPr>
      </w:pPr>
    </w:p>
    <w:p>
      <w:pPr>
        <w:ind w:left="347"/>
        <w:spacing w:after="0"/>
        <w:tabs>
          <w:tab w:leader="none" w:pos="1506" w:val="left"/>
        </w:tabs>
        <w:rPr>
          <w:sz w:val="20"/>
          <w:szCs w:val="20"/>
          <w:color w:val="auto"/>
        </w:rPr>
      </w:pPr>
      <w:r>
        <w:rPr>
          <w:rFonts w:ascii="Arial" w:cs="Arial" w:eastAsia="Arial" w:hAnsi="Arial"/>
          <w:sz w:val="17"/>
          <w:szCs w:val="17"/>
          <w:color w:val="auto"/>
        </w:rPr>
        <w:t>234,551</w:t>
      </w:r>
      <w:r>
        <w:rPr>
          <w:sz w:val="20"/>
          <w:szCs w:val="20"/>
          <w:color w:val="auto"/>
        </w:rPr>
        <w:tab/>
      </w:r>
      <w:r>
        <w:rPr>
          <w:rFonts w:ascii="Arial" w:cs="Arial" w:eastAsia="Arial" w:hAnsi="Arial"/>
          <w:sz w:val="17"/>
          <w:szCs w:val="17"/>
          <w:color w:val="auto"/>
        </w:rPr>
        <w:t>182,809</w:t>
      </w:r>
    </w:p>
    <w:p>
      <w:pPr>
        <w:spacing w:after="0" w:line="34" w:lineRule="exact"/>
        <w:rPr>
          <w:sz w:val="20"/>
          <w:szCs w:val="20"/>
          <w:color w:val="auto"/>
        </w:rPr>
      </w:pPr>
    </w:p>
    <w:p>
      <w:pPr>
        <w:jc w:val="both"/>
        <w:ind w:left="367"/>
        <w:spacing w:after="0"/>
        <w:tabs>
          <w:tab w:leader="none" w:pos="1546" w:val="left"/>
        </w:tabs>
        <w:rPr>
          <w:sz w:val="20"/>
          <w:szCs w:val="20"/>
          <w:color w:val="auto"/>
        </w:rPr>
      </w:pPr>
      <w:r>
        <w:rPr>
          <w:rFonts w:ascii="Arial" w:cs="Arial" w:eastAsia="Arial" w:hAnsi="Arial"/>
          <w:sz w:val="18"/>
          <w:szCs w:val="18"/>
          <w:color w:val="auto"/>
        </w:rPr>
        <w:t>(20,985)</w:t>
      </w:r>
      <w:r>
        <w:rPr>
          <w:sz w:val="20"/>
          <w:szCs w:val="20"/>
          <w:color w:val="auto"/>
        </w:rPr>
        <w:tab/>
      </w:r>
      <w:r>
        <w:rPr>
          <w:rFonts w:ascii="Arial" w:cs="Arial" w:eastAsia="Arial" w:hAnsi="Arial"/>
          <w:sz w:val="18"/>
          <w:szCs w:val="18"/>
          <w:color w:val="auto"/>
        </w:rPr>
        <w:t>(15,358)</w:t>
      </w:r>
    </w:p>
    <w:p>
      <w:pPr>
        <w:spacing w:after="0" w:line="9" w:lineRule="exact"/>
        <w:rPr>
          <w:sz w:val="20"/>
          <w:szCs w:val="20"/>
          <w:color w:val="auto"/>
        </w:rPr>
      </w:pPr>
    </w:p>
    <w:p>
      <w:pPr>
        <w:ind w:left="347"/>
        <w:spacing w:after="0"/>
        <w:tabs>
          <w:tab w:leader="none" w:pos="1506" w:val="left"/>
        </w:tabs>
        <w:rPr>
          <w:sz w:val="20"/>
          <w:szCs w:val="20"/>
          <w:color w:val="auto"/>
        </w:rPr>
      </w:pPr>
      <w:r>
        <w:rPr>
          <w:rFonts w:ascii="Arial" w:cs="Arial" w:eastAsia="Arial" w:hAnsi="Arial"/>
          <w:sz w:val="17"/>
          <w:szCs w:val="17"/>
          <w:color w:val="auto"/>
        </w:rPr>
        <w:t>213,566</w:t>
      </w:r>
      <w:r>
        <w:rPr>
          <w:sz w:val="20"/>
          <w:szCs w:val="20"/>
          <w:color w:val="auto"/>
        </w:rPr>
        <w:tab/>
      </w:r>
      <w:r>
        <w:rPr>
          <w:rFonts w:ascii="Arial" w:cs="Arial" w:eastAsia="Arial" w:hAnsi="Arial"/>
          <w:sz w:val="17"/>
          <w:szCs w:val="17"/>
          <w:color w:val="auto"/>
        </w:rPr>
        <w:t>167,451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13804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89" w:lineRule="exact"/>
        <w:rPr>
          <w:sz w:val="20"/>
          <w:szCs w:val="20"/>
          <w:color w:val="auto"/>
        </w:rPr>
      </w:pPr>
    </w:p>
    <w:p>
      <w:pPr>
        <w:ind w:left="447"/>
        <w:spacing w:after="0"/>
        <w:tabs>
          <w:tab w:leader="none" w:pos="1606" w:val="left"/>
        </w:tabs>
        <w:rPr>
          <w:sz w:val="20"/>
          <w:szCs w:val="20"/>
          <w:color w:val="auto"/>
        </w:rPr>
      </w:pPr>
      <w:r>
        <w:rPr>
          <w:rFonts w:ascii="Arial" w:cs="Arial" w:eastAsia="Arial" w:hAnsi="Arial"/>
          <w:sz w:val="17"/>
          <w:szCs w:val="17"/>
          <w:color w:val="auto"/>
        </w:rPr>
        <w:t>96,262</w:t>
      </w:r>
      <w:r>
        <w:rPr>
          <w:sz w:val="20"/>
          <w:szCs w:val="20"/>
          <w:color w:val="auto"/>
        </w:rPr>
        <w:tab/>
      </w:r>
      <w:r>
        <w:rPr>
          <w:rFonts w:ascii="Arial" w:cs="Arial" w:eastAsia="Arial" w:hAnsi="Arial"/>
          <w:sz w:val="17"/>
          <w:szCs w:val="17"/>
          <w:color w:val="auto"/>
        </w:rPr>
        <w:t>86,818</w:t>
      </w:r>
    </w:p>
    <w:p>
      <w:pPr>
        <w:spacing w:after="0" w:line="35" w:lineRule="exact"/>
        <w:rPr>
          <w:sz w:val="20"/>
          <w:szCs w:val="20"/>
          <w:color w:val="auto"/>
        </w:rPr>
      </w:pPr>
    </w:p>
    <w:p>
      <w:pPr>
        <w:ind w:left="527"/>
        <w:spacing w:after="0"/>
        <w:tabs>
          <w:tab w:leader="none" w:pos="1686" w:val="left"/>
        </w:tabs>
        <w:rPr>
          <w:sz w:val="20"/>
          <w:szCs w:val="20"/>
          <w:color w:val="auto"/>
        </w:rPr>
      </w:pPr>
      <w:r>
        <w:rPr>
          <w:rFonts w:ascii="Arial" w:cs="Arial" w:eastAsia="Arial" w:hAnsi="Arial"/>
          <w:sz w:val="18"/>
          <w:szCs w:val="18"/>
          <w:color w:val="auto"/>
        </w:rPr>
        <w:t>1,324</w:t>
      </w:r>
      <w:r>
        <w:rPr>
          <w:sz w:val="20"/>
          <w:szCs w:val="20"/>
          <w:color w:val="auto"/>
        </w:rPr>
        <w:tab/>
      </w:r>
      <w:r>
        <w:rPr>
          <w:rFonts w:ascii="Arial" w:cs="Arial" w:eastAsia="Arial" w:hAnsi="Arial"/>
          <w:sz w:val="18"/>
          <w:szCs w:val="18"/>
          <w:color w:val="auto"/>
        </w:rPr>
        <w:t>1,696</w:t>
      </w:r>
    </w:p>
    <w:p>
      <w:pPr>
        <w:spacing w:after="0" w:line="9" w:lineRule="exact"/>
        <w:rPr>
          <w:sz w:val="20"/>
          <w:szCs w:val="20"/>
          <w:color w:val="auto"/>
        </w:rPr>
      </w:pPr>
    </w:p>
    <w:p>
      <w:pPr>
        <w:ind w:left="447"/>
        <w:spacing w:after="0"/>
        <w:tabs>
          <w:tab w:leader="none" w:pos="1606" w:val="left"/>
        </w:tabs>
        <w:rPr>
          <w:sz w:val="20"/>
          <w:szCs w:val="20"/>
          <w:color w:val="auto"/>
        </w:rPr>
      </w:pPr>
      <w:r>
        <w:rPr>
          <w:rFonts w:ascii="Arial" w:cs="Arial" w:eastAsia="Arial" w:hAnsi="Arial"/>
          <w:sz w:val="17"/>
          <w:szCs w:val="17"/>
          <w:color w:val="auto"/>
        </w:rPr>
        <w:t>19,728</w:t>
      </w:r>
      <w:r>
        <w:rPr>
          <w:sz w:val="20"/>
          <w:szCs w:val="20"/>
          <w:color w:val="auto"/>
        </w:rPr>
        <w:tab/>
      </w:r>
      <w:r>
        <w:rPr>
          <w:rFonts w:ascii="Arial" w:cs="Arial" w:eastAsia="Arial" w:hAnsi="Arial"/>
          <w:sz w:val="17"/>
          <w:szCs w:val="17"/>
          <w:color w:val="auto"/>
        </w:rPr>
        <w:t>11,921</w:t>
      </w:r>
    </w:p>
    <w:p>
      <w:pPr>
        <w:spacing w:after="0" w:line="21" w:lineRule="exact"/>
        <w:rPr>
          <w:sz w:val="20"/>
          <w:szCs w:val="20"/>
          <w:color w:val="auto"/>
        </w:rPr>
      </w:pPr>
    </w:p>
    <w:p>
      <w:pPr>
        <w:ind w:left="527"/>
        <w:spacing w:after="0"/>
        <w:tabs>
          <w:tab w:leader="none" w:pos="1686" w:val="left"/>
        </w:tabs>
        <w:rPr>
          <w:sz w:val="20"/>
          <w:szCs w:val="20"/>
          <w:color w:val="auto"/>
        </w:rPr>
      </w:pPr>
      <w:r>
        <w:rPr>
          <w:rFonts w:ascii="Arial" w:cs="Arial" w:eastAsia="Arial" w:hAnsi="Arial"/>
          <w:sz w:val="18"/>
          <w:szCs w:val="18"/>
          <w:color w:val="auto"/>
        </w:rPr>
        <w:t>7,129</w:t>
      </w:r>
      <w:r>
        <w:rPr>
          <w:sz w:val="20"/>
          <w:szCs w:val="20"/>
          <w:color w:val="auto"/>
        </w:rPr>
        <w:tab/>
      </w:r>
      <w:r>
        <w:rPr>
          <w:rFonts w:ascii="Arial" w:cs="Arial" w:eastAsia="Arial" w:hAnsi="Arial"/>
          <w:sz w:val="18"/>
          <w:szCs w:val="18"/>
          <w:color w:val="auto"/>
        </w:rPr>
        <w:t>2,190</w:t>
      </w:r>
    </w:p>
    <w:p>
      <w:pPr>
        <w:spacing w:after="0" w:line="9" w:lineRule="exact"/>
        <w:rPr>
          <w:sz w:val="20"/>
          <w:szCs w:val="20"/>
          <w:color w:val="auto"/>
        </w:rPr>
      </w:pPr>
    </w:p>
    <w:p>
      <w:pPr>
        <w:ind w:left="527"/>
        <w:spacing w:after="0"/>
        <w:tabs>
          <w:tab w:leader="none" w:pos="1686" w:val="left"/>
        </w:tabs>
        <w:rPr>
          <w:sz w:val="20"/>
          <w:szCs w:val="20"/>
          <w:color w:val="auto"/>
        </w:rPr>
      </w:pPr>
      <w:r>
        <w:rPr>
          <w:rFonts w:ascii="Arial" w:cs="Arial" w:eastAsia="Arial" w:hAnsi="Arial"/>
          <w:sz w:val="18"/>
          <w:szCs w:val="18"/>
          <w:color w:val="auto"/>
        </w:rPr>
        <w:t>6,074</w:t>
      </w:r>
      <w:r>
        <w:rPr>
          <w:sz w:val="20"/>
          <w:szCs w:val="20"/>
          <w:color w:val="auto"/>
        </w:rPr>
        <w:tab/>
      </w:r>
      <w:r>
        <w:rPr>
          <w:rFonts w:ascii="Arial" w:cs="Arial" w:eastAsia="Arial" w:hAnsi="Arial"/>
          <w:sz w:val="18"/>
          <w:szCs w:val="18"/>
          <w:color w:val="auto"/>
        </w:rPr>
        <w:t>2,867</w:t>
      </w:r>
    </w:p>
    <w:p>
      <w:pPr>
        <w:spacing w:after="0" w:line="9" w:lineRule="exact"/>
        <w:rPr>
          <w:sz w:val="20"/>
          <w:szCs w:val="20"/>
          <w:color w:val="auto"/>
        </w:rPr>
      </w:pPr>
    </w:p>
    <w:p>
      <w:pPr>
        <w:ind w:left="527"/>
        <w:spacing w:after="0"/>
        <w:tabs>
          <w:tab w:leader="none" w:pos="1686" w:val="left"/>
        </w:tabs>
        <w:rPr>
          <w:sz w:val="20"/>
          <w:szCs w:val="20"/>
          <w:color w:val="auto"/>
        </w:rPr>
      </w:pPr>
      <w:r>
        <w:rPr>
          <w:rFonts w:ascii="Arial" w:cs="Arial" w:eastAsia="Arial" w:hAnsi="Arial"/>
          <w:sz w:val="18"/>
          <w:szCs w:val="18"/>
          <w:color w:val="auto"/>
        </w:rPr>
        <w:t>9,574</w:t>
      </w:r>
      <w:r>
        <w:rPr>
          <w:sz w:val="20"/>
          <w:szCs w:val="20"/>
          <w:color w:val="auto"/>
        </w:rPr>
        <w:tab/>
      </w:r>
      <w:r>
        <w:rPr>
          <w:rFonts w:ascii="Arial" w:cs="Arial" w:eastAsia="Arial" w:hAnsi="Arial"/>
          <w:sz w:val="18"/>
          <w:szCs w:val="18"/>
          <w:color w:val="auto"/>
        </w:rPr>
        <w:t>7,101</w:t>
      </w:r>
    </w:p>
    <w:p>
      <w:pPr>
        <w:spacing w:after="0" w:line="9" w:lineRule="exact"/>
        <w:rPr>
          <w:sz w:val="20"/>
          <w:szCs w:val="20"/>
          <w:color w:val="auto"/>
        </w:rPr>
      </w:pPr>
    </w:p>
    <w:p>
      <w:pPr>
        <w:ind w:left="447"/>
        <w:spacing w:after="0"/>
        <w:tabs>
          <w:tab w:leader="none" w:pos="1606" w:val="left"/>
        </w:tabs>
        <w:rPr>
          <w:sz w:val="20"/>
          <w:szCs w:val="20"/>
          <w:color w:val="auto"/>
        </w:rPr>
      </w:pPr>
      <w:r>
        <w:rPr>
          <w:rFonts w:ascii="Arial" w:cs="Arial" w:eastAsia="Arial" w:hAnsi="Arial"/>
          <w:sz w:val="17"/>
          <w:szCs w:val="17"/>
          <w:color w:val="auto"/>
        </w:rPr>
        <w:t>31,655</w:t>
      </w:r>
      <w:r>
        <w:rPr>
          <w:sz w:val="20"/>
          <w:szCs w:val="20"/>
          <w:color w:val="auto"/>
        </w:rPr>
        <w:tab/>
      </w:r>
      <w:r>
        <w:rPr>
          <w:rFonts w:ascii="Arial" w:cs="Arial" w:eastAsia="Arial" w:hAnsi="Arial"/>
          <w:sz w:val="17"/>
          <w:szCs w:val="17"/>
          <w:color w:val="auto"/>
        </w:rPr>
        <w:t>23,544</w:t>
      </w:r>
    </w:p>
    <w:p>
      <w:pPr>
        <w:spacing w:after="0" w:line="21" w:lineRule="exact"/>
        <w:rPr>
          <w:sz w:val="20"/>
          <w:szCs w:val="20"/>
          <w:color w:val="auto"/>
        </w:rPr>
      </w:pPr>
    </w:p>
    <w:p>
      <w:pPr>
        <w:ind w:left="527"/>
        <w:spacing w:after="0"/>
        <w:tabs>
          <w:tab w:leader="none" w:pos="1686" w:val="left"/>
        </w:tabs>
        <w:rPr>
          <w:sz w:val="20"/>
          <w:szCs w:val="20"/>
          <w:color w:val="auto"/>
        </w:rPr>
      </w:pPr>
      <w:r>
        <w:rPr>
          <w:rFonts w:ascii="Arial" w:cs="Arial" w:eastAsia="Arial" w:hAnsi="Arial"/>
          <w:sz w:val="18"/>
          <w:szCs w:val="18"/>
          <w:color w:val="auto"/>
        </w:rPr>
        <w:t>6,904</w:t>
      </w:r>
      <w:r>
        <w:rPr>
          <w:sz w:val="20"/>
          <w:szCs w:val="20"/>
          <w:color w:val="auto"/>
        </w:rPr>
        <w:tab/>
      </w:r>
      <w:r>
        <w:rPr>
          <w:rFonts w:ascii="Arial" w:cs="Arial" w:eastAsia="Arial" w:hAnsi="Arial"/>
          <w:sz w:val="18"/>
          <w:szCs w:val="18"/>
          <w:color w:val="auto"/>
        </w:rPr>
        <w:t>4,160</w:t>
      </w:r>
    </w:p>
    <w:p>
      <w:pPr>
        <w:spacing w:after="0" w:line="9" w:lineRule="exact"/>
        <w:rPr>
          <w:sz w:val="20"/>
          <w:szCs w:val="20"/>
          <w:color w:val="auto"/>
        </w:rPr>
      </w:pPr>
    </w:p>
    <w:p>
      <w:pPr>
        <w:ind w:left="447"/>
        <w:spacing w:after="0"/>
        <w:tabs>
          <w:tab w:leader="none" w:pos="1606" w:val="left"/>
        </w:tabs>
        <w:rPr>
          <w:sz w:val="20"/>
          <w:szCs w:val="20"/>
          <w:color w:val="auto"/>
        </w:rPr>
      </w:pPr>
      <w:r>
        <w:rPr>
          <w:rFonts w:ascii="Arial" w:cs="Arial" w:eastAsia="Arial" w:hAnsi="Arial"/>
          <w:sz w:val="17"/>
          <w:szCs w:val="17"/>
          <w:color w:val="auto"/>
        </w:rPr>
        <w:t>16,204</w:t>
      </w:r>
      <w:r>
        <w:rPr>
          <w:sz w:val="20"/>
          <w:szCs w:val="20"/>
          <w:color w:val="auto"/>
        </w:rPr>
        <w:tab/>
      </w:r>
      <w:r>
        <w:rPr>
          <w:rFonts w:ascii="Arial" w:cs="Arial" w:eastAsia="Arial" w:hAnsi="Arial"/>
          <w:sz w:val="17"/>
          <w:szCs w:val="17"/>
          <w:color w:val="auto"/>
        </w:rPr>
        <w:t>14,469</w:t>
      </w:r>
    </w:p>
    <w:p>
      <w:pPr>
        <w:spacing w:after="0" w:line="21" w:lineRule="exact"/>
        <w:rPr>
          <w:sz w:val="20"/>
          <w:szCs w:val="20"/>
          <w:color w:val="auto"/>
        </w:rPr>
      </w:pPr>
    </w:p>
    <w:p>
      <w:pPr>
        <w:ind w:left="347"/>
        <w:spacing w:after="0"/>
        <w:tabs>
          <w:tab w:leader="none" w:pos="1506" w:val="left"/>
        </w:tabs>
        <w:rPr>
          <w:sz w:val="20"/>
          <w:szCs w:val="20"/>
          <w:color w:val="auto"/>
        </w:rPr>
      </w:pPr>
      <w:r>
        <w:rPr>
          <w:rFonts w:ascii="Arial" w:cs="Arial" w:eastAsia="Arial" w:hAnsi="Arial"/>
          <w:sz w:val="17"/>
          <w:szCs w:val="17"/>
          <w:color w:val="auto"/>
        </w:rPr>
        <w:t>194,854</w:t>
      </w:r>
      <w:r>
        <w:rPr>
          <w:sz w:val="20"/>
          <w:szCs w:val="20"/>
          <w:color w:val="auto"/>
        </w:rPr>
        <w:tab/>
      </w:r>
      <w:r>
        <w:rPr>
          <w:rFonts w:ascii="Arial" w:cs="Arial" w:eastAsia="Arial" w:hAnsi="Arial"/>
          <w:sz w:val="17"/>
          <w:szCs w:val="17"/>
          <w:color w:val="auto"/>
        </w:rPr>
        <w:t>154,766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13804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4" w:lineRule="exact"/>
        <w:rPr>
          <w:sz w:val="20"/>
          <w:szCs w:val="20"/>
          <w:color w:val="auto"/>
        </w:rPr>
      </w:pPr>
    </w:p>
    <w:p>
      <w:pPr>
        <w:ind w:left="747"/>
        <w:spacing w:after="0"/>
        <w:tabs>
          <w:tab w:leader="none" w:pos="2006"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1</w:t>
      </w:r>
    </w:p>
    <w:p>
      <w:pPr>
        <w:spacing w:after="0" w:line="9" w:lineRule="exact"/>
        <w:rPr>
          <w:sz w:val="20"/>
          <w:szCs w:val="20"/>
          <w:color w:val="auto"/>
        </w:rPr>
      </w:pPr>
    </w:p>
    <w:p>
      <w:pPr>
        <w:ind w:left="1867" w:hanging="1271"/>
        <w:spacing w:after="0"/>
        <w:tabs>
          <w:tab w:leader="none" w:pos="1867" w:val="left"/>
        </w:tabs>
        <w:numPr>
          <w:ilvl w:val="0"/>
          <w:numId w:val="4"/>
        </w:numPr>
        <w:rPr>
          <w:rFonts w:ascii="Arial" w:cs="Arial" w:eastAsia="Arial" w:hAnsi="Arial"/>
          <w:sz w:val="16"/>
          <w:szCs w:val="16"/>
          <w:color w:val="auto"/>
        </w:rPr>
      </w:pPr>
      <w:r>
        <w:rPr>
          <w:rFonts w:ascii="Arial" w:cs="Arial" w:eastAsia="Arial" w:hAnsi="Arial"/>
          <w:sz w:val="16"/>
          <w:szCs w:val="16"/>
          <w:color w:val="auto"/>
        </w:rPr>
        <w:t>(84)</w:t>
      </w:r>
    </w:p>
    <w:p>
      <w:pPr>
        <w:spacing w:after="0" w:line="32" w:lineRule="exact"/>
        <w:rPr>
          <w:rFonts w:ascii="Arial" w:cs="Arial" w:eastAsia="Arial" w:hAnsi="Arial"/>
          <w:sz w:val="16"/>
          <w:szCs w:val="16"/>
          <w:color w:val="auto"/>
        </w:rPr>
      </w:pPr>
    </w:p>
    <w:p>
      <w:pPr>
        <w:ind w:left="747"/>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3804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4" w:lineRule="exact"/>
        <w:rPr>
          <w:sz w:val="20"/>
          <w:szCs w:val="20"/>
          <w:color w:val="auto"/>
        </w:rPr>
      </w:pPr>
    </w:p>
    <w:p>
      <w:pPr>
        <w:ind w:left="447"/>
        <w:spacing w:after="0"/>
        <w:tabs>
          <w:tab w:leader="none" w:pos="1606" w:val="left"/>
        </w:tabs>
        <w:rPr>
          <w:sz w:val="20"/>
          <w:szCs w:val="20"/>
          <w:color w:val="auto"/>
        </w:rPr>
      </w:pPr>
      <w:r>
        <w:rPr>
          <w:rFonts w:ascii="Arial" w:cs="Arial" w:eastAsia="Arial" w:hAnsi="Arial"/>
          <w:sz w:val="17"/>
          <w:szCs w:val="17"/>
          <w:color w:val="auto"/>
        </w:rPr>
        <w:t>18,263</w:t>
      </w:r>
      <w:r>
        <w:rPr>
          <w:sz w:val="20"/>
          <w:szCs w:val="20"/>
          <w:color w:val="auto"/>
        </w:rPr>
        <w:tab/>
      </w:r>
      <w:r>
        <w:rPr>
          <w:rFonts w:ascii="Arial" w:cs="Arial" w:eastAsia="Arial" w:hAnsi="Arial"/>
          <w:sz w:val="17"/>
          <w:szCs w:val="17"/>
          <w:color w:val="auto"/>
        </w:rPr>
        <w:t>12,084</w:t>
      </w:r>
    </w:p>
    <w:p>
      <w:pPr>
        <w:spacing w:after="0" w:line="194" w:lineRule="exact"/>
        <w:rPr>
          <w:sz w:val="20"/>
          <w:szCs w:val="20"/>
          <w:color w:val="auto"/>
        </w:rPr>
      </w:pPr>
    </w:p>
    <w:p>
      <w:pPr>
        <w:jc w:val="both"/>
        <w:ind w:left="367"/>
        <w:spacing w:after="0"/>
        <w:tabs>
          <w:tab w:leader="none" w:pos="1546" w:val="left"/>
        </w:tabs>
        <w:rPr>
          <w:sz w:val="20"/>
          <w:szCs w:val="20"/>
          <w:color w:val="auto"/>
        </w:rPr>
      </w:pPr>
      <w:r>
        <w:rPr>
          <w:rFonts w:ascii="Arial" w:cs="Arial" w:eastAsia="Arial" w:hAnsi="Arial"/>
          <w:sz w:val="18"/>
          <w:szCs w:val="18"/>
          <w:color w:val="auto"/>
        </w:rPr>
        <w:t>(12,991)</w:t>
      </w:r>
      <w:r>
        <w:rPr>
          <w:sz w:val="20"/>
          <w:szCs w:val="20"/>
          <w:color w:val="auto"/>
        </w:rPr>
        <w:tab/>
      </w:r>
      <w:r>
        <w:rPr>
          <w:rFonts w:ascii="Arial" w:cs="Arial" w:eastAsia="Arial" w:hAnsi="Arial"/>
          <w:sz w:val="18"/>
          <w:szCs w:val="18"/>
          <w:color w:val="auto"/>
        </w:rPr>
        <w:t>(17,232)</w:t>
      </w:r>
    </w:p>
    <w:p>
      <w:pPr>
        <w:spacing w:after="0" w:line="33" w:lineRule="exact"/>
        <w:rPr>
          <w:sz w:val="20"/>
          <w:szCs w:val="20"/>
          <w:color w:val="auto"/>
        </w:rPr>
      </w:pPr>
    </w:p>
    <w:p>
      <w:pPr>
        <w:ind w:left="1947" w:hanging="1261"/>
        <w:spacing w:after="0"/>
        <w:tabs>
          <w:tab w:leader="none" w:pos="1947"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p>
    <w:p>
      <w:pPr>
        <w:spacing w:after="0" w:line="1" w:lineRule="exact"/>
        <w:rPr>
          <w:sz w:val="20"/>
          <w:szCs w:val="20"/>
          <w:color w:val="auto"/>
        </w:rPr>
      </w:pPr>
    </w:p>
    <w:p>
      <w:pPr>
        <w:sectPr>
          <w:pgSz w:w="11900" w:h="16838" w:orient="portrait"/>
          <w:cols w:equalWidth="0" w:num="2">
            <w:col w:w="5873" w:space="720"/>
            <w:col w:w="2467"/>
          </w:cols>
          <w:pgMar w:left="1420" w:top="112" w:right="141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2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other expense</w:t>
            </w:r>
          </w:p>
        </w:tc>
        <w:tc>
          <w:tcPr>
            <w:tcW w:w="14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(13,057)</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(17,232)</w:t>
            </w:r>
          </w:p>
        </w:tc>
        <w:tc>
          <w:tcPr>
            <w:tcW w:w="300" w:type="dxa"/>
            <w:vAlign w:val="bottom"/>
            <w:tcBorders>
              <w:bottom w:val="single" w:sz="8" w:color="CCEEFF"/>
            </w:tcBorders>
          </w:tcPr>
          <w:p>
            <w:pPr>
              <w:spacing w:after="0"/>
              <w:rPr>
                <w:sz w:val="18"/>
                <w:szCs w:val="18"/>
                <w:color w:val="auto"/>
              </w:rPr>
            </w:pPr>
          </w:p>
        </w:tc>
      </w:tr>
      <w:tr>
        <w:trPr>
          <w:trHeight w:val="21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(5,148)</w:t>
            </w:r>
          </w:p>
        </w:tc>
        <w:tc>
          <w:tcPr>
            <w:tcW w:w="300" w:type="dxa"/>
            <w:vAlign w:val="bottom"/>
            <w:shd w:val="clear" w:color="auto" w:fill="CCEEFF"/>
          </w:tcPr>
          <w:p>
            <w:pPr>
              <w:spacing w:after="0"/>
              <w:rPr>
                <w:sz w:val="18"/>
                <w:szCs w:val="18"/>
                <w:color w:val="auto"/>
              </w:rPr>
            </w:pPr>
          </w:p>
        </w:tc>
      </w:tr>
      <w:tr>
        <w:trPr>
          <w:trHeight w:val="216"/>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300" w:type="dxa"/>
            <w:vAlign w:val="bottom"/>
            <w:tcBorders>
              <w:bottom w:val="single" w:sz="8" w:color="CCEEFF"/>
            </w:tcBorders>
          </w:tcPr>
          <w:p>
            <w:pPr>
              <w:spacing w:after="0"/>
              <w:rPr>
                <w:sz w:val="18"/>
                <w:szCs w:val="18"/>
                <w:color w:val="auto"/>
              </w:rPr>
            </w:pPr>
          </w:p>
        </w:tc>
      </w:tr>
      <w:tr>
        <w:trPr>
          <w:trHeight w:val="230"/>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300" w:type="dxa"/>
            <w:vAlign w:val="bottom"/>
            <w:shd w:val="clear" w:color="auto" w:fill="CCEEFF"/>
          </w:tcPr>
          <w:p>
            <w:pPr>
              <w:spacing w:after="0"/>
              <w:rPr>
                <w:sz w:val="19"/>
                <w:szCs w:val="19"/>
                <w:color w:val="auto"/>
              </w:rPr>
            </w:pPr>
          </w:p>
        </w:tc>
      </w:tr>
      <w:tr>
        <w:trPr>
          <w:trHeight w:val="163"/>
        </w:trPr>
        <w:tc>
          <w:tcPr>
            <w:tcW w:w="520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Net Income (Loss) per share of Common Stock:</w:t>
            </w:r>
          </w:p>
        </w:tc>
        <w:tc>
          <w:tcPr>
            <w:tcW w:w="14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r>
      <w:tr>
        <w:trPr>
          <w:trHeight w:val="216"/>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300" w:type="dxa"/>
            <w:vAlign w:val="bottom"/>
            <w:shd w:val="clear" w:color="auto" w:fill="CCEEFF"/>
          </w:tcPr>
          <w:p>
            <w:pPr>
              <w:spacing w:after="0"/>
              <w:rPr>
                <w:sz w:val="18"/>
                <w:szCs w:val="18"/>
                <w:color w:val="auto"/>
              </w:rPr>
            </w:pPr>
          </w:p>
        </w:tc>
      </w:tr>
      <w:tr>
        <w:trPr>
          <w:trHeight w:val="27"/>
        </w:trPr>
        <w:tc>
          <w:tcPr>
            <w:tcW w:w="5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r>
      <w:tr>
        <w:trPr>
          <w:trHeight w:val="223"/>
        </w:trPr>
        <w:tc>
          <w:tcPr>
            <w:tcW w:w="5200" w:type="dxa"/>
            <w:vAlign w:val="bottom"/>
          </w:tcPr>
          <w:p>
            <w:pPr>
              <w:ind w:left="320"/>
              <w:spacing w:after="0"/>
              <w:rPr>
                <w:sz w:val="20"/>
                <w:szCs w:val="20"/>
                <w:color w:val="auto"/>
              </w:rPr>
            </w:pPr>
            <w:r>
              <w:rPr>
                <w:rFonts w:ascii="Arial" w:cs="Arial" w:eastAsia="Arial" w:hAnsi="Arial"/>
                <w:sz w:val="18"/>
                <w:szCs w:val="18"/>
                <w:color w:val="auto"/>
              </w:rPr>
              <w:t>Diluted</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spacing w:after="0"/>
              <w:rPr>
                <w:sz w:val="19"/>
                <w:szCs w:val="19"/>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46,933,094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46,494,638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47,534,761</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46,494,638</w:t>
            </w:r>
          </w:p>
        </w:tc>
        <w:tc>
          <w:tcPr>
            <w:tcW w:w="300" w:type="dxa"/>
            <w:vAlign w:val="bottom"/>
          </w:tcPr>
          <w:p>
            <w:pPr>
              <w:spacing w:after="0"/>
              <w:rPr>
                <w:sz w:val="19"/>
                <w:szCs w:val="19"/>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COMPREHENSIVE INCOME (LOSS)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60" w:type="dxa"/>
            <w:vAlign w:val="bottom"/>
            <w:tcBorders>
              <w:bottom w:val="single" w:sz="8" w:color="CCEEFF"/>
            </w:tcBorders>
          </w:tcPr>
          <w:p>
            <w:pPr>
              <w:spacing w:after="0"/>
              <w:rPr>
                <w:sz w:val="11"/>
                <w:szCs w:val="11"/>
                <w:color w:val="auto"/>
              </w:rPr>
            </w:pPr>
          </w:p>
        </w:tc>
        <w:tc>
          <w:tcPr>
            <w:tcW w:w="16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4"/>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00" w:type="dxa"/>
            <w:vAlign w:val="bottom"/>
            <w:shd w:val="clear" w:color="auto" w:fill="CCEEFF"/>
          </w:tcPr>
          <w:p>
            <w:pPr>
              <w:spacing w:after="0"/>
              <w:rPr>
                <w:sz w:val="18"/>
                <w:szCs w:val="18"/>
                <w:color w:val="auto"/>
              </w:rPr>
            </w:pPr>
          </w:p>
        </w:tc>
      </w:tr>
      <w:tr>
        <w:trPr>
          <w:trHeight w:val="176"/>
        </w:trPr>
        <w:tc>
          <w:tcPr>
            <w:tcW w:w="5160" w:type="dxa"/>
            <w:vAlign w:val="bottom"/>
          </w:tcPr>
          <w:p>
            <w:pPr>
              <w:spacing w:after="0" w:line="176" w:lineRule="exact"/>
              <w:rPr>
                <w:sz w:val="20"/>
                <w:szCs w:val="20"/>
                <w:color w:val="auto"/>
              </w:rPr>
            </w:pPr>
            <w:r>
              <w:rPr>
                <w:rFonts w:ascii="Arial" w:cs="Arial" w:eastAsia="Arial" w:hAnsi="Arial"/>
                <w:sz w:val="18"/>
                <w:szCs w:val="18"/>
                <w:color w:val="auto"/>
              </w:rPr>
              <w:t>Other Comprehensive Income (Loss), net of tax:</w:t>
            </w:r>
          </w:p>
        </w:tc>
        <w:tc>
          <w:tcPr>
            <w:tcW w:w="1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16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Other Comprehensive Income</w:t>
            </w:r>
          </w:p>
        </w:tc>
        <w:tc>
          <w:tcPr>
            <w:tcW w:w="16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r>
      <w:tr>
        <w:trPr>
          <w:trHeight w:val="210"/>
        </w:trPr>
        <w:tc>
          <w:tcPr>
            <w:tcW w:w="516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3,370</w:t>
            </w:r>
          </w:p>
        </w:tc>
        <w:tc>
          <w:tcPr>
            <w:tcW w:w="22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Pr>
          <w:p>
            <w:pPr>
              <w:spacing w:after="0"/>
              <w:rPr>
                <w:sz w:val="18"/>
                <w:szCs w:val="18"/>
                <w:color w:val="auto"/>
              </w:rPr>
            </w:pPr>
          </w:p>
        </w:tc>
      </w:tr>
      <w:tr>
        <w:trPr>
          <w:trHeight w:val="27"/>
        </w:trPr>
        <w:tc>
          <w:tcPr>
            <w:tcW w:w="5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62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1"/>
                <w:szCs w:val="11"/>
                <w:color w:val="auto"/>
              </w:rPr>
            </w:pPr>
          </w:p>
        </w:tc>
      </w:tr>
      <w:tr>
        <w:trPr>
          <w:trHeight w:val="169"/>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OPERATING ACTIVITIES: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6200" w:type="dxa"/>
            <w:vAlign w:val="bottom"/>
          </w:tcPr>
          <w:p>
            <w:pPr>
              <w:spacing w:after="0"/>
              <w:rPr>
                <w:sz w:val="20"/>
                <w:szCs w:val="20"/>
                <w:color w:val="auto"/>
              </w:rPr>
            </w:pPr>
            <w:r>
              <w:rPr>
                <w:rFonts w:ascii="Arial" w:cs="Arial" w:eastAsia="Arial" w:hAnsi="Arial"/>
                <w:sz w:val="14"/>
                <w:szCs w:val="14"/>
                <w:color w:val="auto"/>
              </w:rPr>
              <w:t>Net income (loss)</w:t>
            </w:r>
          </w:p>
        </w:tc>
        <w:tc>
          <w:tcPr>
            <w:tcW w:w="8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3,370</w:t>
            </w:r>
          </w:p>
        </w:tc>
        <w:tc>
          <w:tcPr>
            <w:tcW w:w="4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(6,164)</w:t>
            </w:r>
          </w:p>
        </w:tc>
      </w:tr>
      <w:tr>
        <w:trPr>
          <w:trHeight w:val="176"/>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16,204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14,469</w:t>
            </w:r>
          </w:p>
        </w:tc>
        <w:tc>
          <w:tcPr>
            <w:tcW w:w="100" w:type="dxa"/>
            <w:vAlign w:val="bottom"/>
          </w:tcPr>
          <w:p>
            <w:pPr>
              <w:spacing w:after="0"/>
              <w:rPr>
                <w:sz w:val="15"/>
                <w:szCs w:val="15"/>
                <w:color w:val="auto"/>
              </w:rPr>
            </w:pP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debt issuance costs and (premium) discount</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(2,523)</w:t>
            </w: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Equity in loss of unconsolidated affiliate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518</w:t>
            </w:r>
          </w:p>
        </w:tc>
        <w:tc>
          <w:tcPr>
            <w:tcW w:w="100" w:type="dxa"/>
            <w:vAlign w:val="bottom"/>
          </w:tcPr>
          <w:p>
            <w:pPr>
              <w:spacing w:after="0"/>
              <w:rPr>
                <w:sz w:val="15"/>
                <w:szCs w:val="15"/>
                <w:color w:val="auto"/>
              </w:rPr>
            </w:pP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 on early retirement of debt, net</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Change in fair value of acquisition related contingencies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 expense</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Gain on sale or disposal of property</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Provision for bad debts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Provision for deferred income taxes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634</w:t>
            </w:r>
          </w:p>
        </w:tc>
        <w:tc>
          <w:tcPr>
            <w:tcW w:w="100" w:type="dxa"/>
            <w:vAlign w:val="bottom"/>
          </w:tcPr>
          <w:p>
            <w:pPr>
              <w:spacing w:after="0"/>
              <w:rPr>
                <w:sz w:val="15"/>
                <w:szCs w:val="15"/>
                <w:color w:val="auto"/>
              </w:rPr>
            </w:pPr>
          </w:p>
        </w:tc>
      </w:tr>
      <w:tr>
        <w:trPr>
          <w:trHeight w:val="176"/>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Change in operating assets and liabilities: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(3,783)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(2,623)</w:t>
            </w: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Inventories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5"/>
                <w:szCs w:val="15"/>
                <w:color w:val="auto"/>
              </w:rPr>
            </w:pP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3,591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(2,655)</w:t>
            </w: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payable</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(12,497)</w:t>
            </w: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Income taxes payable</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5"/>
                <w:szCs w:val="15"/>
                <w:color w:val="auto"/>
              </w:rPr>
            </w:pP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and other liabilities and due to affiliates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(5,112)</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(1,003)</w:t>
            </w:r>
          </w:p>
        </w:tc>
      </w:tr>
      <w:tr>
        <w:trPr>
          <w:trHeight w:val="156"/>
        </w:trPr>
        <w:tc>
          <w:tcPr>
            <w:tcW w:w="620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Net cash provided by (used in) operating activities</w:t>
            </w:r>
          </w:p>
        </w:tc>
        <w:tc>
          <w:tcPr>
            <w:tcW w:w="6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10,853</w:t>
            </w:r>
          </w:p>
        </w:tc>
        <w:tc>
          <w:tcPr>
            <w:tcW w:w="2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(8,499)</w:t>
            </w:r>
          </w:p>
        </w:tc>
        <w:tc>
          <w:tcPr>
            <w:tcW w:w="100" w:type="dxa"/>
            <w:vAlign w:val="bottom"/>
            <w:tcBorders>
              <w:bottom w:val="single" w:sz="8" w:color="CCEEFF"/>
            </w:tcBorders>
          </w:tcPr>
          <w:p>
            <w:pPr>
              <w:spacing w:after="0"/>
              <w:rPr>
                <w:sz w:val="13"/>
                <w:szCs w:val="13"/>
                <w:color w:val="auto"/>
              </w:rPr>
            </w:pPr>
          </w:p>
        </w:tc>
      </w:tr>
      <w:tr>
        <w:trPr>
          <w:trHeight w:val="169"/>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INVESTING ACTIVITIES: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Capital expenditures, net of payables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(10,624)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(7,495)</w:t>
            </w: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 of property and equipment</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Reimbursement of capital expenditures from West Virginia regulatory authorities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1,692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Decrease in other assets, net</w:t>
            </w:r>
          </w:p>
        </w:tc>
        <w:tc>
          <w:tcPr>
            <w:tcW w:w="6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2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15"/>
                <w:szCs w:val="15"/>
                <w:color w:val="auto"/>
              </w:rPr>
            </w:pPr>
          </w:p>
        </w:tc>
      </w:tr>
      <w:tr>
        <w:trPr>
          <w:trHeight w:val="156"/>
        </w:trPr>
        <w:tc>
          <w:tcPr>
            <w:tcW w:w="620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Net cash used in investing activities</w:t>
            </w:r>
          </w:p>
        </w:tc>
        <w:tc>
          <w:tcPr>
            <w:tcW w:w="6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(8,673)</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(7,189)</w:t>
            </w:r>
          </w:p>
        </w:tc>
        <w:tc>
          <w:tcPr>
            <w:tcW w:w="100" w:type="dxa"/>
            <w:vAlign w:val="bottom"/>
            <w:tcBorders>
              <w:bottom w:val="single" w:sz="8" w:color="CCEEFF"/>
            </w:tcBorders>
          </w:tcPr>
          <w:p>
            <w:pPr>
              <w:spacing w:after="0"/>
              <w:rPr>
                <w:sz w:val="13"/>
                <w:szCs w:val="13"/>
                <w:color w:val="auto"/>
              </w:rPr>
            </w:pPr>
          </w:p>
        </w:tc>
      </w:tr>
      <w:tr>
        <w:trPr>
          <w:trHeight w:val="169"/>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CASH FLOWS FROM FINANCING ACTIVITIES:</w:t>
            </w: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Payments under New Term Loan</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(1,063)</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Borrowings under New Revolving Credit Facility</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14,000</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Payments under New Revolving Credit Facility</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(48,500)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Payments on capital leases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Debt issuance costs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Taxes paid related to net share settlement of equity awards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56"/>
        </w:trPr>
        <w:tc>
          <w:tcPr>
            <w:tcW w:w="6200" w:type="dxa"/>
            <w:vAlign w:val="bottom"/>
            <w:tcBorders>
              <w:bottom w:val="single" w:sz="8" w:color="CCEEFF"/>
            </w:tcBorders>
          </w:tcPr>
          <w:p>
            <w:pPr>
              <w:ind w:left="320"/>
              <w:spacing w:after="0" w:line="155" w:lineRule="exact"/>
              <w:rPr>
                <w:sz w:val="20"/>
                <w:szCs w:val="20"/>
                <w:color w:val="auto"/>
              </w:rPr>
            </w:pPr>
            <w:r>
              <w:rPr>
                <w:rFonts w:ascii="Arial" w:cs="Arial" w:eastAsia="Arial" w:hAnsi="Arial"/>
                <w:sz w:val="14"/>
                <w:szCs w:val="14"/>
                <w:color w:val="auto"/>
              </w:rPr>
              <w:t>Net cash used in financing activities</w:t>
            </w:r>
          </w:p>
        </w:tc>
        <w:tc>
          <w:tcPr>
            <w:tcW w:w="64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(36,359)</w:t>
            </w:r>
          </w:p>
        </w:tc>
        <w:tc>
          <w:tcPr>
            <w:tcW w:w="22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3"/>
                <w:szCs w:val="13"/>
                <w:color w:val="auto"/>
              </w:rPr>
            </w:pPr>
          </w:p>
        </w:tc>
      </w:tr>
      <w:tr>
        <w:trPr>
          <w:trHeight w:val="156"/>
        </w:trPr>
        <w:tc>
          <w:tcPr>
            <w:tcW w:w="62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DECREASE IN CASH AND CASH EQUIVALENTS</w:t>
            </w: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(34,179)</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(15,691)</w:t>
            </w:r>
          </w:p>
        </w:tc>
        <w:tc>
          <w:tcPr>
            <w:tcW w:w="100" w:type="dxa"/>
            <w:vAlign w:val="bottom"/>
            <w:shd w:val="clear" w:color="auto" w:fill="CCEEFF"/>
          </w:tcPr>
          <w:p>
            <w:pPr>
              <w:spacing w:after="0"/>
              <w:rPr>
                <w:sz w:val="13"/>
                <w:szCs w:val="13"/>
                <w:color w:val="auto"/>
              </w:rPr>
            </w:pPr>
          </w:p>
        </w:tc>
      </w:tr>
      <w:tr>
        <w:trPr>
          <w:trHeight w:val="176"/>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CASH AND CASH EQUIVALENTS, BEGINNING OF YEAR</w:t>
            </w:r>
          </w:p>
        </w:tc>
        <w:tc>
          <w:tcPr>
            <w:tcW w:w="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78,278</w:t>
            </w: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87,604</w:t>
            </w:r>
          </w:p>
        </w:tc>
        <w:tc>
          <w:tcPr>
            <w:tcW w:w="100" w:type="dxa"/>
            <w:vAlign w:val="bottom"/>
            <w:tcBorders>
              <w:bottom w:val="single" w:sz="8" w:color="CCEEFF"/>
            </w:tcBorders>
          </w:tcPr>
          <w:p>
            <w:pPr>
              <w:spacing w:after="0"/>
              <w:rPr>
                <w:sz w:val="15"/>
                <w:szCs w:val="15"/>
                <w:color w:val="auto"/>
              </w:rPr>
            </w:pPr>
          </w:p>
        </w:tc>
      </w:tr>
      <w:tr>
        <w:trPr>
          <w:trHeight w:val="162"/>
        </w:trPr>
        <w:tc>
          <w:tcPr>
            <w:tcW w:w="6200" w:type="dxa"/>
            <w:vAlign w:val="bottom"/>
            <w:tcBorders>
              <w:bottom w:val="single" w:sz="8" w:color="CCEEFF"/>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CASH AND CASH EQUIVALENTS, END OF YEAR</w:t>
            </w:r>
          </w:p>
        </w:tc>
        <w:tc>
          <w:tcPr>
            <w:tcW w:w="6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44,099</w:t>
            </w:r>
          </w:p>
        </w:tc>
        <w:tc>
          <w:tcPr>
            <w:tcW w:w="2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71,913</w:t>
            </w:r>
          </w:p>
        </w:tc>
        <w:tc>
          <w:tcPr>
            <w:tcW w:w="100" w:type="dxa"/>
            <w:vAlign w:val="bottom"/>
            <w:tcBorders>
              <w:bottom w:val="single" w:sz="8" w:color="CCEEFF"/>
            </w:tcBorders>
            <w:shd w:val="clear" w:color="auto" w:fill="CCEEFF"/>
          </w:tcPr>
          <w:p>
            <w:pPr>
              <w:spacing w:after="0"/>
              <w:rPr>
                <w:sz w:val="14"/>
                <w:szCs w:val="14"/>
                <w:color w:val="auto"/>
              </w:rPr>
            </w:pPr>
          </w:p>
        </w:tc>
      </w:tr>
      <w:tr>
        <w:trPr>
          <w:trHeight w:val="163"/>
        </w:trPr>
        <w:tc>
          <w:tcPr>
            <w:tcW w:w="6200" w:type="dxa"/>
            <w:vAlign w:val="bottom"/>
          </w:tcPr>
          <w:p>
            <w:pPr>
              <w:spacing w:after="0"/>
              <w:rPr>
                <w:sz w:val="20"/>
                <w:szCs w:val="20"/>
                <w:color w:val="auto"/>
              </w:rPr>
            </w:pPr>
            <w:r>
              <w:rPr>
                <w:rFonts w:ascii="Arial" w:cs="Arial" w:eastAsia="Arial" w:hAnsi="Arial"/>
                <w:sz w:val="14"/>
                <w:szCs w:val="14"/>
                <w:color w:val="auto"/>
              </w:rPr>
              <w:t>SUPPLEMENTAL DISCLOSURE OF CASH FLOW INFORMATION</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6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paid</w:t>
            </w:r>
          </w:p>
        </w:tc>
        <w:tc>
          <w:tcPr>
            <w:tcW w:w="8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19,422</w:t>
            </w:r>
          </w:p>
        </w:tc>
        <w:tc>
          <w:tcPr>
            <w:tcW w:w="48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32,238</w:t>
            </w:r>
          </w:p>
        </w:tc>
        <w:tc>
          <w:tcPr>
            <w:tcW w:w="100" w:type="dxa"/>
            <w:vAlign w:val="bottom"/>
            <w:shd w:val="clear" w:color="auto" w:fill="CCEEFF"/>
          </w:tcPr>
          <w:p>
            <w:pPr>
              <w:spacing w:after="0"/>
              <w:rPr>
                <w:sz w:val="15"/>
                <w:szCs w:val="15"/>
                <w:color w:val="auto"/>
              </w:rPr>
            </w:pPr>
          </w:p>
        </w:tc>
      </w:tr>
      <w:tr>
        <w:trPr>
          <w:trHeight w:val="176"/>
        </w:trPr>
        <w:tc>
          <w:tcPr>
            <w:tcW w:w="6200" w:type="dxa"/>
            <w:vAlign w:val="bottom"/>
          </w:tcPr>
          <w:p>
            <w:pPr>
              <w:ind w:left="220"/>
              <w:spacing w:after="0"/>
              <w:rPr>
                <w:sz w:val="20"/>
                <w:szCs w:val="20"/>
                <w:color w:val="auto"/>
              </w:rPr>
            </w:pPr>
            <w:r>
              <w:rPr>
                <w:rFonts w:ascii="Arial" w:cs="Arial" w:eastAsia="Arial" w:hAnsi="Arial"/>
                <w:sz w:val="14"/>
                <w:szCs w:val="14"/>
                <w:color w:val="auto"/>
              </w:rPr>
              <w:t>Cash paid during period for income taxes</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5"/>
                <w:szCs w:val="15"/>
                <w:color w:val="auto"/>
              </w:rPr>
            </w:pPr>
          </w:p>
        </w:tc>
      </w:tr>
      <w:tr>
        <w:trPr>
          <w:trHeight w:val="176"/>
        </w:trPr>
        <w:tc>
          <w:tcPr>
            <w:tcW w:w="6200" w:type="dxa"/>
            <w:vAlign w:val="bottom"/>
            <w:shd w:val="clear" w:color="auto" w:fill="CCEEFF"/>
          </w:tcPr>
          <w:p>
            <w:pPr>
              <w:spacing w:after="0"/>
              <w:rPr>
                <w:sz w:val="20"/>
                <w:szCs w:val="20"/>
                <w:color w:val="auto"/>
              </w:rPr>
            </w:pPr>
            <w:r>
              <w:rPr>
                <w:rFonts w:ascii="Arial" w:cs="Arial" w:eastAsia="Arial" w:hAnsi="Arial"/>
                <w:sz w:val="14"/>
                <w:szCs w:val="14"/>
                <w:color w:val="auto"/>
              </w:rPr>
              <w:t>NON-CASH FINANCING ACTIVITIES</w:t>
            </w:r>
          </w:p>
        </w:tc>
        <w:tc>
          <w:tcPr>
            <w:tcW w:w="6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6200" w:type="dxa"/>
            <w:vAlign w:val="bottom"/>
          </w:tcPr>
          <w:p>
            <w:pPr>
              <w:ind w:left="220"/>
              <w:spacing w:after="0"/>
              <w:rPr>
                <w:sz w:val="20"/>
                <w:szCs w:val="20"/>
                <w:color w:val="auto"/>
              </w:rPr>
            </w:pPr>
            <w:r>
              <w:rPr>
                <w:rFonts w:ascii="Arial" w:cs="Arial" w:eastAsia="Arial" w:hAnsi="Arial"/>
                <w:sz w:val="14"/>
                <w:szCs w:val="14"/>
                <w:color w:val="auto"/>
              </w:rPr>
              <w:t>Payables for capital expenditures</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6"/>
                <w:szCs w:val="16"/>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ELDORADO RESORTS, INC.</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CONDENSED NOTES TO UNAUDITED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44"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accompanying unaudited consolidated financial statements include the accounts of Eldorado Resorts, Inc. (“ERI” or the “Company”), a Nevada corporation formed in September 2013, and its consolidated subsidiaries. ERI was formed in September 2013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 owned subsidiary of ERI and, as a result of such transactions, Resorts became an indirect wholly owned subsidiary of ERI. The Merger has been accounted for as a reverse acquisition of MTR Gaming by HoldCo under accounting principles generally accepted in the United States (“US GAAP”). As a result, HoldCo is considered the acquirer of MTR Gaming for accounting purposes. Intercompany accounts and transactions have been eliminated in consolidation.</w:t>
      </w:r>
    </w:p>
    <w:p>
      <w:pPr>
        <w:spacing w:after="0" w:line="12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On November 24, 2015 (the “Acquisition Date”), Resorts consummated the acquisition of all of the assets and properties of Circus Circus Reno (“Circus Reno”) and the 50% membership interest in the joint venture (the “Silver Legacy Joint Venture”) owned by Galleon, Inc. (collectively, the “Circus Reno/Silver Legacy Purchase” or the “Acquisition”) pursuant to a Purchase and Sale Agreement, dated as of July 7, 2015 (the “Purchase Agreement”), entered into with Circus Circus Casinos, Inc. and Galleon, Inc., each an affiliate of MGM Resorts International, with respect to the acquisition. On the Acquisition Date, Eldorado Resorts LLC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Joint Venture became an indirect wholly</w:t>
      </w:r>
      <w:r>
        <w:rPr>
          <w:rFonts w:ascii="MS PGothic" w:cs="MS PGothic" w:eastAsia="MS PGothic" w:hAnsi="MS PGothic"/>
          <w:sz w:val="16"/>
          <w:szCs w:val="16"/>
          <w:color w:val="auto"/>
        </w:rPr>
        <w:t>‑</w:t>
      </w:r>
      <w:r>
        <w:rPr>
          <w:rFonts w:ascii="Arial" w:cs="Arial" w:eastAsia="Arial" w:hAnsi="Arial"/>
          <w:sz w:val="16"/>
          <w:szCs w:val="16"/>
          <w:color w:val="auto"/>
        </w:rPr>
        <w:t>owned subsidiary of ERI. The accompanying unaudited consolidated financial statements for periods prior to the Acquisition Date do not include the results of operations for Circus Reno and account the Silver Legacy Joint Venture as an investment in an unconsolidated affiliate.</w:t>
      </w:r>
    </w:p>
    <w:p>
      <w:pPr>
        <w:spacing w:after="0" w:line="166"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Resorts owns and operates the Eldorado Resort Casino Reno, a premier hotel, casino and entertainment facility centrally located in downtown Reno, Nevada (the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122"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Prior to the Acquisition Date, Resorts owned a 48.1% interest in the Silver Legacy Joint Venture which owns the Silver Legacy Resort Casino (the “Silver Legacy”), a major themed hotel and casino situated between and seamlessly connected at the mezzanine level to the Eldorado Reno and Circus Reno. Resorts acquired the remaining interest in Silver Legacy in 2015 as well as acquiring Circus Reno.</w:t>
      </w:r>
    </w:p>
    <w:p>
      <w:pPr>
        <w:spacing w:after="0" w:line="12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MTR Gaming operates as a hospitality and gaming company with racetrack, gaming and hotel properties in West Virginia, Pennsylvania and Ohio. MTR Gaming, through its wholly owned subsidiaries, owns and operates Mountaineer Casino, Racetrack &amp; Resort in Chester, West Virginia (“Mountaineer”), Presque Isle Downs &amp; Casino in Erie, Pennsylvania (“Presque Isle Downs”), and Eldorado Gaming Scioto Downs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ind w:right="460" w:firstLine="648"/>
        <w:spacing w:after="0" w:line="259" w:lineRule="auto"/>
        <w:rPr>
          <w:sz w:val="20"/>
          <w:szCs w:val="20"/>
          <w:color w:val="auto"/>
        </w:rPr>
      </w:pPr>
      <w:r>
        <w:rPr>
          <w:rFonts w:ascii="Arial" w:cs="Arial" w:eastAsia="Arial" w:hAnsi="Arial"/>
          <w:sz w:val="16"/>
          <w:szCs w:val="16"/>
          <w:color w:val="auto"/>
        </w:rPr>
        <w:t>The accompanying unaudited consolidated financial statements of the Company and its subsidiaries have been prepared in accordance under accounting principles generally accepted in the United States (“US GAAP”) for interim financial information with the instructions for Form 10-Q and Article 10 of Regulation S-X. Accordingly, they do not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7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executive decision makers of our Company review operating results, assess performance and make decisions on a “significant market” basis. The Company’s management views each of its properties as an operating segment. Operating segments are aggregated based on their similar economic characteristics, types of customers, types of services and products provided, the regulatory environments in which they operate, and their management and reporting structure. The Company’s principal operating activities occur in three geographic regions: Nevada, Louisiana and parts of the eastern United States. The Company has aggregated its operations into three reportable segments based on the similar characteristics of the operating segments within the regions in which they operate. We, therefore, consider Eldorado Reno, Silver Legacy and Circus Reno as Nevada, Eldorado Shreveport as Louisiana, and Scioto Downs, Presque Isle Downs and Mountaineer as Eastern.</w:t>
      </w:r>
    </w:p>
    <w:p>
      <w:pPr>
        <w:spacing w:after="0" w:line="86"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reclassifications of prior year presentations have been made to conform to the current period presentation.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In March 2016, The FASB issued Accounting Standard Update (ASU) 2016-09, “Compensation—Stock Compensation.” The ASU includes multiple provisions intended to simplify various aspects of the accounting for share-based payments. These areas include income tax consequences, classification of awards as either equity or a liability, and classification on the statement of cash flow. The effective date is for annual and interim periods beginning after December 15, 2016, with early adoption permitted. We elected to early adopt this ASU prospectively in the first quarter of 2016. Under the new guidance, we recognized a reduction in income tax expense of $0.4 million in the first quarter of 2016 as a result of excess tax benefits. There were no excess tax benefits in the first quarter of 2015.</w:t>
      </w:r>
    </w:p>
    <w:p>
      <w:pPr>
        <w:spacing w:after="0" w:line="122"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In February 2016, the FASB issued an ASU which addresses the recognition and measurement of leases. Under the new guidance, for all leases (with the exception of short-term leases), at the commencement date, lessees will be required to recognize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Further, the new lease guidance simplifies the accounting for sale and leaseback transactions primarily because lessees must recognize lease assets and liabilities, which no longer provides a source for off balance sheet financing. The effective date for this update is for the annual and interim periods beginning after December 15, 2018 with early adoption permitted. Lessees and lessors must apply a modified retrospective transition approach for leases existing at, or entered into after, the beginning of the earliest comparative period presented in the financial statements. We are currently evaluating the impact of adopting this accounting standard on our consolidated financial statements.</w:t>
      </w:r>
    </w:p>
    <w:p>
      <w:pPr>
        <w:spacing w:after="0" w:line="127"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September 2015, the FASB issued ASU 2015-16, Business Combinations (Topic 805): Simplifying the Accounting for Measurement-Period Adjustments. ASU 2015-16 eliminates the requirement that an acquirer in a business combination account for measurement-period adjustments retrospectively. Instead, an acquirer will recognize a measurement-period adjustment during the period in which it determines the amount of the adjustment. The guidance is effective for public business entities for fiscal years beginning after December 15, 2015, and interim periods within those fiscal years. For all other entities, it is effective for fiscal years beginning after December 15, 2016. We have adopted this guidance, and it had no impact on our consolidated financial statements for the three months ended March 31, 2016.</w:t>
      </w:r>
    </w:p>
    <w:p>
      <w:pPr>
        <w:spacing w:after="0" w:line="136" w:lineRule="exact"/>
        <w:rPr>
          <w:sz w:val="20"/>
          <w:szCs w:val="20"/>
          <w:color w:val="auto"/>
        </w:rPr>
      </w:pPr>
    </w:p>
    <w:p>
      <w:pPr>
        <w:ind w:right="260" w:firstLine="648"/>
        <w:spacing w:after="0" w:line="238" w:lineRule="auto"/>
        <w:rPr>
          <w:sz w:val="20"/>
          <w:szCs w:val="20"/>
          <w:color w:val="auto"/>
        </w:rPr>
      </w:pPr>
      <w:r>
        <w:rPr>
          <w:rFonts w:ascii="Arial" w:cs="Arial" w:eastAsia="Arial" w:hAnsi="Arial"/>
          <w:sz w:val="17"/>
          <w:szCs w:val="17"/>
          <w:color w:val="auto"/>
        </w:rPr>
        <w:t>In July 2015, the FASB issued ASU 2015-11, “Simplifying the Measurement of Inventory”, which requires that inventory within the scope of ASU 2015-11 be measured at the lower of cost and net realizable value. Inventory measured using last-in, first-out (LIFO) and the retail inventory method are not impacted by the new guidance. ASU</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2015-11 applies to all other inventory, which includes inventory that is measured using first-in, first-out (FIFO) or average cost. An entity should measure inventory within the scope of ASU 2015-11 at the lower of cost and net realizable value. Net realizable value is the estimated selling prices in the ordinary course of business, less reasonably predictable costs of completion, disposal, and transportation. ASU 2015-11 is effective for annual periods beginning after December 15, 2016. Early adoption is permitted. We are currently evaluating the impact on our financial statements and disclosures.</w:t>
      </w:r>
    </w:p>
    <w:p>
      <w:pPr>
        <w:spacing w:after="0" w:line="145"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In April 2015, the FASB issued an ASU which changes the presentation of debt issuance costs in financial statements. Under the new standard, an entity presents such costs in the balance sheet as a direct deduction from the related debt liability rather than as an asset. The amortization of the costs is reported as interest expense. In August 2015, the FASB issued an accounting standards update which clarifies that companies may continue to present unamortized debt issuance costs associated with line of credit arrangements as an asset. The new guidance should be applied on a retrospective basis, wherein the balance sheet of each individual period should be adjusted to reflect the period-specific effects of applying the new guidance. The effective dates for these updates were for the annual and interim periods beginning after December 15, 2015. We elected to early adopt this guidance during the third quarter of 2015.</w:t>
      </w:r>
    </w:p>
    <w:p>
      <w:pPr>
        <w:spacing w:after="0" w:line="140"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In February 2015, the FASB issued ASU 2015-02, “Amendments to the Consolidation Analysis”, which amends: the assessment of whether a limited partnership is a variable interest entity; the effect that fees paid to a decision maker have on the consolidation analysis; how variable interests held by a reporting entity’s related parties or de facto agents affect its consolidation conclusion; and for entities other than limited partnerships, clarifies how to determine whether the equity holders as a group have power over an entity. The new guidance is effective for fiscal years, and interim periods within those years, beginning after December 15, 2015. We elected to early adopt this guidance during the fourth quarter of 2015.</w:t>
      </w:r>
    </w:p>
    <w:p>
      <w:pPr>
        <w:spacing w:after="0" w:line="147"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January 2015, the FASB issued ASU No. 2015</w:t>
      </w:r>
      <w:r>
        <w:rPr>
          <w:rFonts w:ascii="MS PGothic" w:cs="MS PGothic" w:eastAsia="MS PGothic" w:hAnsi="MS PGothic"/>
          <w:sz w:val="16"/>
          <w:szCs w:val="16"/>
          <w:color w:val="auto"/>
        </w:rPr>
        <w:t>‑</w:t>
      </w:r>
      <w:r>
        <w:rPr>
          <w:rFonts w:ascii="Arial" w:cs="Arial" w:eastAsia="Arial" w:hAnsi="Arial"/>
          <w:sz w:val="16"/>
          <w:szCs w:val="16"/>
          <w:color w:val="auto"/>
        </w:rPr>
        <w:t>1, “Income Statement—Extraordinary and Unusual Items” (Subtopic 225</w:t>
      </w:r>
      <w:r>
        <w:rPr>
          <w:rFonts w:ascii="MS PGothic" w:cs="MS PGothic" w:eastAsia="MS PGothic" w:hAnsi="MS PGothic"/>
          <w:sz w:val="16"/>
          <w:szCs w:val="16"/>
          <w:color w:val="auto"/>
        </w:rPr>
        <w:t>‑</w:t>
      </w:r>
      <w:r>
        <w:rPr>
          <w:rFonts w:ascii="Arial" w:cs="Arial" w:eastAsia="Arial" w:hAnsi="Arial"/>
          <w:sz w:val="16"/>
          <w:szCs w:val="16"/>
          <w:color w:val="auto"/>
        </w:rPr>
        <w:t>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is effective for annual periods ending after December 15, 2015 and for subsequent interim and annual periods thereafter. Early adoption is permitted. We believe that the effects, if any, of the adoption of this guidance will not have a material impact on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Preliminary Purchase Accounting</w:t>
      </w:r>
    </w:p>
    <w:p>
      <w:pPr>
        <w:spacing w:after="0" w:line="148"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On November 24, 2015, the Company acquired all of the assets and properties of Circus Reno and the 50% membership interest in the Silver Legacy Joint Venture owned by Galleon, Inc. The total estimated purchase consideration is $224.9 million. The purchase consideration and allocation are still considered preliminary pending the update of a final valuation report from third-party valuation specialists resulting from the final determination of the income tax implications of the Acquisition on the fair values, and the finalization and approval by all parties of the purchase price allocation including working capital adjustments required under the Purchase and Sale Agreement.</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5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Purchase consideration calculation (dollars in thousands)</w:t>
            </w:r>
          </w:p>
        </w:tc>
        <w:tc>
          <w:tcPr>
            <w:tcW w:w="1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Silver Legacy</w:t>
            </w:r>
          </w:p>
        </w:tc>
        <w:tc>
          <w:tcPr>
            <w:tcW w:w="1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Circus Reno</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42"/>
        </w:trPr>
        <w:tc>
          <w:tcPr>
            <w:tcW w:w="532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Cash consideration paid by ERI for MGM’s 50% equity interest and</w:t>
            </w:r>
          </w:p>
        </w:tc>
        <w:tc>
          <w:tcPr>
            <w:tcW w:w="4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480" w:type="dxa"/>
            <w:vAlign w:val="bottom"/>
            <w:gridSpan w:val="2"/>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0" w:type="dxa"/>
            <w:vAlign w:val="bottom"/>
          </w:tcPr>
          <w:p>
            <w:pPr>
              <w:spacing w:after="0"/>
              <w:rPr>
                <w:sz w:val="1"/>
                <w:szCs w:val="1"/>
                <w:color w:val="auto"/>
              </w:rPr>
            </w:pPr>
          </w:p>
        </w:tc>
      </w:tr>
      <w:tr>
        <w:trPr>
          <w:trHeight w:val="203"/>
        </w:trPr>
        <w:tc>
          <w:tcPr>
            <w:tcW w:w="532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MGM’s member note</w:t>
            </w:r>
          </w:p>
        </w:tc>
        <w:tc>
          <w:tcPr>
            <w:tcW w:w="44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8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Fair value of ERI’s preexisting 50% equity interest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56,500</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Settlement of Silver Legacy’s long term debt </w:t>
            </w:r>
            <w:r>
              <w:rPr>
                <w:rFonts w:ascii="Arial" w:cs="Arial" w:eastAsia="Arial" w:hAnsi="Arial"/>
                <w:sz w:val="8"/>
                <w:szCs w:val="8"/>
                <w:color w:val="auto"/>
              </w:rPr>
              <w:t>(1)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87,854</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Closing Silver Legacy and Circus Reno net working capital </w:t>
            </w:r>
            <w:r>
              <w:rPr>
                <w:rFonts w:ascii="Arial" w:cs="Arial" w:eastAsia="Arial" w:hAnsi="Arial"/>
                <w:sz w:val="8"/>
                <w:szCs w:val="8"/>
                <w:color w:val="auto"/>
              </w:rPr>
              <w:t>(2)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1,916</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0" w:type="dxa"/>
            <w:vAlign w:val="bottom"/>
          </w:tcPr>
          <w:p>
            <w:pPr>
              <w:spacing w:after="0"/>
              <w:rPr>
                <w:sz w:val="1"/>
                <w:szCs w:val="1"/>
                <w:color w:val="auto"/>
              </w:rPr>
            </w:pPr>
          </w:p>
        </w:tc>
      </w:tr>
      <w:tr>
        <w:trPr>
          <w:trHeight w:val="210"/>
        </w:trPr>
        <w:tc>
          <w:tcPr>
            <w:tcW w:w="5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Purchase consideration</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206,978</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17,916</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224,894</w:t>
            </w:r>
          </w:p>
        </w:tc>
        <w:tc>
          <w:tcPr>
            <w:tcW w:w="0" w:type="dxa"/>
            <w:vAlign w:val="bottom"/>
          </w:tcPr>
          <w:p>
            <w:pPr>
              <w:spacing w:after="0"/>
              <w:rPr>
                <w:sz w:val="1"/>
                <w:szCs w:val="1"/>
                <w:color w:val="auto"/>
              </w:rPr>
            </w:pPr>
          </w:p>
        </w:tc>
      </w:tr>
      <w:tr>
        <w:trPr>
          <w:trHeight w:val="27"/>
        </w:trPr>
        <w:tc>
          <w:tcPr>
            <w:tcW w:w="1280" w:type="dxa"/>
            <w:vAlign w:val="bottom"/>
            <w:shd w:val="clear" w:color="auto" w:fill="CCEEFF"/>
          </w:tcPr>
          <w:p>
            <w:pPr>
              <w:spacing w:after="0"/>
              <w:rPr>
                <w:sz w:val="2"/>
                <w:szCs w:val="2"/>
                <w:color w:val="auto"/>
              </w:rPr>
            </w:pPr>
          </w:p>
        </w:tc>
        <w:tc>
          <w:tcPr>
            <w:tcW w:w="4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0" w:right="120" w:hanging="215"/>
        <w:spacing w:after="0" w:line="235" w:lineRule="auto"/>
        <w:rPr>
          <w:sz w:val="20"/>
          <w:szCs w:val="20"/>
          <w:color w:val="auto"/>
        </w:rPr>
      </w:pPr>
      <w:r>
        <w:rPr>
          <w:rFonts w:ascii="Arial" w:cs="Arial" w:eastAsia="Arial" w:hAnsi="Arial"/>
          <w:sz w:val="18"/>
          <w:szCs w:val="18"/>
          <w:color w:val="auto"/>
        </w:rPr>
        <w:t>(1)Represents $5.0 million of short-term debt, $75.5 million of long-term debt, the remaining 50% of the $11.5 million of member notes (net of discount), and accrued interest.</w:t>
      </w:r>
    </w:p>
    <w:p>
      <w:pPr>
        <w:spacing w:after="0" w:line="1" w:lineRule="exact"/>
        <w:rPr>
          <w:sz w:val="20"/>
          <w:szCs w:val="20"/>
          <w:color w:val="auto"/>
        </w:rPr>
      </w:pPr>
    </w:p>
    <w:p>
      <w:pPr>
        <w:jc w:val="both"/>
        <w:ind w:left="600" w:right="420" w:hanging="215"/>
        <w:spacing w:after="0" w:line="224" w:lineRule="auto"/>
        <w:rPr>
          <w:sz w:val="20"/>
          <w:szCs w:val="20"/>
          <w:color w:val="auto"/>
        </w:rPr>
      </w:pPr>
      <w:r>
        <w:rPr>
          <w:rFonts w:ascii="Arial" w:cs="Arial" w:eastAsia="Arial" w:hAnsi="Arial"/>
          <w:sz w:val="18"/>
          <w:szCs w:val="18"/>
          <w:color w:val="auto"/>
        </w:rPr>
        <w:t>(2)Per the Purchase and Sale Agreement, the purchase price was $72.5 million plus the Final Closing Net Working Capital (as defined in the Purchase and Sale Agreement). The preliminary working capital adjustment was $8.0 million.</w:t>
      </w:r>
    </w:p>
    <w:p>
      <w:pPr>
        <w:spacing w:after="0" w:line="149" w:lineRule="exact"/>
        <w:rPr>
          <w:sz w:val="20"/>
          <w:szCs w:val="20"/>
          <w:color w:val="auto"/>
        </w:rPr>
      </w:pPr>
    </w:p>
    <w:p>
      <w:pPr>
        <w:ind w:right="140" w:firstLine="648"/>
        <w:spacing w:after="0" w:line="289" w:lineRule="auto"/>
        <w:rPr>
          <w:sz w:val="20"/>
          <w:szCs w:val="20"/>
          <w:color w:val="auto"/>
        </w:rPr>
      </w:pPr>
      <w:r>
        <w:rPr>
          <w:rFonts w:ascii="Arial" w:cs="Arial" w:eastAsia="Arial" w:hAnsi="Arial"/>
          <w:sz w:val="16"/>
          <w:szCs w:val="16"/>
          <w:color w:val="auto"/>
        </w:rPr>
        <w:t>The transaction was accounted for using the acquisition method. Accordingly, goodwill if any, will be measured as the excess of the total consideration over the amounts assigned to the identifiable assets acquired and liabilities assumed.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Preliminary Purchase Price Allocation – Silver Legacy and Circus Reno</w:t>
      </w:r>
    </w:p>
    <w:p>
      <w:pPr>
        <w:spacing w:after="0" w:line="158" w:lineRule="exact"/>
        <w:rPr>
          <w:sz w:val="20"/>
          <w:szCs w:val="20"/>
          <w:color w:val="auto"/>
        </w:rPr>
      </w:pPr>
    </w:p>
    <w:p>
      <w:pPr>
        <w:ind w:right="40" w:firstLine="648"/>
        <w:spacing w:after="0" w:line="187" w:lineRule="exact"/>
        <w:rPr>
          <w:sz w:val="20"/>
          <w:szCs w:val="20"/>
          <w:color w:val="auto"/>
        </w:rPr>
      </w:pPr>
      <w:r>
        <w:rPr>
          <w:rFonts w:ascii="Arial" w:cs="Arial" w:eastAsia="Arial" w:hAnsi="Arial"/>
          <w:sz w:val="18"/>
          <w:szCs w:val="18"/>
          <w:color w:val="auto"/>
        </w:rPr>
        <w:t>The following table summarizes the preliminary allocation of the estimated purchase consideration to the identifiable assets acquired and liabilities assumed in the Circus Reno/Silver Legacy Purchase. The fair values were based on management’s analysis, including preliminary work performed by third</w:t>
      </w:r>
      <w:r>
        <w:rPr>
          <w:rFonts w:ascii="MS PGothic" w:cs="MS PGothic" w:eastAsia="MS PGothic" w:hAnsi="MS PGothic"/>
          <w:sz w:val="18"/>
          <w:szCs w:val="18"/>
          <w:color w:val="auto"/>
        </w:rPr>
        <w:t>‑</w:t>
      </w:r>
      <w:r>
        <w:rPr>
          <w:rFonts w:ascii="Arial" w:cs="Arial" w:eastAsia="Arial" w:hAnsi="Arial"/>
          <w:sz w:val="18"/>
          <w:szCs w:val="18"/>
          <w:color w:val="auto"/>
        </w:rPr>
        <w:t>party valuation specialists. The following table summarizes the preliminary purchase price allocation of the acquired assets and assumed liabilities as of March 31, 2016 (dollars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80" w:type="dxa"/>
            <w:vAlign w:val="bottom"/>
          </w:tcPr>
          <w:p>
            <w:pPr>
              <w:spacing w:after="0"/>
              <w:rPr>
                <w:sz w:val="18"/>
                <w:szCs w:val="18"/>
                <w:color w:val="auto"/>
              </w:rPr>
            </w:pP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rPr>
              <w:t>Silver Legacy</w:t>
            </w:r>
          </w:p>
        </w:tc>
        <w:tc>
          <w:tcPr>
            <w:tcW w:w="1260" w:type="dxa"/>
            <w:vAlign w:val="bottom"/>
            <w:gridSpan w:val="3"/>
          </w:tcPr>
          <w:p>
            <w:pPr>
              <w:ind w:left="60"/>
              <w:spacing w:after="0"/>
              <w:rPr>
                <w:sz w:val="20"/>
                <w:szCs w:val="20"/>
                <w:color w:val="auto"/>
              </w:rPr>
            </w:pPr>
            <w:r>
              <w:rPr>
                <w:rFonts w:ascii="Arial" w:cs="Arial" w:eastAsia="Arial" w:hAnsi="Arial"/>
                <w:sz w:val="18"/>
                <w:szCs w:val="18"/>
                <w:b w:val="1"/>
                <w:bCs w:val="1"/>
                <w:color w:val="auto"/>
              </w:rPr>
              <w:t>Circus Reno</w:t>
            </w:r>
          </w:p>
        </w:tc>
        <w:tc>
          <w:tcPr>
            <w:tcW w:w="220" w:type="dxa"/>
            <w:vAlign w:val="bottom"/>
          </w:tcPr>
          <w:p>
            <w:pPr>
              <w:spacing w:after="0"/>
              <w:rPr>
                <w:sz w:val="18"/>
                <w:szCs w:val="18"/>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and other assets, net</w:t>
            </w: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169,544</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14,801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184,345</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r>
              <w:rPr>
                <w:rFonts w:ascii="Arial" w:cs="Arial" w:eastAsia="Arial" w:hAnsi="Arial"/>
                <w:sz w:val="8"/>
                <w:szCs w:val="8"/>
                <w:color w:val="auto"/>
              </w:rPr>
              <w:t>(1)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10,809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10,809</w:t>
            </w:r>
          </w:p>
        </w:tc>
      </w:tr>
      <w:tr>
        <w:trPr>
          <w:trHeight w:val="217"/>
        </w:trPr>
        <w:tc>
          <w:tcPr>
            <w:tcW w:w="54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assets acquired</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206,978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224,894</w:t>
            </w:r>
          </w:p>
        </w:tc>
      </w:tr>
    </w:tbl>
    <w:p>
      <w:pPr>
        <w:spacing w:after="0" w:line="148" w:lineRule="exact"/>
        <w:rPr>
          <w:sz w:val="20"/>
          <w:szCs w:val="20"/>
          <w:color w:val="auto"/>
        </w:rPr>
      </w:pPr>
    </w:p>
    <w:p>
      <w:pPr>
        <w:ind w:left="600" w:right="260" w:hanging="215"/>
        <w:spacing w:after="0" w:line="235" w:lineRule="auto"/>
        <w:rPr>
          <w:sz w:val="20"/>
          <w:szCs w:val="20"/>
          <w:color w:val="auto"/>
        </w:rPr>
      </w:pPr>
      <w:r>
        <w:rPr>
          <w:rFonts w:ascii="Arial" w:cs="Arial" w:eastAsia="Arial" w:hAnsi="Arial"/>
          <w:sz w:val="18"/>
          <w:szCs w:val="18"/>
          <w:color w:val="auto"/>
        </w:rPr>
        <w:t>(1)Intangible assets consist of trademarks which are non-amortizable and loyalty programs which are amortized over one year.</w:t>
      </w:r>
    </w:p>
    <w:p>
      <w:pPr>
        <w:spacing w:after="0" w:line="148"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Fair valuation methods used for the identifiable net assets acquired in the Acquisition make use of quoted prices in active markets and discounted cash flows using current interest rates and are provisional pending development of a final valuation.</w:t>
      </w:r>
    </w:p>
    <w:p>
      <w:pPr>
        <w:spacing w:after="0" w:line="150"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Trade receivables and payables, inventory and other current and noncurrent assets and liabilities were valued at the existing carrying values as they represented the fair value of those items at the Acquisition, based on management’s judgments and estimates.</w:t>
      </w:r>
    </w:p>
    <w:p>
      <w:pPr>
        <w:spacing w:after="0" w:line="136"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The fair value estimate of property and equipment utilized a combination of the cost and market approaches, depending on the characteristics of the asset classification. The fair value of land was determined using the market approach, which considers sales of comparable assets and applies compensating factors for any differences specific to the particular assets. With respect to personal property components of the assets (gaming equipment, furniture, fixtures and equipment, computers, and vehicles) the cost approach was used, which is based on replacement or reproduction costs of the asset. Building and site improvements were valued using the cost approach using a direct cost model built on estimates of replacement cost.</w:t>
      </w:r>
    </w:p>
    <w:p>
      <w:pPr>
        <w:spacing w:after="0" w:line="15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7"/>
          <w:szCs w:val="17"/>
          <w:color w:val="auto"/>
        </w:rPr>
        <w:t>Trademarks were valued using the relief</w:t>
      </w:r>
      <w:r>
        <w:rPr>
          <w:rFonts w:ascii="MS PGothic" w:cs="MS PGothic" w:eastAsia="MS PGothic" w:hAnsi="MS PGothic"/>
          <w:sz w:val="17"/>
          <w:szCs w:val="17"/>
          <w:color w:val="auto"/>
        </w:rPr>
        <w:t>‑</w:t>
      </w:r>
      <w:r>
        <w:rPr>
          <w:rFonts w:ascii="Arial" w:cs="Arial" w:eastAsia="Arial" w:hAnsi="Arial"/>
          <w:sz w:val="17"/>
          <w:szCs w:val="17"/>
          <w:color w:val="auto"/>
        </w:rPr>
        <w:t>from</w:t>
      </w:r>
      <w:r>
        <w:rPr>
          <w:rFonts w:ascii="MS PGothic" w:cs="MS PGothic" w:eastAsia="MS PGothic" w:hAnsi="MS PGothic"/>
          <w:sz w:val="17"/>
          <w:szCs w:val="17"/>
          <w:color w:val="auto"/>
        </w:rPr>
        <w:t>‑</w:t>
      </w:r>
      <w:r>
        <w:rPr>
          <w:rFonts w:ascii="Arial" w:cs="Arial" w:eastAsia="Arial" w:hAnsi="Arial"/>
          <w:sz w:val="17"/>
          <w:szCs w:val="17"/>
          <w:color w:val="auto"/>
        </w:rPr>
        <w:t xml:space="preserve">royalty method. The loyalty program was valued using a comparative business valuation method. Management has assigned trademarks an indefinite useful life, in accordance with its review of applicable guidance of ASC Topic No. 350, </w:t>
      </w:r>
      <w:r>
        <w:rPr>
          <w:rFonts w:ascii="Arial" w:cs="Arial" w:eastAsia="Arial" w:hAnsi="Arial"/>
          <w:sz w:val="17"/>
          <w:szCs w:val="17"/>
          <w:i w:val="1"/>
          <w:iCs w:val="1"/>
          <w:color w:val="auto"/>
        </w:rPr>
        <w:t>Intangibles—Goodwill and Other</w:t>
      </w:r>
      <w:r>
        <w:rPr>
          <w:rFonts w:ascii="Arial" w:cs="Arial" w:eastAsia="Arial" w:hAnsi="Arial"/>
          <w:sz w:val="17"/>
          <w:szCs w:val="17"/>
          <w:color w:val="auto"/>
        </w:rPr>
        <w:t>. The standard required management to consider, among other things, the expected use of the asset, the expected useful life of other related asset or asset group, any legal, regulatory, or contractual provisions that may limit the useful life, the Company’s own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9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189" w:lineRule="exact"/>
        <w:rPr>
          <w:sz w:val="20"/>
          <w:szCs w:val="20"/>
          <w:color w:val="auto"/>
        </w:rPr>
      </w:pPr>
      <w:r>
        <w:rPr>
          <w:rFonts w:ascii="Arial" w:cs="Arial" w:eastAsia="Arial" w:hAnsi="Arial"/>
          <w:sz w:val="17"/>
          <w:szCs w:val="17"/>
          <w:color w:val="auto"/>
        </w:rPr>
        <w:t>historical experience in renewing similar arrangements, the effects of obsolescence, demand and other economic factors, and the maintenance expenditures required to obtain the expected cash flows. In that analysis, management determined that no legal, regulatory, contractual, competitive, economic or other factors limit the useful lives of these intangible assets. The loyalty program is being amortized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over a one year useful life.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58" w:lineRule="exact"/>
        <w:rPr>
          <w:sz w:val="20"/>
          <w:szCs w:val="20"/>
          <w:color w:val="auto"/>
        </w:rPr>
      </w:pPr>
    </w:p>
    <w:p>
      <w:pPr>
        <w:ind w:right="340" w:firstLine="648"/>
        <w:spacing w:after="0" w:line="289" w:lineRule="auto"/>
        <w:rPr>
          <w:sz w:val="20"/>
          <w:szCs w:val="20"/>
          <w:color w:val="auto"/>
        </w:rPr>
      </w:pPr>
      <w:r>
        <w:rPr>
          <w:rFonts w:ascii="Arial" w:cs="Arial" w:eastAsia="Arial" w:hAnsi="Arial"/>
          <w:sz w:val="16"/>
          <w:szCs w:val="16"/>
          <w:color w:val="auto"/>
        </w:rPr>
        <w:t>The following unaudited pro forma information presents the results of operations of the Company for the period ended March 31, 2015, as if the Acquisition had occurred on January 1, 2015 (in thousands except per share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For the Quarter Ended</w:t>
            </w:r>
          </w:p>
        </w:tc>
      </w:tr>
      <w:tr>
        <w:trPr>
          <w:trHeight w:val="162"/>
        </w:trPr>
        <w:tc>
          <w:tcPr>
            <w:tcW w:w="392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March 31, 2015</w:t>
            </w:r>
          </w:p>
        </w:tc>
        <w:tc>
          <w:tcPr>
            <w:tcW w:w="60" w:type="dxa"/>
            <w:vAlign w:val="bottom"/>
            <w:tcBorders>
              <w:bottom w:val="single" w:sz="8" w:color="CCEEFF"/>
            </w:tcBorders>
          </w:tcPr>
          <w:p>
            <w:pPr>
              <w:spacing w:after="0"/>
              <w:rPr>
                <w:sz w:val="14"/>
                <w:szCs w:val="14"/>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211,793</w:t>
            </w:r>
          </w:p>
        </w:tc>
        <w:tc>
          <w:tcPr>
            <w:tcW w:w="6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Net loss</w:t>
            </w: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(5,543)</w:t>
            </w:r>
          </w:p>
        </w:tc>
        <w:tc>
          <w:tcPr>
            <w:tcW w:w="60" w:type="dxa"/>
            <w:vAlign w:val="bottom"/>
          </w:tcPr>
          <w:p>
            <w:pPr>
              <w:spacing w:after="0"/>
              <w:rPr>
                <w:sz w:val="18"/>
                <w:szCs w:val="18"/>
                <w:color w:val="auto"/>
              </w:rPr>
            </w:pPr>
          </w:p>
        </w:tc>
      </w:tr>
      <w:tr>
        <w:trPr>
          <w:trHeight w:val="176"/>
        </w:trPr>
        <w:tc>
          <w:tcPr>
            <w:tcW w:w="3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 per common share:</w:t>
            </w:r>
          </w:p>
        </w:tc>
        <w:tc>
          <w:tcPr>
            <w:tcW w:w="1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16"/>
        </w:trPr>
        <w:tc>
          <w:tcPr>
            <w:tcW w:w="3920" w:type="dxa"/>
            <w:vAlign w:val="bottom"/>
          </w:tcPr>
          <w:p>
            <w:pPr>
              <w:ind w:left="220"/>
              <w:spacing w:after="0"/>
              <w:rPr>
                <w:sz w:val="20"/>
                <w:szCs w:val="20"/>
                <w:color w:val="auto"/>
              </w:rPr>
            </w:pPr>
            <w:r>
              <w:rPr>
                <w:rFonts w:ascii="Arial" w:cs="Arial" w:eastAsia="Arial" w:hAnsi="Arial"/>
                <w:sz w:val="18"/>
                <w:szCs w:val="18"/>
                <w:color w:val="auto"/>
              </w:rPr>
              <w:t>Basic</w:t>
            </w:r>
          </w:p>
        </w:tc>
        <w:tc>
          <w:tcPr>
            <w:tcW w:w="198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(0.12)</w:t>
            </w:r>
          </w:p>
        </w:tc>
      </w:tr>
      <w:tr>
        <w:trPr>
          <w:trHeight w:val="176"/>
        </w:trPr>
        <w:tc>
          <w:tcPr>
            <w:tcW w:w="3920" w:type="dxa"/>
            <w:vAlign w:val="bottom"/>
          </w:tcPr>
          <w:p>
            <w:pPr>
              <w:spacing w:after="0" w:line="176" w:lineRule="exact"/>
              <w:rPr>
                <w:sz w:val="20"/>
                <w:szCs w:val="20"/>
                <w:color w:val="auto"/>
              </w:rPr>
            </w:pPr>
            <w:r>
              <w:rPr>
                <w:rFonts w:ascii="Arial" w:cs="Arial" w:eastAsia="Arial" w:hAnsi="Arial"/>
                <w:sz w:val="18"/>
                <w:szCs w:val="18"/>
                <w:color w:val="auto"/>
              </w:rPr>
              <w:t>Weighted shares outstanding:</w:t>
            </w:r>
          </w:p>
        </w:tc>
        <w:tc>
          <w:tcPr>
            <w:tcW w:w="1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3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46,550,042</w:t>
            </w:r>
          </w:p>
        </w:tc>
        <w:tc>
          <w:tcPr>
            <w:tcW w:w="60" w:type="dxa"/>
            <w:vAlign w:val="bottom"/>
            <w:shd w:val="clear" w:color="auto" w:fill="CCEEFF"/>
          </w:tcPr>
          <w:p>
            <w:pPr>
              <w:spacing w:after="0"/>
              <w:rPr>
                <w:sz w:val="18"/>
                <w:szCs w:val="18"/>
                <w:color w:val="auto"/>
              </w:rPr>
            </w:pPr>
          </w:p>
        </w:tc>
      </w:tr>
      <w:tr>
        <w:trPr>
          <w:trHeight w:val="243"/>
        </w:trPr>
        <w:tc>
          <w:tcPr>
            <w:tcW w:w="39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46,550,042</w:t>
            </w:r>
          </w:p>
        </w:tc>
        <w:tc>
          <w:tcPr>
            <w:tcW w:w="60" w:type="dxa"/>
            <w:vAlign w:val="bottom"/>
          </w:tcPr>
          <w:p>
            <w:pPr>
              <w:spacing w:after="0"/>
              <w:rPr>
                <w:sz w:val="21"/>
                <w:szCs w:val="21"/>
                <w:color w:val="auto"/>
              </w:rPr>
            </w:pPr>
          </w:p>
        </w:tc>
      </w:tr>
    </w:tbl>
    <w:p>
      <w:pPr>
        <w:spacing w:after="0" w:line="121"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Acquisition had taken place on January 1, 2015, nor are they indicative of the results of operations for future periods. The pro forma amounts include the historical operating results of the Company, the Silver Legacy and Circus Reno prior to the Acquisition, with adjustments directly attributable to the Acquisition.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148" w:lineRule="exact"/>
        <w:rPr>
          <w:sz w:val="20"/>
          <w:szCs w:val="20"/>
          <w:color w:val="auto"/>
        </w:rPr>
      </w:pPr>
    </w:p>
    <w:p>
      <w:pPr>
        <w:ind w:right="80" w:firstLine="648"/>
        <w:spacing w:after="0" w:line="210" w:lineRule="auto"/>
        <w:rPr>
          <w:sz w:val="20"/>
          <w:szCs w:val="20"/>
          <w:color w:val="auto"/>
        </w:rPr>
      </w:pPr>
      <w:r>
        <w:rPr>
          <w:rFonts w:ascii="Arial" w:cs="Arial" w:eastAsia="Arial" w:hAnsi="Arial"/>
          <w:sz w:val="18"/>
          <w:szCs w:val="18"/>
          <w:b w:val="1"/>
          <w:bCs w:val="1"/>
          <w:i w:val="1"/>
          <w:iCs w:val="1"/>
          <w:color w:val="auto"/>
        </w:rPr>
        <w:t xml:space="preserve">Hotel Partnership. </w:t>
      </w:r>
      <w:r>
        <w:rPr>
          <w:rFonts w:ascii="Arial" w:cs="Arial" w:eastAsia="Arial" w:hAnsi="Arial"/>
          <w:sz w:val="18"/>
          <w:szCs w:val="18"/>
          <w:color w:val="auto"/>
        </w:rPr>
        <w:t>The Company holds a 42.1% variable interest in a partnership with other investors to develop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new 118-room Hampton Inn &amp; Suites hotel to be developed at Scioto Downs. Pursuant to the terms of the partnership agreement, the Company contributed $1 million of cash and 2.4 acres of a leasehold immediately adjacent to </w:t>
      </w:r>
      <w:r>
        <w:rPr>
          <w:rFonts w:ascii="Arial" w:cs="Arial" w:eastAsia="Arial" w:hAnsi="Arial"/>
          <w:sz w:val="18"/>
          <w:szCs w:val="18"/>
          <w:i w:val="1"/>
          <w:iCs w:val="1"/>
          <w:color w:val="auto"/>
        </w:rPr>
        <w:t>The Brew</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Brothers </w:t>
      </w:r>
      <w:r>
        <w:rPr>
          <w:rFonts w:ascii="Arial" w:cs="Arial" w:eastAsia="Arial" w:hAnsi="Arial"/>
          <w:sz w:val="18"/>
          <w:szCs w:val="18"/>
          <w:color w:val="auto"/>
        </w:rPr>
        <w:t>microbrewery and restaurant at Scioto Downs. The partnership will be responsible for the construction of the hotel</w:t>
      </w:r>
      <w:r>
        <w:rPr>
          <w:rFonts w:ascii="Arial" w:cs="Arial" w:eastAsia="Arial" w:hAnsi="Arial"/>
          <w:sz w:val="18"/>
          <w:szCs w:val="18"/>
          <w:i w:val="1"/>
          <w:iCs w:val="1"/>
          <w:color w:val="auto"/>
        </w:rPr>
        <w:t xml:space="preserve"> </w:t>
      </w:r>
      <w:r>
        <w:rPr>
          <w:rFonts w:ascii="Arial" w:cs="Arial" w:eastAsia="Arial" w:hAnsi="Arial"/>
          <w:sz w:val="18"/>
          <w:szCs w:val="18"/>
          <w:color w:val="auto"/>
        </w:rPr>
        <w:t>at an estimated cost of $15.0 million and other investor members have been identified to operate the hotel upon completion. The Company is not the primary beneficiary, and therefore, the entity is accounted for under the equity method of accounting. At March 31, 2016, the Company’s investment in the partnership was $1.3 million, classified as “Investment in and advances to unconsolidated affiliates” in the consolidated balance sheets, representing the Company’s maximum exposure to loss.</w:t>
      </w:r>
    </w:p>
    <w:p>
      <w:pPr>
        <w:spacing w:after="0" w:line="166"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b w:val="1"/>
          <w:bCs w:val="1"/>
          <w:i w:val="1"/>
          <w:iCs w:val="1"/>
          <w:color w:val="auto"/>
        </w:rPr>
        <w:t xml:space="preserve">Silver Legacy Joint Venture. </w:t>
      </w:r>
      <w:r>
        <w:rPr>
          <w:rFonts w:ascii="Arial" w:cs="Arial" w:eastAsia="Arial" w:hAnsi="Arial"/>
          <w:sz w:val="17"/>
          <w:szCs w:val="17"/>
          <w:color w:val="auto"/>
        </w:rPr>
        <w:t>Effective March 1, 1994, ELLC and Galleon, (each a “Partner” and, together,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entered into the Silver Legacy Joint Venture pursuant to a joint venture agreement (the “Joint Venture Agreement”) to develop the Silver Legacy. The Silver Legacy consists of a casino and hotel located in Reno, Nevada, which began operations on July 28, 1995. Prior to the Acquisition Date, each partner owned a 50% interest in the Silver Legacy Joint Venture. Prior to the Merger Date, the Company owned a 48.1% interest in the Silver Legacy Joint Venture by means of its 96.2% ownership of ELLC, which owned a 50% interest in the Silver Legacy Joint Venture.</w:t>
      </w:r>
    </w:p>
    <w:p>
      <w:pPr>
        <w:spacing w:after="0" w:line="165" w:lineRule="exact"/>
        <w:rPr>
          <w:sz w:val="20"/>
          <w:szCs w:val="20"/>
          <w:color w:val="auto"/>
        </w:rPr>
      </w:pPr>
    </w:p>
    <w:p>
      <w:pPr>
        <w:ind w:right="100" w:firstLine="648"/>
        <w:spacing w:after="0" w:line="185" w:lineRule="exact"/>
        <w:rPr>
          <w:sz w:val="20"/>
          <w:szCs w:val="20"/>
          <w:color w:val="auto"/>
        </w:rPr>
      </w:pPr>
      <w:r>
        <w:rPr>
          <w:rFonts w:ascii="Arial" w:cs="Arial" w:eastAsia="Arial" w:hAnsi="Arial"/>
          <w:sz w:val="18"/>
          <w:szCs w:val="18"/>
          <w:color w:val="auto"/>
        </w:rPr>
        <w:t>On the Acquisition Date, Resorts consummated the Acquisition of the other 50% membership interest in the Silver Legacy Joint Venture owned by Galleon, Inc. pursuant to the Purchase Agreement and also exercised its right to acquire the 3.8% interest in ELLC held by certain affiliates of the Company. As a result of these transactions, ELLC became a wholly-owned subsidiary of ERI and Silver Legacy became an indirect wholly</w:t>
      </w:r>
      <w:r>
        <w:rPr>
          <w:rFonts w:ascii="MS PGothic" w:cs="MS PGothic" w:eastAsia="MS PGothic" w:hAnsi="MS PGothic"/>
          <w:sz w:val="18"/>
          <w:szCs w:val="18"/>
          <w:color w:val="auto"/>
        </w:rPr>
        <w:t>‑</w:t>
      </w:r>
      <w:r>
        <w:rPr>
          <w:rFonts w:ascii="Arial" w:cs="Arial" w:eastAsia="Arial" w:hAnsi="Arial"/>
          <w:sz w:val="18"/>
          <w:szCs w:val="18"/>
          <w:color w:val="auto"/>
        </w:rPr>
        <w:t>owned subsidiary of ERI. In conjunction with the Acquisition, we recorded a $35.6 million gain related to the valuation of our pre-acquisition investment in the Silver Legacy Joint Venture.</w:t>
      </w:r>
    </w:p>
    <w:p>
      <w:pPr>
        <w:spacing w:after="0" w:line="16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6"/>
          <w:szCs w:val="16"/>
          <w:color w:val="auto"/>
        </w:rPr>
        <w:t>As consideration for the noncontrolling interest, the Company issued 373,135 shares of common stock. Subsequent to this action, the Company owned 100% of ELLC. The Company valued the shares at the market price on the day the shares were issued to the noncontrolling interest holders. The value of the total consideration paid was $3.6 million.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On December 16, 2013, the Silver Legacy Joint Venture entered into a new senior secured term loan facility totaling $90.5 million (the “New Silver Legacy Credit Facility”) to refinance its indebtedness under its then existing senior secured term loan and Silver Legacy Second Lien Notes. The New Silver Legacy Credit Facility was scheduled to mature on November 16, 2017, which was the maturity date of the original Silver Legacy credit facility. In connection with the Circus Reno/Silver Legacy Purchase, all amounts outstanding under the Silver Legacy Credit Facility were paid in full and the cash collateral securing such obligations were released.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Equity in loss related to the Silver Legacy Joint Venture for the three months ended March 31, 2015 was $0.5</w:t>
      </w:r>
    </w:p>
    <w:p>
      <w:pPr>
        <w:spacing w:after="0"/>
        <w:rPr>
          <w:sz w:val="20"/>
          <w:szCs w:val="20"/>
          <w:color w:val="auto"/>
        </w:rPr>
      </w:pPr>
      <w:r>
        <w:rPr>
          <w:rFonts w:ascii="Arial" w:cs="Arial" w:eastAsia="Arial" w:hAnsi="Arial"/>
          <w:sz w:val="18"/>
          <w:szCs w:val="18"/>
          <w:color w:val="auto"/>
        </w:rPr>
        <w:t>million.</w:t>
      </w:r>
    </w:p>
    <w:p>
      <w:pPr>
        <w:spacing w:after="0" w:line="18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Summarized results of operations for the Silver Legacy Joint Venture in 2015 prior to the Acquisition are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Three Months</w:t>
            </w:r>
          </w:p>
        </w:tc>
      </w:tr>
      <w:tr>
        <w:trPr>
          <w:trHeight w:val="135"/>
        </w:trPr>
        <w:tc>
          <w:tcPr>
            <w:tcW w:w="38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Ended</w:t>
            </w:r>
          </w:p>
        </w:tc>
      </w:tr>
      <w:tr>
        <w:trPr>
          <w:trHeight w:val="135"/>
        </w:trPr>
        <w:tc>
          <w:tcPr>
            <w:tcW w:w="38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9"/>
              </w:rPr>
              <w:t>March 31,</w:t>
            </w:r>
          </w:p>
        </w:tc>
      </w:tr>
      <w:tr>
        <w:trPr>
          <w:trHeight w:val="162"/>
        </w:trPr>
        <w:tc>
          <w:tcPr>
            <w:tcW w:w="38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r>
      <w:tr>
        <w:trPr>
          <w:trHeight w:val="156"/>
        </w:trPr>
        <w:tc>
          <w:tcPr>
            <w:tcW w:w="38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3"/>
                <w:szCs w:val="13"/>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27,651</w:t>
            </w:r>
          </w:p>
        </w:tc>
        <w:tc>
          <w:tcPr>
            <w:tcW w:w="20" w:type="dxa"/>
            <w:vAlign w:val="bottom"/>
          </w:tcPr>
          <w:p>
            <w:pPr>
              <w:spacing w:after="0"/>
              <w:rPr>
                <w:sz w:val="18"/>
                <w:szCs w:val="18"/>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(25,989)</w:t>
            </w:r>
          </w:p>
        </w:tc>
        <w:tc>
          <w:tcPr>
            <w:tcW w:w="20" w:type="dxa"/>
            <w:vAlign w:val="bottom"/>
          </w:tcPr>
          <w:p>
            <w:pPr>
              <w:spacing w:after="0"/>
              <w:rPr>
                <w:sz w:val="18"/>
                <w:szCs w:val="18"/>
                <w:color w:val="auto"/>
              </w:rPr>
            </w:pPr>
          </w:p>
        </w:tc>
      </w:tr>
      <w:tr>
        <w:trPr>
          <w:trHeight w:val="210"/>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20" w:type="dxa"/>
            <w:vAlign w:val="bottom"/>
          </w:tcPr>
          <w:p>
            <w:pPr>
              <w:spacing w:after="0"/>
              <w:rPr>
                <w:sz w:val="18"/>
                <w:szCs w:val="18"/>
                <w:color w:val="auto"/>
              </w:rPr>
            </w:pPr>
          </w:p>
        </w:tc>
      </w:tr>
      <w:tr>
        <w:trPr>
          <w:trHeight w:val="216"/>
        </w:trPr>
        <w:tc>
          <w:tcPr>
            <w:tcW w:w="3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expense</w:t>
            </w:r>
          </w:p>
        </w:tc>
        <w:tc>
          <w:tcPr>
            <w:tcW w:w="24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20" w:type="dxa"/>
            <w:vAlign w:val="bottom"/>
          </w:tcPr>
          <w:p>
            <w:pPr>
              <w:spacing w:after="0"/>
              <w:rPr>
                <w:sz w:val="18"/>
                <w:szCs w:val="18"/>
                <w:color w:val="auto"/>
              </w:rPr>
            </w:pPr>
          </w:p>
        </w:tc>
      </w:tr>
      <w:tr>
        <w:trPr>
          <w:trHeight w:val="210"/>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8"/>
                <w:szCs w:val="18"/>
                <w:color w:val="auto"/>
              </w:rPr>
            </w:pPr>
          </w:p>
        </w:tc>
      </w:tr>
      <w:tr>
        <w:trPr>
          <w:trHeight w:val="27"/>
        </w:trPr>
        <w:tc>
          <w:tcPr>
            <w:tcW w:w="388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Stock-Based Compensation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authorized common stock of 100,000,000 shares, par value $0.00001 per share.</w:t>
      </w:r>
    </w:p>
    <w:p>
      <w:pPr>
        <w:spacing w:after="0" w:line="185" w:lineRule="exact"/>
        <w:rPr>
          <w:sz w:val="20"/>
          <w:szCs w:val="20"/>
          <w:color w:val="auto"/>
        </w:rPr>
      </w:pPr>
    </w:p>
    <w:p>
      <w:pPr>
        <w:ind w:right="180" w:firstLine="648"/>
        <w:spacing w:after="0" w:line="219" w:lineRule="auto"/>
        <w:rPr>
          <w:sz w:val="20"/>
          <w:szCs w:val="20"/>
          <w:color w:val="auto"/>
        </w:rPr>
      </w:pPr>
      <w:r>
        <w:rPr>
          <w:rFonts w:ascii="Arial" w:cs="Arial" w:eastAsia="Arial" w:hAnsi="Arial"/>
          <w:sz w:val="18"/>
          <w:szCs w:val="18"/>
          <w:color w:val="auto"/>
        </w:rPr>
        <w:t>The Company accounts for stock-based compensation in accordance with ASC 718, Compensation—Stock Compensation. Total stock-based compensation expense recognized was $1.5 million and $0.6 million during the three months ended March 31, 2016 and 2015, respectively. These amounts are included in corporate expenses in the Company’s consolidated statements of operations.</w:t>
      </w:r>
    </w:p>
    <w:p>
      <w:pPr>
        <w:spacing w:after="0" w:line="12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Board of Directors (“BOD”) adopted the Eldorado Resorts, Inc. 2015 Equity Incentive Plan (“2015 Plan”) on January 23, 2015 and our shareholders subsequently approved the adoption of the 2015 Plan on June 23, 2015. The Plan permits the granting of stock options, including incentive stock options (“ERI Stock Options”), stock appreciation rights (“SARs”), restricted stock or restricted stock units (“RSUs”), performance awards, and other stock-based awards and dividend equivalents. ERI Stock Options primarily vest ratably over three years and RSUs granted to employees and executive officers primarily vest and become non-forfeitable upon the third anniversary of the date of grant. RSUs granted to non-employee directors vest immediately and are delivered upon the date that is the earlier of termination of service on the BOD or the consummation of a change of control of the Company. The performance awards relate to the achievement of defined levels of performance and are generally measured over a one or two-year performance period depending upon the award agreement. If the performance award levels are achieved, the awards earned will vest and become payable at the end of the vesting period, defined as either a one or two calendar year period following the performance period. Payout ranges are from 0% up to 200% of the award target.</w:t>
      </w:r>
    </w:p>
    <w:p>
      <w:pPr>
        <w:spacing w:after="0" w:line="122"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On January 22, 2016, the Company granted 367,519 RSUs to executive officers and 34,920 RSUs to non-employee members of the BOD under the 2015 Plan. The RSUs had a fair value of $10.77 per unit which was the NASDAQ closing price on that date. An additional 4,147 of RSUs were subsequently granted to key employees during the three months ended March 31, 2016.</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RSU activity for the three months ended March 31, 2016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780" w:type="dxa"/>
            <w:vAlign w:val="bottom"/>
          </w:tcPr>
          <w:p>
            <w:pPr>
              <w:jc w:val="right"/>
              <w:ind w:right="96"/>
              <w:spacing w:after="0" w:line="145" w:lineRule="exact"/>
              <w:rPr>
                <w:sz w:val="20"/>
                <w:szCs w:val="20"/>
                <w:color w:val="auto"/>
              </w:rPr>
            </w:pPr>
            <w:r>
              <w:rPr>
                <w:rFonts w:ascii="Arial" w:cs="Arial" w:eastAsia="Arial" w:hAnsi="Arial"/>
                <w:sz w:val="14"/>
                <w:szCs w:val="14"/>
                <w:b w:val="1"/>
                <w:bCs w:val="1"/>
                <w:color w:val="auto"/>
              </w:rPr>
              <w:t>Equity</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7"/>
              </w:rPr>
              <w:t>Grant Date</w:t>
            </w:r>
          </w:p>
        </w:tc>
        <w:tc>
          <w:tcPr>
            <w:tcW w:w="9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Remaining</w:t>
            </w:r>
          </w:p>
        </w:tc>
        <w:tc>
          <w:tcPr>
            <w:tcW w:w="140" w:type="dxa"/>
            <w:vAlign w:val="bottom"/>
          </w:tcPr>
          <w:p>
            <w:pPr>
              <w:spacing w:after="0"/>
              <w:rPr>
                <w:sz w:val="12"/>
                <w:szCs w:val="12"/>
                <w:color w:val="auto"/>
              </w:rPr>
            </w:pPr>
          </w:p>
        </w:tc>
        <w:tc>
          <w:tcPr>
            <w:tcW w:w="980" w:type="dxa"/>
            <w:vAlign w:val="bottom"/>
            <w:gridSpan w:val="2"/>
          </w:tcPr>
          <w:p>
            <w:pPr>
              <w:ind w:left="60"/>
              <w:spacing w:after="0" w:line="145"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7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center"/>
              <w:ind w:right="19"/>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vMerge w:val="restart"/>
          </w:tcPr>
          <w:p>
            <w:pPr>
              <w:spacing w:after="0"/>
              <w:rPr>
                <w:sz w:val="11"/>
                <w:szCs w:val="11"/>
                <w:color w:val="auto"/>
              </w:rPr>
            </w:pPr>
          </w:p>
        </w:tc>
        <w:tc>
          <w:tcPr>
            <w:tcW w:w="9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1"/>
                <w:szCs w:val="11"/>
                <w:color w:val="auto"/>
              </w:rPr>
            </w:pP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8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9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9"/>
                <w:szCs w:val="9"/>
                <w:color w:val="auto"/>
                <w:w w:val="90"/>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98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outstanding as of December 31, 2015</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827,383</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rPr>
              <w:t>(2)</w:t>
            </w:r>
          </w:p>
        </w:tc>
        <w:tc>
          <w:tcPr>
            <w:tcW w:w="1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2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406,586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10.77</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(202,431)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Unvested outstanding as of March 31, 2016</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1,031,538</w:t>
            </w:r>
          </w:p>
        </w:tc>
        <w:tc>
          <w:tcPr>
            <w:tcW w:w="140" w:type="dxa"/>
            <w:vAlign w:val="bottom"/>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780" w:hanging="388"/>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475,409 of performance awards awarded at 135% of target and time-based awards at 100% of target.</w:t>
      </w:r>
    </w:p>
    <w:p>
      <w:pPr>
        <w:spacing w:after="0" w:line="7" w:lineRule="exact"/>
        <w:rPr>
          <w:rFonts w:ascii="Arial" w:cs="Arial" w:eastAsia="Arial" w:hAnsi="Arial"/>
          <w:sz w:val="16"/>
          <w:szCs w:val="16"/>
          <w:color w:val="auto"/>
        </w:rPr>
      </w:pPr>
    </w:p>
    <w:p>
      <w:pPr>
        <w:ind w:left="780" w:hanging="388"/>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Includes 178,172 of performance awards 100% of target and 228,414 time-based awards at 100% of target.</w:t>
      </w:r>
    </w:p>
    <w:p>
      <w:pPr>
        <w:spacing w:after="0" w:line="14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As of March 31, 2016, the Company had approximately $5.0 million of unrecognized compensation expense related to unvested RSUs that is expected to be recognized over a weighted-average period of approximately 2.16 years.</w:t>
      </w:r>
    </w:p>
    <w:p>
      <w:pPr>
        <w:spacing w:after="0" w:line="124" w:lineRule="exact"/>
        <w:rPr>
          <w:sz w:val="20"/>
          <w:szCs w:val="20"/>
          <w:color w:val="auto"/>
        </w:rPr>
      </w:pPr>
    </w:p>
    <w:p>
      <w:pPr>
        <w:ind w:right="220" w:firstLine="648"/>
        <w:spacing w:after="0" w:line="216" w:lineRule="auto"/>
        <w:rPr>
          <w:sz w:val="20"/>
          <w:szCs w:val="20"/>
          <w:color w:val="auto"/>
        </w:rPr>
      </w:pPr>
      <w:r>
        <w:rPr>
          <w:rFonts w:ascii="Arial" w:cs="Arial" w:eastAsia="Arial" w:hAnsi="Arial"/>
          <w:sz w:val="18"/>
          <w:szCs w:val="18"/>
          <w:color w:val="auto"/>
        </w:rPr>
        <w:t>During the first quarter of 2016, the Company’s chief operating officer terminated employment and the chief financial officer retired. In conjunction with the termination and retirement, unvested RSUs totaling 167,511, which were outstanding as of December 31, 2015, immediately vested representing an additional $0.5 million included in stock compensation expense during the first quarter of 2016. Additionally, severance costs totaling $1.4 million were recognized during the first quarter of 2016.</w:t>
      </w:r>
    </w:p>
    <w:p>
      <w:pPr>
        <w:spacing w:after="0" w:line="162" w:lineRule="exact"/>
        <w:rPr>
          <w:sz w:val="20"/>
          <w:szCs w:val="20"/>
          <w:color w:val="auto"/>
        </w:rPr>
      </w:pPr>
    </w:p>
    <w:p>
      <w:pPr>
        <w:ind w:right="400" w:firstLine="648"/>
        <w:spacing w:after="0" w:line="232" w:lineRule="auto"/>
        <w:rPr>
          <w:sz w:val="20"/>
          <w:szCs w:val="20"/>
          <w:color w:val="auto"/>
        </w:rPr>
      </w:pPr>
      <w:r>
        <w:rPr>
          <w:rFonts w:ascii="Arial" w:cs="Arial" w:eastAsia="Arial" w:hAnsi="Arial"/>
          <w:sz w:val="17"/>
          <w:szCs w:val="17"/>
          <w:color w:val="auto"/>
        </w:rPr>
        <w:t>On September 19, 2014, as a result of the Merger, all outstanding MTR Gaming stock options (“MTR Stock Options”) vested (to the extent not already vested) and converted into an option or right to purchase the same number of shares of ERI common stock (at the same exercise price per share as in effect prior to such conversion). All other terms, except vesting requirements, applicable to such stock options remain the same.</w:t>
      </w:r>
    </w:p>
    <w:p>
      <w:pPr>
        <w:spacing w:after="0" w:line="122" w:lineRule="exact"/>
        <w:rPr>
          <w:sz w:val="20"/>
          <w:szCs w:val="20"/>
          <w:color w:val="auto"/>
        </w:rPr>
      </w:pPr>
    </w:p>
    <w:p>
      <w:pPr>
        <w:ind w:right="40" w:firstLine="648"/>
        <w:spacing w:after="0" w:line="215" w:lineRule="auto"/>
        <w:rPr>
          <w:sz w:val="20"/>
          <w:szCs w:val="20"/>
          <w:color w:val="auto"/>
        </w:rPr>
      </w:pPr>
      <w:r>
        <w:rPr>
          <w:rFonts w:ascii="Arial" w:cs="Arial" w:eastAsia="Arial" w:hAnsi="Arial"/>
          <w:sz w:val="18"/>
          <w:szCs w:val="18"/>
          <w:color w:val="auto"/>
        </w:rPr>
        <w:t>A summary of the ERI Stock Option activity for the years ended December 31, 2014 and 2015 and the three months ended March 31, 2016 is as follows:</w:t>
      </w:r>
    </w:p>
    <w:tbl>
      <w:tblPr>
        <w:tblLayout w:type="fixed"/>
        <w:tblInd w:w="0" w:type="dxa"/>
        <w:tblCellMar>
          <w:top w:w="0" w:type="dxa"/>
          <w:left w:w="0" w:type="dxa"/>
          <w:bottom w:w="0" w:type="dxa"/>
          <w:right w:w="0" w:type="dxa"/>
        </w:tblCellMar>
      </w:tblPr>
      <w:tr>
        <w:trPr>
          <w:trHeight w:val="130"/>
        </w:trPr>
        <w:tc>
          <w:tcPr>
            <w:tcW w:w="4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140"/>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6"/>
                <w:szCs w:val="16"/>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Range of</w:t>
            </w:r>
          </w:p>
        </w:tc>
        <w:tc>
          <w:tcPr>
            <w:tcW w:w="1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7"/>
                <w:szCs w:val="7"/>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4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1"/>
                <w:szCs w:val="11"/>
                <w:color w:val="auto"/>
              </w:rPr>
            </w:pPr>
          </w:p>
        </w:tc>
        <w:tc>
          <w:tcPr>
            <w:tcW w:w="10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0"/>
              </w:rPr>
              <w:t>Exercise Prices</w:t>
            </w:r>
          </w:p>
        </w:tc>
        <w:tc>
          <w:tcPr>
            <w:tcW w:w="160" w:type="dxa"/>
            <w:vAlign w:val="bottom"/>
          </w:tcPr>
          <w:p>
            <w:pPr>
              <w:spacing w:after="0"/>
              <w:rPr>
                <w:sz w:val="11"/>
                <w:szCs w:val="11"/>
                <w:color w:val="auto"/>
              </w:rPr>
            </w:pPr>
          </w:p>
        </w:tc>
        <w:tc>
          <w:tcPr>
            <w:tcW w:w="6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3"/>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Intrinsic Value</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9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as of December 31, 2014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398,200</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$2.44 -$16.27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120"/>
              <w:spacing w:after="0" w:line="176" w:lineRule="exact"/>
              <w:rPr>
                <w:sz w:val="20"/>
                <w:szCs w:val="20"/>
                <w:color w:val="auto"/>
              </w:rPr>
            </w:pPr>
            <w:r>
              <w:rPr>
                <w:rFonts w:ascii="Arial" w:cs="Arial" w:eastAsia="Arial" w:hAnsi="Arial"/>
                <w:sz w:val="18"/>
                <w:szCs w:val="18"/>
                <w:color w:val="auto"/>
              </w:rPr>
              <w:t>Exercised</w:t>
            </w: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(86,000)</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Outstanding and Exercisable as of December 31, 2015</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312,200</w:t>
            </w:r>
          </w:p>
        </w:tc>
        <w:tc>
          <w:tcPr>
            <w:tcW w:w="160" w:type="dxa"/>
            <w:vAlign w:val="bottom"/>
            <w:vMerge w:val="continue"/>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88"/>
              </w:rPr>
              <w:t>$2.44 -$16.27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6.94</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Outstanding and Exercisable as of March 31, 2016</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304,453</w:t>
            </w:r>
          </w:p>
        </w:tc>
        <w:tc>
          <w:tcPr>
            <w:tcW w:w="160" w:type="dxa"/>
            <w:vAlign w:val="bottom"/>
            <w:vMerge w:val="continue"/>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88"/>
              </w:rPr>
              <w:t>$2.44 -</w:t>
            </w:r>
            <w:r>
              <w:rPr>
                <w:rFonts w:ascii="Arial" w:cs="Arial" w:eastAsia="Arial" w:hAnsi="Arial"/>
                <w:sz w:val="18"/>
                <w:szCs w:val="18"/>
                <w:u w:val="single" w:color="auto"/>
                <w:color w:val="auto"/>
                <w:w w:val="88"/>
              </w:rPr>
              <w:t>$</w:t>
            </w:r>
            <w:r>
              <w:rPr>
                <w:rFonts w:ascii="Arial" w:cs="Arial" w:eastAsia="Arial" w:hAnsi="Arial"/>
                <w:sz w:val="18"/>
                <w:szCs w:val="18"/>
                <w:color w:val="auto"/>
                <w:w w:val="88"/>
              </w:rPr>
              <w:t>16.27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7.04</w:t>
            </w: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Other and Intangible Assets, net</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and intangible assets, net, consisted of the following amounts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93"/>
              <w:spacing w:after="0" w:line="135" w:lineRule="exact"/>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6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Gaming license (indefinite-lived)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482,074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482,074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Trade names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Loyalty programs</w:t>
            </w:r>
          </w:p>
        </w:tc>
        <w:tc>
          <w:tcPr>
            <w:tcW w:w="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ind w:left="320"/>
              <w:spacing w:after="0"/>
              <w:rPr>
                <w:sz w:val="20"/>
                <w:szCs w:val="20"/>
                <w:color w:val="auto"/>
              </w:rPr>
            </w:pPr>
            <w:r>
              <w:rPr>
                <w:rFonts w:ascii="Arial" w:cs="Arial" w:eastAsia="Arial" w:hAnsi="Arial"/>
                <w:sz w:val="18"/>
                <w:szCs w:val="18"/>
                <w:color w:val="auto"/>
              </w:rPr>
              <w:t>Subtotal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499,574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499,574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trade names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 loyalty programs</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gaming licenses and other intangible assets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490,831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492,033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Land held for development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assets, net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39" w:firstLine="648"/>
        <w:spacing w:after="0" w:line="232" w:lineRule="auto"/>
        <w:rPr>
          <w:sz w:val="20"/>
          <w:szCs w:val="20"/>
          <w:color w:val="auto"/>
        </w:rPr>
      </w:pPr>
      <w:r>
        <w:rPr>
          <w:rFonts w:ascii="Arial" w:cs="Arial" w:eastAsia="Arial" w:hAnsi="Arial"/>
          <w:sz w:val="17"/>
          <w:szCs w:val="17"/>
          <w:color w:val="auto"/>
        </w:rPr>
        <w:t>Goodwill, the excess of the purchase price of acquiring MTR Gaming over the fair market value of the net assets acquired, in the amount of $66.8 million was recorded as of March 31, 2016. For financial reporting purposes, goodwill is not amortized, but is reviewed no less than annually or when events or circumstances indicate the carrying value might exceed the market value to determine if there has been an impairment in the recorded value.</w:t>
      </w:r>
    </w:p>
    <w:p>
      <w:pPr>
        <w:spacing w:after="0" w:line="163" w:lineRule="exact"/>
        <w:rPr>
          <w:sz w:val="20"/>
          <w:szCs w:val="20"/>
          <w:color w:val="auto"/>
        </w:rPr>
      </w:pPr>
    </w:p>
    <w:p>
      <w:pPr>
        <w:ind w:right="19" w:firstLine="648"/>
        <w:spacing w:after="0" w:line="212" w:lineRule="auto"/>
        <w:rPr>
          <w:sz w:val="20"/>
          <w:szCs w:val="20"/>
          <w:color w:val="auto"/>
        </w:rPr>
      </w:pPr>
      <w:r>
        <w:rPr>
          <w:rFonts w:ascii="Arial" w:cs="Arial" w:eastAsia="Arial" w:hAnsi="Arial"/>
          <w:sz w:val="18"/>
          <w:szCs w:val="18"/>
          <w:color w:val="auto"/>
        </w:rPr>
        <w:t>Included in gaming licenses is the Eldorado Shreveport gaming license recorded at $20.6 million at both March 31, 2016 and December 31, 2015. The license represents an intangible asset acquired from the purchase of a gaming entity located in a gaming jurisdiction where competition is limited, such as when only a limited number of gaming operators are allowed to operate. Also included in gaming licenses are the gaming and racing licenses of Mountaineer, Presque Isle Downs and Scioto Downs totaling $482.1 million, which reflects the fair value of the licenses calculated as of March 31, 2016 and December 31, 2015. Gaming license rights are not subject to amortization as the Company has determined that they have an indefinite useful life.</w:t>
      </w:r>
    </w:p>
    <w:p>
      <w:pPr>
        <w:spacing w:after="0" w:line="165" w:lineRule="exact"/>
        <w:rPr>
          <w:sz w:val="20"/>
          <w:szCs w:val="20"/>
          <w:color w:val="auto"/>
        </w:rPr>
      </w:pPr>
    </w:p>
    <w:p>
      <w:pPr>
        <w:ind w:right="39" w:firstLine="648"/>
        <w:spacing w:after="0" w:line="185" w:lineRule="exact"/>
        <w:rPr>
          <w:sz w:val="20"/>
          <w:szCs w:val="20"/>
          <w:color w:val="auto"/>
        </w:rPr>
      </w:pPr>
      <w:r>
        <w:rPr>
          <w:rFonts w:ascii="Arial" w:cs="Arial" w:eastAsia="Arial" w:hAnsi="Arial"/>
          <w:sz w:val="18"/>
          <w:szCs w:val="18"/>
          <w:color w:val="auto"/>
        </w:rPr>
        <w:t>Trade names are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3.5 year useful life and the loyalty program is amortized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a one year useful life. Amortization expense with respect to trade names and the loyalty program amounted to $1.2 million and $1.9 million, respectively, for the three months ended March 31, 2016 and 2015, which is included in depreciation and amortization in the consolidated statements of operations. Such amortization expense is expected to be $3.3 million during the remainder of 2016, $1.9 million for the year ended December 31, 2017, and $0.4 million for the year ended December 31,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67" w:lineRule="exact"/>
        <w:rPr>
          <w:sz w:val="20"/>
          <w:szCs w:val="20"/>
          <w:color w:val="auto"/>
        </w:rPr>
      </w:pPr>
    </w:p>
    <w:p>
      <w:pPr>
        <w:ind w:right="119" w:firstLine="648"/>
        <w:spacing w:after="0" w:line="214" w:lineRule="auto"/>
        <w:rPr>
          <w:sz w:val="20"/>
          <w:szCs w:val="20"/>
          <w:color w:val="auto"/>
        </w:rPr>
      </w:pPr>
      <w:r>
        <w:rPr>
          <w:rFonts w:ascii="Arial" w:cs="Arial" w:eastAsia="Arial" w:hAnsi="Arial"/>
          <w:sz w:val="18"/>
          <w:szCs w:val="18"/>
          <w:color w:val="auto"/>
        </w:rPr>
        <w:t>Prior to the Merger Date, HoldCo was taxed as a partnership under the Internal Revenue Code pursuant to which income taxes were primarily the responsibility of the partners. On September 19, 2014, in connection with the Merger, the Company became a C corporation subject to federal and state corporate-level income taxes at prevailing corporate tax rates. The Company and its subsidiaries file US federal tax returns and various state and local income tax returns. With few exceptions, the Company is no longer subject to US federal or state and local tax examinations by tax authorities for years before 2012.</w:t>
      </w:r>
    </w:p>
    <w:p>
      <w:pPr>
        <w:spacing w:after="0" w:line="27" w:lineRule="exact"/>
        <w:rPr>
          <w:sz w:val="20"/>
          <w:szCs w:val="20"/>
          <w:color w:val="auto"/>
        </w:rPr>
      </w:pPr>
    </w:p>
    <w:p>
      <w:pPr>
        <w:ind w:right="59" w:firstLine="648"/>
        <w:spacing w:after="0" w:line="244" w:lineRule="auto"/>
        <w:rPr>
          <w:sz w:val="20"/>
          <w:szCs w:val="20"/>
          <w:color w:val="auto"/>
        </w:rPr>
      </w:pPr>
      <w:r>
        <w:rPr>
          <w:rFonts w:ascii="Arial" w:cs="Arial" w:eastAsia="Arial" w:hAnsi="Arial"/>
          <w:sz w:val="16"/>
          <w:szCs w:val="16"/>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 For years prior to 2016, the income tax provision resulted in an effective tax rate that had an unusual relation to pretax income (loss). This was due to the federal and state valuation allowances on deferred tax assets as discussed below.</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40" w:firstLine="648"/>
        <w:spacing w:after="0" w:line="224" w:lineRule="auto"/>
        <w:rPr>
          <w:sz w:val="20"/>
          <w:szCs w:val="20"/>
          <w:color w:val="auto"/>
        </w:rPr>
      </w:pPr>
      <w:r>
        <w:rPr>
          <w:rFonts w:ascii="Arial" w:cs="Arial" w:eastAsia="Arial" w:hAnsi="Arial"/>
          <w:sz w:val="18"/>
          <w:szCs w:val="18"/>
          <w:color w:val="auto"/>
        </w:rPr>
        <w:t>For the three months ended March 31, 2016, the difference between the effective rate and the statutory rate is attributed primarily to state and local income taxes less the benefit of the early adoption of ASU 2016-09 (Stock Compensation).</w:t>
      </w:r>
    </w:p>
    <w:p>
      <w:pPr>
        <w:spacing w:after="0" w:line="4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For the three months ended March 31, 2015, the difference between the effective rate and the statutory rate is attributed primarily to the federal and state valuation allowances on deferred tax assets. As a result of net operating losses and the net deferred tax asset position (after exclusion of certain deferred tax liabilities that generally cannot be offset against deferred tax assets, known as “Naked Credits”), the Company provided for a full valuation allowance against substantially all of the net federal and state deferred tax assets.</w:t>
      </w:r>
    </w:p>
    <w:p>
      <w:pPr>
        <w:spacing w:after="0" w:line="27"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the Company's need for a valuation allowance against the net deferred tax assets. Therefore, we expect to record non cash deferred tax expense as we amortize these assets for tax purposes.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March 31, 2016 and 2015, the Company’s tax expense was $1.8 million and</w:t>
      </w:r>
    </w:p>
    <w:p>
      <w:pPr>
        <w:spacing w:after="0" w:line="229" w:lineRule="auto"/>
        <w:rPr>
          <w:sz w:val="20"/>
          <w:szCs w:val="20"/>
          <w:color w:val="auto"/>
        </w:rPr>
      </w:pPr>
      <w:r>
        <w:rPr>
          <w:rFonts w:ascii="Arial" w:cs="Arial" w:eastAsia="Arial" w:hAnsi="Arial"/>
          <w:sz w:val="16"/>
          <w:szCs w:val="16"/>
          <w:color w:val="auto"/>
        </w:rPr>
        <w:t>$1.0 million, respectively. As of March 31, 2016 and 2015, there were no unrecognized tax benefits and the Company does</w:t>
      </w:r>
    </w:p>
    <w:p>
      <w:pPr>
        <w:spacing w:after="0"/>
        <w:rPr>
          <w:sz w:val="20"/>
          <w:szCs w:val="20"/>
          <w:color w:val="auto"/>
        </w:rPr>
      </w:pPr>
      <w:r>
        <w:rPr>
          <w:rFonts w:ascii="Arial" w:cs="Arial" w:eastAsia="Arial" w:hAnsi="Arial"/>
          <w:sz w:val="16"/>
          <w:szCs w:val="16"/>
          <w:color w:val="auto"/>
        </w:rPr>
        <w:t>not expect a significant increase or decrease to the total amounts of unrecognized tax benefits within the next twelve months.</w:t>
      </w:r>
    </w:p>
    <w:p>
      <w:pPr>
        <w:sectPr>
          <w:pgSz w:w="11900" w:h="16838" w:orient="portrait"/>
          <w:cols w:equalWidth="0" w:num="1">
            <w:col w:w="9060"/>
          </w:cols>
          <w:pgMar w:left="1420" w:top="112" w:right="1419" w:bottom="1440" w:gutter="0" w:footer="0" w:header="0"/>
        </w:sectPr>
      </w:pPr>
    </w:p>
    <w:p>
      <w:pPr>
        <w:spacing w:after="0" w:line="9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Note 7. Long</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Term Debt</w:t>
      </w:r>
    </w:p>
    <w:p>
      <w:pPr>
        <w:spacing w:after="0" w:line="81" w:lineRule="exact"/>
        <w:rPr>
          <w:sz w:val="20"/>
          <w:szCs w:val="20"/>
          <w:color w:val="auto"/>
        </w:rPr>
      </w:pPr>
    </w:p>
    <w:p>
      <w:pPr>
        <w:jc w:val="right"/>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400685</wp:posOffset>
            </wp:positionV>
            <wp:extent cx="459676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967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Senior Notes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 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59676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96765" cy="14605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2" w:type="dxa"/>
        <w:tblCellMar>
          <w:top w:w="0" w:type="dxa"/>
          <w:left w:w="0" w:type="dxa"/>
          <w:bottom w:w="0" w:type="dxa"/>
          <w:right w:w="0" w:type="dxa"/>
        </w:tblCellMar>
      </w:tblPr>
      <w:tr>
        <w:trPr>
          <w:trHeight w:val="161"/>
        </w:trPr>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9"/>
              </w:rPr>
              <w:t>March 31,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r>
      <w:tr>
        <w:trPr>
          <w:trHeight w:val="162"/>
        </w:trPr>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2015</w:t>
            </w:r>
          </w:p>
        </w:tc>
      </w:tr>
    </w:tbl>
    <w:p>
      <w:pPr>
        <w:spacing w:after="0" w:line="4" w:lineRule="exact"/>
        <w:rPr>
          <w:sz w:val="20"/>
          <w:szCs w:val="20"/>
          <w:color w:val="auto"/>
        </w:rPr>
      </w:pPr>
    </w:p>
    <w:p>
      <w:pPr>
        <w:ind w:left="22"/>
        <w:spacing w:after="0"/>
        <w:rPr>
          <w:sz w:val="20"/>
          <w:szCs w:val="20"/>
          <w:color w:val="auto"/>
        </w:rPr>
      </w:pPr>
      <w:r>
        <w:rPr>
          <w:rFonts w:ascii="Arial" w:cs="Arial" w:eastAsia="Arial" w:hAnsi="Arial"/>
          <w:sz w:val="14"/>
          <w:szCs w:val="14"/>
          <w:b w:val="1"/>
          <w:bCs w:val="1"/>
          <w:color w:val="auto"/>
        </w:rPr>
        <w:t>(unaudited)</w:t>
      </w:r>
    </w:p>
    <w:p>
      <w:pPr>
        <w:spacing w:after="0" w:line="12" w:lineRule="exact"/>
        <w:rPr>
          <w:sz w:val="20"/>
          <w:szCs w:val="20"/>
          <w:color w:val="auto"/>
        </w:rPr>
      </w:pPr>
    </w:p>
    <w:p>
      <w:pPr>
        <w:ind w:left="122" w:hanging="122"/>
        <w:spacing w:after="0"/>
        <w:tabs>
          <w:tab w:leader="none" w:pos="122" w:val="left"/>
        </w:tabs>
        <w:numPr>
          <w:ilvl w:val="0"/>
          <w:numId w:val="7"/>
        </w:numPr>
        <w:rPr>
          <w:rFonts w:ascii="Arial" w:cs="Arial" w:eastAsia="Arial" w:hAnsi="Arial"/>
          <w:sz w:val="18"/>
          <w:szCs w:val="18"/>
          <w:color w:val="auto"/>
        </w:rPr>
      </w:pPr>
      <w:r>
        <w:rPr>
          <w:rFonts w:ascii="Arial" w:cs="Arial" w:eastAsia="Arial" w:hAnsi="Arial"/>
          <w:sz w:val="18"/>
          <w:szCs w:val="18"/>
          <w:color w:val="auto"/>
        </w:rPr>
        <w:t>375,000  $  375,000</w:t>
      </w:r>
    </w:p>
    <w:p>
      <w:pPr>
        <w:spacing w:after="0" w:line="9" w:lineRule="exact"/>
        <w:rPr>
          <w:rFonts w:ascii="Arial" w:cs="Arial" w:eastAsia="Arial" w:hAnsi="Arial"/>
          <w:sz w:val="18"/>
          <w:szCs w:val="18"/>
          <w:color w:val="auto"/>
        </w:rPr>
      </w:pPr>
    </w:p>
    <w:p>
      <w:pPr>
        <w:ind w:left="222"/>
        <w:spacing w:after="0"/>
        <w:rPr>
          <w:rFonts w:ascii="Arial" w:cs="Arial" w:eastAsia="Arial" w:hAnsi="Arial"/>
          <w:sz w:val="18"/>
          <w:szCs w:val="18"/>
          <w:color w:val="auto"/>
        </w:rPr>
      </w:pPr>
      <w:r>
        <w:rPr>
          <w:rFonts w:ascii="Arial" w:cs="Arial" w:eastAsia="Arial" w:hAnsi="Arial"/>
          <w:sz w:val="18"/>
          <w:szCs w:val="18"/>
          <w:color w:val="auto"/>
        </w:rPr>
        <w:t>(8,799)</w:t>
      </w:r>
      <w:r>
        <w:rPr>
          <w:rFonts w:ascii="Arial" w:cs="Arial" w:eastAsia="Arial" w:hAnsi="Arial"/>
          <w:sz w:val="16"/>
          <w:szCs w:val="16"/>
          <w:color w:val="auto"/>
        </w:rPr>
        <w:t>(8,957)</w:t>
      </w:r>
    </w:p>
    <w:p>
      <w:pPr>
        <w:spacing w:after="0" w:line="7" w:lineRule="exact"/>
        <w:rPr>
          <w:sz w:val="20"/>
          <w:szCs w:val="20"/>
          <w:color w:val="auto"/>
        </w:rPr>
      </w:pPr>
    </w:p>
    <w:p>
      <w:pPr>
        <w:ind w:left="122"/>
        <w:spacing w:after="0"/>
        <w:tabs>
          <w:tab w:leader="none" w:pos="1101" w:val="left"/>
        </w:tabs>
        <w:rPr>
          <w:sz w:val="20"/>
          <w:szCs w:val="20"/>
          <w:color w:val="auto"/>
        </w:rPr>
      </w:pPr>
      <w:r>
        <w:rPr>
          <w:rFonts w:ascii="Arial" w:cs="Arial" w:eastAsia="Arial" w:hAnsi="Arial"/>
          <w:sz w:val="17"/>
          <w:szCs w:val="17"/>
          <w:color w:val="auto"/>
        </w:rPr>
        <w:t>366,201</w:t>
      </w:r>
      <w:r>
        <w:rPr>
          <w:sz w:val="20"/>
          <w:szCs w:val="20"/>
          <w:color w:val="auto"/>
        </w:rPr>
        <w:tab/>
      </w:r>
      <w:r>
        <w:rPr>
          <w:rFonts w:ascii="Arial" w:cs="Arial" w:eastAsia="Arial" w:hAnsi="Arial"/>
          <w:sz w:val="17"/>
          <w:szCs w:val="17"/>
          <w:color w:val="auto"/>
        </w:rPr>
        <w:t>366,043</w:t>
      </w:r>
    </w:p>
    <w:p>
      <w:pPr>
        <w:spacing w:after="0" w:line="238" w:lineRule="exact"/>
        <w:rPr>
          <w:sz w:val="20"/>
          <w:szCs w:val="20"/>
          <w:color w:val="auto"/>
        </w:rPr>
      </w:pPr>
    </w:p>
    <w:p>
      <w:pPr>
        <w:sectPr>
          <w:pgSz w:w="11900" w:h="16838" w:orient="portrait"/>
          <w:cols w:equalWidth="0" w:num="2">
            <w:col w:w="4820" w:space="598"/>
            <w:col w:w="3642"/>
          </w:cols>
          <w:pgMar w:left="1420" w:top="112" w:right="1419" w:bottom="1440" w:gutter="0" w:footer="0" w:header="0"/>
          <w:type w:val="continuous"/>
        </w:sectPr>
      </w:pP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New Term Loan</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421,813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422,875</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(14,020)</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(14,465)</w:t>
            </w:r>
          </w:p>
        </w:tc>
      </w:tr>
      <w:tr>
        <w:trPr>
          <w:trHeight w:val="210"/>
        </w:trPr>
        <w:tc>
          <w:tcPr>
            <w:tcW w:w="4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407,793</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408,410</w:t>
            </w:r>
          </w:p>
        </w:tc>
        <w:tc>
          <w:tcPr>
            <w:tcW w:w="60" w:type="dxa"/>
            <w:vAlign w:val="bottom"/>
            <w:tcBorders>
              <w:top w:val="single" w:sz="8" w:color="CCEEFF"/>
            </w:tcBorders>
            <w:shd w:val="clear" w:color="auto" w:fill="CCEEFF"/>
          </w:tcPr>
          <w:p>
            <w:pPr>
              <w:spacing w:after="0"/>
              <w:rPr>
                <w:sz w:val="18"/>
                <w:szCs w:val="18"/>
                <w:color w:val="auto"/>
              </w:rPr>
            </w:pPr>
          </w:p>
        </w:tc>
      </w:tr>
      <w:tr>
        <w:trPr>
          <w:trHeight w:val="176"/>
        </w:trPr>
        <w:tc>
          <w:tcPr>
            <w:tcW w:w="4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New Revolving Credit Facility</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 Unamortized debt issuance costs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(2,533)</w:t>
            </w:r>
          </w:p>
        </w:tc>
        <w:tc>
          <w:tcPr>
            <w:tcW w:w="60" w:type="dxa"/>
            <w:vAlign w:val="bottom"/>
          </w:tcPr>
          <w:p>
            <w:pPr>
              <w:spacing w:after="0"/>
              <w:rPr>
                <w:sz w:val="18"/>
                <w:szCs w:val="18"/>
                <w:color w:val="auto"/>
              </w:rPr>
            </w:pPr>
          </w:p>
        </w:tc>
      </w:tr>
      <w:tr>
        <w:trPr>
          <w:trHeight w:val="210"/>
        </w:trPr>
        <w:tc>
          <w:tcPr>
            <w:tcW w:w="45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8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56,584</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90,967</w:t>
            </w:r>
          </w:p>
        </w:tc>
        <w:tc>
          <w:tcPr>
            <w:tcW w:w="60" w:type="dxa"/>
            <w:vAlign w:val="bottom"/>
            <w:tcBorders>
              <w:top w:val="single" w:sz="8" w:color="CCEEFF"/>
            </w:tcBorders>
            <w:shd w:val="clear" w:color="auto" w:fill="CCEEFF"/>
          </w:tcPr>
          <w:p>
            <w:pPr>
              <w:spacing w:after="0"/>
              <w:rPr>
                <w:sz w:val="18"/>
                <w:szCs w:val="18"/>
                <w:color w:val="auto"/>
              </w:rPr>
            </w:pPr>
          </w:p>
        </w:tc>
      </w:tr>
      <w:tr>
        <w:trPr>
          <w:trHeight w:val="189"/>
        </w:trPr>
        <w:tc>
          <w:tcPr>
            <w:tcW w:w="4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6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Less: Current portion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(4,527)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(4,524)</w:t>
            </w:r>
          </w:p>
        </w:tc>
        <w:tc>
          <w:tcPr>
            <w:tcW w:w="60" w:type="dxa"/>
            <w:vAlign w:val="bottom"/>
          </w:tcPr>
          <w:p>
            <w:pPr>
              <w:spacing w:after="0"/>
              <w:rPr>
                <w:sz w:val="18"/>
                <w:szCs w:val="18"/>
                <w:color w:val="auto"/>
              </w:rPr>
            </w:pPr>
          </w:p>
        </w:tc>
      </w:tr>
      <w:tr>
        <w:trPr>
          <w:trHeight w:val="217"/>
        </w:trPr>
        <w:tc>
          <w:tcPr>
            <w:tcW w:w="4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$ 826,798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861,713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96"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Scheduled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are $59.0 million in 2020, $395.3 million in 2022 and $375.0 million in 2023. Debt issuance costs and the discount associated with the issuance of the Senior Notes, New Term Loan and New Revolving Credit Facility (as such terms are defined below) in July 2015 totaled $26.0 million. Amortization of debt issuance costs is computed using the effective interest method and is included in interest expense. Amortization of the debt issuance costs and the discount associated with the Senior Notes and New Credit Facility (as defined below) totaled $0.8 million for the three months ended March 31, 2016.</w:t>
      </w:r>
    </w:p>
    <w:p>
      <w:pPr>
        <w:spacing w:after="0" w:line="81" w:lineRule="exact"/>
        <w:rPr>
          <w:sz w:val="20"/>
          <w:szCs w:val="20"/>
          <w:color w:val="auto"/>
        </w:rPr>
      </w:pPr>
    </w:p>
    <w:p>
      <w:pPr>
        <w:ind w:right="100" w:firstLine="648"/>
        <w:spacing w:after="0" w:line="189" w:lineRule="exact"/>
        <w:rPr>
          <w:sz w:val="20"/>
          <w:szCs w:val="20"/>
          <w:color w:val="auto"/>
        </w:rPr>
      </w:pPr>
      <w:r>
        <w:rPr>
          <w:rFonts w:ascii="Arial" w:cs="Arial" w:eastAsia="Arial" w:hAnsi="Arial"/>
          <w:sz w:val="18"/>
          <w:szCs w:val="18"/>
          <w:color w:val="auto"/>
        </w:rPr>
        <w:t>In 2015, amortization of Resorts’ bond costs was computed using the straight</w:t>
      </w:r>
      <w:r>
        <w:rPr>
          <w:rFonts w:ascii="MS PGothic" w:cs="MS PGothic" w:eastAsia="MS PGothic" w:hAnsi="MS PGothic"/>
          <w:sz w:val="18"/>
          <w:szCs w:val="18"/>
          <w:color w:val="auto"/>
        </w:rPr>
        <w:t>‑</w:t>
      </w:r>
      <w:r>
        <w:rPr>
          <w:rFonts w:ascii="Arial" w:cs="Arial" w:eastAsia="Arial" w:hAnsi="Arial"/>
          <w:sz w:val="18"/>
          <w:szCs w:val="18"/>
          <w:color w:val="auto"/>
        </w:rPr>
        <w:t>line method, which approximated the effective interest method, over the term of the bonds, and was included in interest expense. Amortization expense with respect to deferred financing costs on Resorts senior secured notes amounted to $0.2 million for three months ended March 31, 2015.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type w:val="continuous"/>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Refinancing Transaction and Senior Notes</w:t>
      </w:r>
    </w:p>
    <w:p>
      <w:pPr>
        <w:spacing w:after="0" w:line="77"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On July 23, 2015, the Company issued $375 million in aggregate principal amount of 7.0% senior notes due 2023 (“Senior Notes”) pursuant to the indenture, dated as of July 23, 2015 (the “Indenture”), at an issue price equal to 100.0% of the aggregate principal amount of the Senior Notes. The Senior Notes are guaranteed by all of the Company’s direct and indirect restricted subsidiaries other than immaterial subsidiaries, CC-Reno and the Silver Legacy Joint Venture. CC-Reno, LLC and the Silver Legacy Joint Venture will become guarantors upon receipt of the requisite gaming approvals expected to occur in May 2016. The Senior Notes will mature on August 1, 2023, with interest payable semi-annually in arrears on February 1 and August 1 of each year.</w:t>
      </w:r>
    </w:p>
    <w:p>
      <w:pPr>
        <w:spacing w:after="0" w:line="125"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Company used the net proceeds from the Senior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Acquisition Date. As a result of the July 2015 refinancing, we recognized a $2.0 million net loss on the early retirement of debt.</w:t>
      </w:r>
    </w:p>
    <w:p>
      <w:pPr>
        <w:spacing w:after="0" w:line="41"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92"/>
              </w:rPr>
              <w:t>Percentage</w:t>
            </w: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103.500 %</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101.750 %</w:t>
            </w:r>
          </w:p>
        </w:tc>
      </w:tr>
      <w:tr>
        <w:trPr>
          <w:trHeight w:val="243"/>
        </w:trPr>
        <w:tc>
          <w:tcPr>
            <w:tcW w:w="632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100.000 %</w:t>
            </w:r>
          </w:p>
        </w:tc>
      </w:tr>
    </w:tbl>
    <w:p>
      <w:pPr>
        <w:spacing w:after="0" w:line="5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w:t>
      </w:r>
    </w:p>
    <w:p>
      <w:pPr>
        <w:spacing w:after="0" w:line="121" w:lineRule="exact"/>
        <w:rPr>
          <w:sz w:val="20"/>
          <w:szCs w:val="20"/>
          <w:color w:val="auto"/>
        </w:rPr>
      </w:pPr>
    </w:p>
    <w:p>
      <w:pPr>
        <w:ind w:right="720" w:firstLine="648"/>
        <w:spacing w:after="0" w:line="235" w:lineRule="auto"/>
        <w:rPr>
          <w:sz w:val="20"/>
          <w:szCs w:val="20"/>
          <w:color w:val="auto"/>
        </w:rPr>
      </w:pPr>
      <w:r>
        <w:rPr>
          <w:rFonts w:ascii="Arial" w:cs="Arial" w:eastAsia="Arial" w:hAnsi="Arial"/>
          <w:sz w:val="18"/>
          <w:szCs w:val="18"/>
          <w:color w:val="auto"/>
        </w:rPr>
        <w:t>The Senior Notes are subject to redemption imposed by gaming laws and regulations of applicable gaming regulatory authorities.</w:t>
      </w:r>
    </w:p>
    <w:p>
      <w:pPr>
        <w:spacing w:after="0" w:line="54"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 dividends or distributions or make certain other restricted payments or investments;</w:t>
      </w:r>
    </w:p>
    <w:p>
      <w:pPr>
        <w:spacing w:after="0" w:line="77" w:lineRule="exact"/>
        <w:rPr>
          <w:sz w:val="20"/>
          <w:szCs w:val="20"/>
          <w:color w:val="auto"/>
        </w:rPr>
      </w:pPr>
    </w:p>
    <w:p>
      <w:pPr>
        <w:ind w:left="700" w:right="20" w:hanging="53"/>
        <w:spacing w:after="0" w:line="235" w:lineRule="auto"/>
        <w:rPr>
          <w:sz w:val="20"/>
          <w:szCs w:val="20"/>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spacing w:after="0" w:line="54" w:lineRule="exact"/>
        <w:rPr>
          <w:sz w:val="20"/>
          <w:szCs w:val="20"/>
          <w:color w:val="auto"/>
        </w:rPr>
      </w:pPr>
    </w:p>
    <w:p>
      <w:pPr>
        <w:ind w:left="1140" w:hanging="489"/>
        <w:spacing w:after="0"/>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76" w:lineRule="exact"/>
        <w:rPr>
          <w:rFonts w:ascii="Arial" w:cs="Arial" w:eastAsia="Arial" w:hAnsi="Arial"/>
          <w:sz w:val="18"/>
          <w:szCs w:val="18"/>
          <w:color w:val="auto"/>
        </w:rPr>
      </w:pPr>
    </w:p>
    <w:p>
      <w:pPr>
        <w:ind w:left="900" w:hanging="24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77" w:lineRule="exact"/>
        <w:rPr>
          <w:sz w:val="20"/>
          <w:szCs w:val="20"/>
          <w:color w:val="auto"/>
        </w:rPr>
      </w:pPr>
    </w:p>
    <w:p>
      <w:pPr>
        <w:ind w:left="660" w:right="740"/>
        <w:spacing w:after="0" w:line="328" w:lineRule="auto"/>
        <w:rPr>
          <w:sz w:val="20"/>
          <w:szCs w:val="20"/>
          <w:color w:val="auto"/>
        </w:rPr>
      </w:pPr>
      <w:r>
        <w:rPr>
          <w:rFonts w:ascii="Arial" w:cs="Arial" w:eastAsia="Arial" w:hAnsi="Arial"/>
          <w:sz w:val="18"/>
          <w:szCs w:val="18"/>
          <w:color w:val="auto"/>
        </w:rPr>
        <w:t>·merge, consolidate, or sell, trainer or otherwise dispose of all or substantially all of the Company’s assets; · enter into certain transactions with affiliates;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·engage in lines of business other than the Company’s core business and related businesses; and</w:t>
      </w:r>
    </w:p>
    <w:p>
      <w:pPr>
        <w:spacing w:after="0" w:line="77" w:lineRule="exact"/>
        <w:rPr>
          <w:sz w:val="20"/>
          <w:szCs w:val="20"/>
          <w:color w:val="auto"/>
        </w:rPr>
      </w:pPr>
    </w:p>
    <w:p>
      <w:pPr>
        <w:ind w:left="4440" w:right="2860" w:hanging="3789"/>
        <w:spacing w:after="0" w:line="857" w:lineRule="auto"/>
        <w:tabs>
          <w:tab w:leader="none" w:pos="728"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restrictions on dividends or other payments by restricted subsidiaries.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-285750</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March 31, 2016, the Company was in compliance with all of the covenants under the Indenture relating to the Senior Notes.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Credit Facility</w:t>
      </w:r>
    </w:p>
    <w:p>
      <w:pPr>
        <w:spacing w:after="0" w:line="77"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On July 23, 2015, the Company entered into a new $425.0 million seven year term loan (the “New Term Loan”) and a new $150.0 million five year revolving credit facility (the “New Revolving Credit Facility” and, together with the New Term Loan, the “New Credit Facility”).</w:t>
      </w:r>
    </w:p>
    <w:p>
      <w:pPr>
        <w:spacing w:after="0" w:line="55" w:lineRule="exact"/>
        <w:rPr>
          <w:sz w:val="20"/>
          <w:szCs w:val="20"/>
          <w:color w:val="auto"/>
        </w:rPr>
      </w:pPr>
    </w:p>
    <w:p>
      <w:pPr>
        <w:ind w:right="260" w:firstLine="648"/>
        <w:spacing w:after="0" w:line="249" w:lineRule="auto"/>
        <w:rPr>
          <w:sz w:val="20"/>
          <w:szCs w:val="20"/>
          <w:color w:val="auto"/>
        </w:rPr>
      </w:pPr>
      <w:r>
        <w:rPr>
          <w:rFonts w:ascii="Arial" w:cs="Arial" w:eastAsia="Arial" w:hAnsi="Arial"/>
          <w:sz w:val="16"/>
          <w:szCs w:val="16"/>
          <w:color w:val="auto"/>
        </w:rPr>
        <w:t>As of March 31, 2016, the Company had $421.8 million outstanding on the New Term Loan and $59.0 million in borrowings outstanding under the New Revolving Credit Facility. The Company had $91.0 million of available borrowing capacity under its New Revolving Credit Facility as of March 31, 2016. At March 31, 2016, the interest rate on the New Term Loan was 4.25%, and the interest rate on the New Revolving Credit Facility was 3.95%.</w:t>
      </w:r>
    </w:p>
    <w:p>
      <w:pPr>
        <w:spacing w:after="0" w:line="47"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New Term Loan bears interest at a rate per annum of, at the Company’s option, either (x) LIBOR plus 3.25%, with a LIBOR floor of 1.0%, or (y) a base rate plus 2.25%. Borrowings under the New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New Revolving Credit Facility not being utilized in the amount of 0.50% per annum.</w:t>
      </w:r>
    </w:p>
    <w:p>
      <w:pPr>
        <w:spacing w:after="0" w:line="57"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or restricted subsidiaries)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55"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The credit agreement governing the New Credit Facility also includes requirements the Company maintains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54"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 As of March 31, 2016, the Company was in compliance with the covenants under the New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148"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w:t>
      </w:r>
      <w:r>
        <w:rPr>
          <w:rFonts w:ascii="MS PGothic" w:cs="MS PGothic" w:eastAsia="MS PGothic" w:hAnsi="MS PGothic"/>
          <w:sz w:val="18"/>
          <w:szCs w:val="18"/>
          <w:color w:val="auto"/>
        </w:rPr>
        <w:t>‑</w:t>
      </w:r>
      <w:r>
        <w:rPr>
          <w:rFonts w:ascii="Arial" w:cs="Arial" w:eastAsia="Arial" w:hAnsi="Arial"/>
          <w:sz w:val="18"/>
          <w:szCs w:val="18"/>
          <w:color w:val="auto"/>
        </w:rPr>
        <w:t>tier fair value hierarchy, which prioritizes the inputs used in measuring fair values as follows: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20" w:hanging="6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market prices in active markets for identical assets or liabilities.</w:t>
      </w:r>
    </w:p>
    <w:p>
      <w:pPr>
        <w:spacing w:after="0" w:line="144" w:lineRule="exact"/>
        <w:rPr>
          <w:rFonts w:ascii="Arial" w:cs="Arial" w:eastAsia="Arial" w:hAnsi="Arial"/>
          <w:sz w:val="18"/>
          <w:szCs w:val="18"/>
          <w:color w:val="auto"/>
        </w:rPr>
      </w:pPr>
    </w:p>
    <w:p>
      <w:pPr>
        <w:ind w:left="660"/>
        <w:spacing w:after="0" w:line="207" w:lineRule="exact"/>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Level 2</w:t>
      </w:r>
      <w:r>
        <w:rPr>
          <w:rFonts w:ascii="Arial" w:cs="Arial" w:eastAsia="Arial" w:hAnsi="Arial"/>
          <w:sz w:val="18"/>
          <w:szCs w:val="18"/>
          <w:color w:val="auto"/>
        </w:rPr>
        <w:t>: Observable market</w:t>
      </w:r>
      <w:r>
        <w:rPr>
          <w:rFonts w:ascii="MS PGothic" w:cs="MS PGothic" w:eastAsia="MS PGothic" w:hAnsi="MS PGothic"/>
          <w:sz w:val="18"/>
          <w:szCs w:val="18"/>
          <w:color w:val="auto"/>
        </w:rPr>
        <w:t>‑</w:t>
      </w:r>
      <w:r>
        <w:rPr>
          <w:rFonts w:ascii="Arial" w:cs="Arial" w:eastAsia="Arial" w:hAnsi="Arial"/>
          <w:sz w:val="18"/>
          <w:szCs w:val="18"/>
          <w:color w:val="auto"/>
        </w:rPr>
        <w:t>based inputs or unobservable inputs that are corroborated by market data.</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not corroborated by market data.</w:t>
      </w:r>
    </w:p>
    <w:p>
      <w:pPr>
        <w:spacing w:after="0" w:line="144"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54"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i w:val="1"/>
          <w:iCs w:val="1"/>
          <w:color w:val="auto"/>
        </w:rPr>
        <w:t xml:space="preserve">Cash and Cash Equivalents: </w:t>
      </w:r>
      <w:r>
        <w:rPr>
          <w:rFonts w:ascii="Arial" w:cs="Arial" w:eastAsia="Arial" w:hAnsi="Arial"/>
          <w:sz w:val="17"/>
          <w:szCs w:val="17"/>
          <w:color w:val="auto"/>
        </w:rPr>
        <w:t>Cash equivalents include investments in money market funds. Investments in this</w:t>
      </w:r>
      <w:r>
        <w:rPr>
          <w:rFonts w:ascii="Arial" w:cs="Arial" w:eastAsia="Arial" w:hAnsi="Arial"/>
          <w:sz w:val="17"/>
          <w:szCs w:val="17"/>
          <w:i w:val="1"/>
          <w:iCs w:val="1"/>
          <w:color w:val="auto"/>
        </w:rPr>
        <w:t xml:space="preserve"> </w:t>
      </w:r>
      <w:r>
        <w:rPr>
          <w:rFonts w:ascii="Arial" w:cs="Arial" w:eastAsia="Arial" w:hAnsi="Arial"/>
          <w:sz w:val="17"/>
          <w:szCs w:val="17"/>
          <w:color w:val="auto"/>
        </w:rPr>
        <w:t>category can be redeemed immediately at the current net asset value per share. A money market fund is a mutual fund whose investments are primarily in short</w:t>
      </w:r>
      <w:r>
        <w:rPr>
          <w:rFonts w:ascii="MS PGothic" w:cs="MS PGothic" w:eastAsia="MS PGothic" w:hAnsi="MS PGothic"/>
          <w:sz w:val="17"/>
          <w:szCs w:val="17"/>
          <w:color w:val="auto"/>
        </w:rPr>
        <w:t>‑</w:t>
      </w:r>
      <w:r>
        <w:rPr>
          <w:rFonts w:ascii="Arial" w:cs="Arial" w:eastAsia="Arial" w:hAnsi="Arial"/>
          <w:sz w:val="17"/>
          <w:szCs w:val="17"/>
          <w:color w:val="auto"/>
        </w:rPr>
        <w:t>term debt securities designed to maximize current income with liquidity and capital preservation, usually maintaining per share net asset value at a constant amount, such as one dollar. The carrying amounts approximate the fair value because of the short maturity of those instruments.</w:t>
      </w:r>
    </w:p>
    <w:p>
      <w:pPr>
        <w:spacing w:after="0" w:line="5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Restricted cash includes unredeemed winning tickets from the Company’s racing operations, funds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horsemen’s fines and certain simulcasting funds that are restricted to payments for improving horsemen’s facilities and racing purses at Scioto Downs, cash deposits that serve as collateral for letters of credit surety bonds and short-term certificates of deposit that serve as collateral for certain bonding requirements. Restricted cash is classified as Level 1 as its carrying value approximates market prices.</w:t>
      </w:r>
    </w:p>
    <w:p>
      <w:pPr>
        <w:spacing w:after="0" w:line="54" w:lineRule="exact"/>
        <w:rPr>
          <w:sz w:val="20"/>
          <w:szCs w:val="20"/>
          <w:color w:val="auto"/>
        </w:rPr>
      </w:pPr>
    </w:p>
    <w:p>
      <w:pPr>
        <w:ind w:right="140" w:firstLine="648"/>
        <w:spacing w:after="0" w:line="194" w:lineRule="exact"/>
        <w:rPr>
          <w:sz w:val="20"/>
          <w:szCs w:val="20"/>
          <w:color w:val="auto"/>
        </w:rPr>
      </w:pPr>
      <w:r>
        <w:rPr>
          <w:rFonts w:ascii="Arial" w:cs="Arial" w:eastAsia="Arial" w:hAnsi="Arial"/>
          <w:sz w:val="17"/>
          <w:szCs w:val="17"/>
          <w:i w:val="1"/>
          <w:iCs w:val="1"/>
          <w:color w:val="auto"/>
        </w:rPr>
        <w:t>Long</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term Debt</w:t>
      </w:r>
      <w:r>
        <w:rPr>
          <w:rFonts w:ascii="Arial" w:cs="Arial" w:eastAsia="Arial" w:hAnsi="Arial"/>
          <w:sz w:val="17"/>
          <w:szCs w:val="17"/>
          <w:color w:val="auto"/>
        </w:rPr>
        <w:t>: The Senior Notes are classified as Level 2 based upon market inputs. The New Term Loan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credit facility is classified as Level 2 as it is tied to market rates of interest and its carrying value approximates market value. The fair value of the Senior Notes was based on quoted market prices at March 31, 2016.</w:t>
      </w:r>
    </w:p>
    <w:p>
      <w:pPr>
        <w:spacing w:after="0" w:line="53"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i w:val="1"/>
          <w:iCs w:val="1"/>
          <w:color w:val="auto"/>
        </w:rPr>
        <w:t xml:space="preserve">Acquisition-Related Contingent Considerations: </w:t>
      </w:r>
      <w:r>
        <w:rPr>
          <w:rFonts w:ascii="Arial" w:cs="Arial" w:eastAsia="Arial" w:hAnsi="Arial"/>
          <w:sz w:val="18"/>
          <w:szCs w:val="18"/>
          <w:color w:val="auto"/>
        </w:rPr>
        <w:t>Contingent consideration related to the July 2003 acquisition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Scioto Downs represents the estimate of amounts to be paid to former stockholders of Scioto Downs under certain earn-out provisions. The Company considers the acquisition related contingency’s fair value measurement, which includes forecast assumptions, to be Level 3 within the fair value hierarchy.</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354"/>
              <w:spacing w:after="0"/>
              <w:rPr>
                <w:sz w:val="20"/>
                <w:szCs w:val="20"/>
                <w:color w:val="auto"/>
              </w:rPr>
            </w:pPr>
            <w:r>
              <w:rPr>
                <w:rFonts w:ascii="Arial" w:cs="Arial" w:eastAsia="Arial" w:hAnsi="Arial"/>
                <w:sz w:val="14"/>
                <w:szCs w:val="14"/>
                <w:b w:val="1"/>
                <w:bCs w:val="1"/>
                <w:color w:val="auto"/>
              </w:rPr>
              <w:t>March 31, 2016</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rPr>
              <w:t>December 31, 2015</w:t>
            </w:r>
          </w:p>
        </w:tc>
        <w:tc>
          <w:tcPr>
            <w:tcW w:w="8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rPr>
              <w:t>Fair</w:t>
            </w:r>
          </w:p>
        </w:tc>
      </w:tr>
      <w:tr>
        <w:trPr>
          <w:trHeight w:val="162"/>
        </w:trPr>
        <w:tc>
          <w:tcPr>
            <w:tcW w:w="4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76"/>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r>
      <w:tr>
        <w:trPr>
          <w:trHeight w:val="169"/>
        </w:trPr>
        <w:tc>
          <w:tcPr>
            <w:tcW w:w="43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Financial assets:</w:t>
            </w:r>
          </w:p>
        </w:tc>
        <w:tc>
          <w:tcPr>
            <w:tcW w:w="8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44,099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44,099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78,278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78,278</w:t>
            </w: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5,271</w:t>
            </w:r>
          </w:p>
        </w:tc>
        <w:tc>
          <w:tcPr>
            <w:tcW w:w="80" w:type="dxa"/>
            <w:vAlign w:val="bottom"/>
            <w:shd w:val="clear" w:color="auto" w:fill="CCEEFF"/>
          </w:tcPr>
          <w:p>
            <w:pPr>
              <w:spacing w:after="0"/>
              <w:rPr>
                <w:sz w:val="18"/>
                <w:szCs w:val="18"/>
                <w:color w:val="auto"/>
              </w:rPr>
            </w:pPr>
          </w:p>
        </w:tc>
      </w:tr>
      <w:tr>
        <w:trPr>
          <w:trHeight w:val="176"/>
        </w:trPr>
        <w:tc>
          <w:tcPr>
            <w:tcW w:w="4380" w:type="dxa"/>
            <w:vAlign w:val="bottom"/>
          </w:tcPr>
          <w:p>
            <w:pPr>
              <w:spacing w:after="0" w:line="176" w:lineRule="exact"/>
              <w:rPr>
                <w:sz w:val="20"/>
                <w:szCs w:val="20"/>
                <w:color w:val="auto"/>
              </w:rPr>
            </w:pPr>
            <w:r>
              <w:rPr>
                <w:rFonts w:ascii="Arial" w:cs="Arial" w:eastAsia="Arial" w:hAnsi="Arial"/>
                <w:sz w:val="18"/>
                <w:szCs w:val="18"/>
                <w:color w:val="auto"/>
              </w:rPr>
              <w:t>Financial liabilities:</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7.0% Senior Notes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366,201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387,188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366,043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367,500</w:t>
            </w:r>
          </w:p>
        </w:tc>
        <w:tc>
          <w:tcPr>
            <w:tcW w:w="80" w:type="dxa"/>
            <w:vAlign w:val="bottom"/>
            <w:shd w:val="clear" w:color="auto" w:fill="CCEEFF"/>
          </w:tcPr>
          <w:p>
            <w:pPr>
              <w:spacing w:after="0"/>
              <w:rPr>
                <w:sz w:val="18"/>
                <w:szCs w:val="18"/>
                <w:color w:val="auto"/>
              </w:rPr>
            </w:pPr>
          </w:p>
        </w:tc>
      </w:tr>
      <w:tr>
        <w:trPr>
          <w:trHeight w:val="216"/>
        </w:trPr>
        <w:tc>
          <w:tcPr>
            <w:tcW w:w="4380" w:type="dxa"/>
            <w:vAlign w:val="bottom"/>
          </w:tcPr>
          <w:p>
            <w:pPr>
              <w:ind w:left="220"/>
              <w:spacing w:after="0"/>
              <w:rPr>
                <w:sz w:val="20"/>
                <w:szCs w:val="20"/>
                <w:color w:val="auto"/>
              </w:rPr>
            </w:pPr>
            <w:r>
              <w:rPr>
                <w:rFonts w:ascii="Arial" w:cs="Arial" w:eastAsia="Arial" w:hAnsi="Arial"/>
                <w:sz w:val="18"/>
                <w:szCs w:val="18"/>
                <w:color w:val="auto"/>
              </w:rPr>
              <w:t>New Term Loan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407,793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424,470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408,410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6"/>
              </w:rPr>
              <w:t>419,796</w:t>
            </w:r>
          </w:p>
        </w:tc>
        <w:tc>
          <w:tcPr>
            <w:tcW w:w="80" w:type="dxa"/>
            <w:vAlign w:val="bottom"/>
          </w:tcPr>
          <w:p>
            <w:pPr>
              <w:spacing w:after="0"/>
              <w:rPr>
                <w:sz w:val="18"/>
                <w:szCs w:val="18"/>
                <w:color w:val="auto"/>
              </w:rPr>
            </w:pPr>
          </w:p>
        </w:tc>
      </w:tr>
      <w:tr>
        <w:trPr>
          <w:trHeight w:val="216"/>
        </w:trPr>
        <w:tc>
          <w:tcPr>
            <w:tcW w:w="4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Revolving Credit Facility</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93,500</w:t>
            </w:r>
          </w:p>
        </w:tc>
        <w:tc>
          <w:tcPr>
            <w:tcW w:w="80" w:type="dxa"/>
            <w:vAlign w:val="bottom"/>
            <w:shd w:val="clear" w:color="auto" w:fill="CCEEFF"/>
          </w:tcPr>
          <w:p>
            <w:pPr>
              <w:spacing w:after="0"/>
              <w:rPr>
                <w:sz w:val="18"/>
                <w:szCs w:val="18"/>
                <w:color w:val="auto"/>
              </w:rPr>
            </w:pPr>
          </w:p>
        </w:tc>
      </w:tr>
      <w:tr>
        <w:trPr>
          <w:trHeight w:val="243"/>
        </w:trPr>
        <w:tc>
          <w:tcPr>
            <w:tcW w:w="4380" w:type="dxa"/>
            <w:vAlign w:val="bottom"/>
          </w:tcPr>
          <w:p>
            <w:pPr>
              <w:ind w:left="220"/>
              <w:spacing w:after="0"/>
              <w:rPr>
                <w:sz w:val="20"/>
                <w:szCs w:val="20"/>
                <w:color w:val="auto"/>
              </w:rPr>
            </w:pPr>
            <w:r>
              <w:rPr>
                <w:rFonts w:ascii="Arial" w:cs="Arial" w:eastAsia="Arial" w:hAnsi="Arial"/>
                <w:sz w:val="18"/>
                <w:szCs w:val="18"/>
                <w:color w:val="auto"/>
              </w:rPr>
              <w:t>Acquisition-related contingent considerations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1"/>
                <w:szCs w:val="21"/>
                <w:color w:val="auto"/>
              </w:rPr>
            </w:pPr>
          </w:p>
        </w:tc>
      </w:tr>
    </w:tbl>
    <w:p>
      <w:pPr>
        <w:spacing w:after="0" w:line="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represents the change in acquisition-related contingent consideration liabilities for the period</w:t>
      </w:r>
    </w:p>
    <w:p>
      <w:pPr>
        <w:spacing w:after="0"/>
        <w:rPr>
          <w:sz w:val="20"/>
          <w:szCs w:val="20"/>
          <w:color w:val="auto"/>
        </w:rPr>
      </w:pPr>
      <w:r>
        <w:rPr>
          <w:rFonts w:ascii="Arial" w:cs="Arial" w:eastAsia="Arial" w:hAnsi="Arial"/>
          <w:sz w:val="18"/>
          <w:szCs w:val="18"/>
          <w:color w:val="auto"/>
        </w:rPr>
        <w:t>December 31, 2015 to March 31, 2016: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27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8"/>
                <w:szCs w:val="18"/>
                <w:color w:val="auto"/>
              </w:rPr>
            </w:pPr>
          </w:p>
        </w:tc>
      </w:tr>
      <w:tr>
        <w:trPr>
          <w:trHeight w:val="216"/>
        </w:trPr>
        <w:tc>
          <w:tcPr>
            <w:tcW w:w="55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of present value discount</w:t>
            </w:r>
            <w:r>
              <w:rPr>
                <w:rFonts w:ascii="Arial" w:cs="Arial" w:eastAsia="Arial" w:hAnsi="Arial"/>
                <w:sz w:val="8"/>
                <w:szCs w:val="8"/>
                <w:color w:val="auto"/>
              </w:rPr>
              <w:t>(1)</w:t>
            </w:r>
          </w:p>
        </w:tc>
        <w:tc>
          <w:tcPr>
            <w:tcW w:w="2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8"/>
                <w:szCs w:val="18"/>
                <w:color w:val="auto"/>
              </w:rPr>
            </w:pPr>
          </w:p>
        </w:tc>
      </w:tr>
      <w:tr>
        <w:trPr>
          <w:trHeight w:val="217"/>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2016</w:t>
            </w:r>
          </w:p>
        </w:tc>
        <w:tc>
          <w:tcPr>
            <w:tcW w:w="23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48" w:lineRule="exact"/>
        <w:rPr>
          <w:sz w:val="20"/>
          <w:szCs w:val="20"/>
          <w:color w:val="auto"/>
        </w:rPr>
      </w:pPr>
    </w:p>
    <w:p>
      <w:pPr>
        <w:ind w:left="600" w:right="760" w:hanging="215"/>
        <w:spacing w:after="0" w:line="235" w:lineRule="auto"/>
        <w:rPr>
          <w:sz w:val="20"/>
          <w:szCs w:val="20"/>
          <w:color w:val="auto"/>
        </w:rPr>
      </w:pPr>
      <w:r>
        <w:rPr>
          <w:rFonts w:ascii="Arial" w:cs="Arial" w:eastAsia="Arial" w:hAnsi="Arial"/>
          <w:sz w:val="18"/>
          <w:szCs w:val="18"/>
          <w:color w:val="auto"/>
        </w:rPr>
        <w:t>(1)Changes in present value are included as a component of interest expense in the consolidated statements of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81"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The following table illustrates the reconciliation of the numerators and denominators of the basic and diluted net income (loss) per share computations during the three months ended March 31, 2016 and 2015 (dollars in thousands, except per share amounts):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6"/>
              </w:rPr>
              <w:t>Quarter Ended</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1"/>
        </w:trPr>
        <w:tc>
          <w:tcPr>
            <w:tcW w:w="4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4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17"/>
              <w:spacing w:after="0" w:line="129"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12"/>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1"/>
                <w:szCs w:val="11"/>
                <w:color w:val="auto"/>
              </w:rPr>
            </w:pPr>
          </w:p>
        </w:tc>
      </w:tr>
      <w:tr>
        <w:trPr>
          <w:trHeight w:val="156"/>
        </w:trPr>
        <w:tc>
          <w:tcPr>
            <w:tcW w:w="4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gridSpan w:val="3"/>
          </w:tcPr>
          <w:p>
            <w:pPr>
              <w:jc w:val="center"/>
              <w:ind w:left="557"/>
              <w:spacing w:after="0" w:line="155" w:lineRule="exact"/>
              <w:rPr>
                <w:sz w:val="20"/>
                <w:szCs w:val="20"/>
                <w:color w:val="auto"/>
              </w:rPr>
            </w:pPr>
            <w:r>
              <w:rPr>
                <w:rFonts w:ascii="Arial" w:cs="Arial" w:eastAsia="Arial" w:hAnsi="Arial"/>
                <w:sz w:val="14"/>
                <w:szCs w:val="14"/>
                <w:b w:val="1"/>
                <w:bCs w:val="1"/>
                <w:color w:val="auto"/>
                <w:w w:val="94"/>
              </w:rPr>
              <w:t>(unaudited)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3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available to common stockholders</w:t>
            </w:r>
          </w:p>
        </w:tc>
        <w:tc>
          <w:tcPr>
            <w:tcW w:w="1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40" w:type="dxa"/>
            <w:vAlign w:val="bottom"/>
            <w:shd w:val="clear" w:color="auto" w:fill="CCEEFF"/>
          </w:tcPr>
          <w:p>
            <w:pPr>
              <w:spacing w:after="0"/>
              <w:rPr>
                <w:sz w:val="20"/>
                <w:szCs w:val="20"/>
                <w:color w:val="auto"/>
              </w:rPr>
            </w:pPr>
          </w:p>
        </w:tc>
      </w:tr>
      <w:tr>
        <w:trPr>
          <w:trHeight w:val="163"/>
        </w:trPr>
        <w:tc>
          <w:tcPr>
            <w:tcW w:w="494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color w:val="auto"/>
              </w:rPr>
              <w:t>Shares outstanding:</w:t>
            </w:r>
          </w:p>
        </w:tc>
        <w:tc>
          <w:tcPr>
            <w:tcW w:w="114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46,933,094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46,494,638</w:t>
            </w:r>
          </w:p>
        </w:tc>
        <w:tc>
          <w:tcPr>
            <w:tcW w:w="140" w:type="dxa"/>
            <w:vAlign w:val="bottom"/>
            <w:shd w:val="clear" w:color="auto" w:fill="CCEEFF"/>
          </w:tcPr>
          <w:p>
            <w:pPr>
              <w:spacing w:after="0"/>
              <w:rPr>
                <w:sz w:val="18"/>
                <w:szCs w:val="18"/>
                <w:color w:val="auto"/>
              </w:rPr>
            </w:pPr>
          </w:p>
        </w:tc>
      </w:tr>
      <w:tr>
        <w:trPr>
          <w:trHeight w:val="176"/>
        </w:trPr>
        <w:tc>
          <w:tcPr>
            <w:tcW w:w="4940" w:type="dxa"/>
            <w:vAlign w:val="bottom"/>
          </w:tcPr>
          <w:p>
            <w:pPr>
              <w:spacing w:after="0" w:line="176" w:lineRule="exact"/>
              <w:rPr>
                <w:sz w:val="20"/>
                <w:szCs w:val="20"/>
                <w:color w:val="auto"/>
              </w:rPr>
            </w:pPr>
            <w:r>
              <w:rPr>
                <w:rFonts w:ascii="Arial" w:cs="Arial" w:eastAsia="Arial" w:hAnsi="Arial"/>
                <w:sz w:val="18"/>
                <w:szCs w:val="18"/>
                <w:color w:val="auto"/>
              </w:rPr>
              <w:t>Effect of dilutive securities:</w:t>
            </w: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148,758</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40" w:type="dxa"/>
            <w:vAlign w:val="bottom"/>
          </w:tcPr>
          <w:p>
            <w:pPr>
              <w:ind w:left="220"/>
              <w:spacing w:after="0"/>
              <w:rPr>
                <w:sz w:val="20"/>
                <w:szCs w:val="20"/>
                <w:color w:val="auto"/>
              </w:rPr>
            </w:pPr>
            <w:r>
              <w:rPr>
                <w:rFonts w:ascii="Arial" w:cs="Arial" w:eastAsia="Arial" w:hAnsi="Arial"/>
                <w:sz w:val="18"/>
                <w:szCs w:val="18"/>
                <w:color w:val="auto"/>
              </w:rPr>
              <w:t>RSU's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452,909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47,534,761</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46,494,638</w:t>
            </w:r>
          </w:p>
        </w:tc>
        <w:tc>
          <w:tcPr>
            <w:tcW w:w="140" w:type="dxa"/>
            <w:vAlign w:val="bottom"/>
            <w:tcBorders>
              <w:top w:val="single" w:sz="8" w:color="CCEEFF"/>
            </w:tcBorders>
            <w:shd w:val="clear" w:color="auto" w:fill="CCEEFF"/>
          </w:tcPr>
          <w:p>
            <w:pPr>
              <w:spacing w:after="0"/>
              <w:rPr>
                <w:sz w:val="18"/>
                <w:szCs w:val="18"/>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Basic net income (loss) per common share</w:t>
            </w:r>
          </w:p>
        </w:tc>
        <w:tc>
          <w:tcPr>
            <w:tcW w:w="1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0.07</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(0.13)</w:t>
            </w:r>
          </w:p>
        </w:tc>
        <w:tc>
          <w:tcPr>
            <w:tcW w:w="140" w:type="dxa"/>
            <w:vAlign w:val="bottom"/>
          </w:tcPr>
          <w:p>
            <w:pPr>
              <w:spacing w:after="0"/>
              <w:rPr>
                <w:sz w:val="18"/>
                <w:szCs w:val="18"/>
                <w:color w:val="auto"/>
              </w:rPr>
            </w:pPr>
          </w:p>
        </w:tc>
      </w:tr>
      <w:tr>
        <w:trPr>
          <w:trHeight w:val="27"/>
        </w:trPr>
        <w:tc>
          <w:tcPr>
            <w:tcW w:w="49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common share</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spacing w:after="0"/>
              <w:rPr>
                <w:sz w:val="18"/>
                <w:szCs w:val="18"/>
                <w:color w:val="auto"/>
              </w:rPr>
            </w:pPr>
          </w:p>
        </w:tc>
      </w:tr>
      <w:tr>
        <w:trPr>
          <w:trHeight w:val="27"/>
        </w:trPr>
        <w:tc>
          <w:tcPr>
            <w:tcW w:w="49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89"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b w:val="1"/>
          <w:bCs w:val="1"/>
          <w:i w:val="1"/>
          <w:iCs w:val="1"/>
          <w:color w:val="auto"/>
        </w:rPr>
        <w:t xml:space="preserve">Litigation. </w:t>
      </w:r>
      <w:r>
        <w:rPr>
          <w:rFonts w:ascii="Arial" w:cs="Arial" w:eastAsia="Arial" w:hAnsi="Arial"/>
          <w:sz w:val="16"/>
          <w:szCs w:val="16"/>
          <w:color w:val="auto"/>
        </w:rPr>
        <w:t>The Company is a party to various lawsuits, which have arisen in the normal course of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losses are accrued for these lawsuits and claims when the loss is probable and can be estimated. The current liability for the estimated losses associated with those lawsuits is not material to the consolidated financial condition and those estimated losses are not expected to have a material impact on the results of operations.</w:t>
      </w:r>
    </w:p>
    <w:p>
      <w:pPr>
        <w:spacing w:after="0" w:line="15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b w:val="1"/>
          <w:bCs w:val="1"/>
          <w:i w:val="1"/>
          <w:iCs w:val="1"/>
          <w:color w:val="auto"/>
        </w:rPr>
        <w:t>Ohio Gaming Referendum Challenge</w:t>
      </w:r>
      <w:r>
        <w:rPr>
          <w:rFonts w:ascii="Arial" w:cs="Arial" w:eastAsia="Arial" w:hAnsi="Arial"/>
          <w:sz w:val="16"/>
          <w:szCs w:val="16"/>
          <w:color w:val="auto"/>
        </w:rPr>
        <w:t>. On October 21, 2011, the Ohio Roundtable filed a complaint in the Court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we, along with four of the other racinos in Ohio, filed motions for judgment on the pleadings to supplement the position of the Racing Commission. In May 2012, the Court of Common Pleas dismissed the case; however, the plaintiffs filed an appeal and oral arguments were held on January 17, 2013 in the 10</w:t>
      </w:r>
      <w:r>
        <w:rPr>
          <w:rFonts w:ascii="Arial" w:cs="Arial" w:eastAsia="Arial" w:hAnsi="Arial"/>
          <w:sz w:val="7"/>
          <w:szCs w:val="7"/>
          <w:color w:val="auto"/>
        </w:rPr>
        <w:t>th</w:t>
      </w:r>
      <w:r>
        <w:rPr>
          <w:rFonts w:ascii="Arial" w:cs="Arial" w:eastAsia="Arial" w:hAnsi="Arial"/>
          <w:sz w:val="16"/>
          <w:szCs w:val="16"/>
          <w:color w:val="auto"/>
        </w:rPr>
        <w:t xml:space="preserve"> District Court of Appeals. In March 2013, the Court of Appeals upheld the ruling. The decision of the Appeals Court was appealed to the Ohio Supreme Court by the plaintiffs on April 30, 2013 and the Ohio Supreme Court has elected to accept the appeal. The Ohio Supreme Court temporarily stayed the appeal until it first ruled on a matter with similar procedural issues. A decision was issued on that case on June 10, 2014. In response to a </w:t>
      </w:r>
      <w:r>
        <w:rPr>
          <w:rFonts w:ascii="Arial" w:cs="Arial" w:eastAsia="Arial" w:hAnsi="Arial"/>
          <w:sz w:val="16"/>
          <w:szCs w:val="16"/>
          <w:i w:val="1"/>
          <w:iCs w:val="1"/>
          <w:color w:val="auto"/>
        </w:rPr>
        <w:t>motion to dismiss as improvidently granted</w:t>
      </w:r>
      <w:r>
        <w:rPr>
          <w:rFonts w:ascii="Arial" w:cs="Arial" w:eastAsia="Arial" w:hAnsi="Arial"/>
          <w:sz w:val="16"/>
          <w:szCs w:val="16"/>
          <w:color w:val="auto"/>
        </w:rPr>
        <w:t xml:space="preserve"> which was filed jointly by Appellees, the remaining propositions of law were briefed by the parties and oral argument before the Ohio Supreme Court was held on June 23, 2015. A decision on this case was issued by the Ohio Supreme Court on March 24, 2016 finding that the parties did not meet the threshold for standing to challenge the installation of video lottery terminals, but a single plaintiff was permitted to proceed with his challenge against the casinos under an equal protection claim. Accordingly, this case has been concluded as it relates to the race track defendants.</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b w:val="1"/>
          <w:bCs w:val="1"/>
          <w:i w:val="1"/>
          <w:iCs w:val="1"/>
          <w:color w:val="auto"/>
        </w:rPr>
        <w:t xml:space="preserve">Environmental Remediation. </w:t>
      </w:r>
      <w:r>
        <w:rPr>
          <w:rFonts w:ascii="Arial" w:cs="Arial" w:eastAsia="Arial" w:hAnsi="Arial"/>
          <w:sz w:val="16"/>
          <w:szCs w:val="16"/>
          <w:color w:val="auto"/>
        </w:rPr>
        <w:t>In October 2004, the Company acquired 229 acres of real property, known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Paper site, as an alternative site to build Presque Isle Downs. In connection with the acquisition of the International Paper site, the Company entered into a consent order and decree (the “Consent Order”) with the PaDEP and International Paper insulating us from liability for certain pre</w:t>
      </w:r>
      <w:r>
        <w:rPr>
          <w:rFonts w:ascii="MS PGothic" w:cs="MS PGothic" w:eastAsia="MS PGothic" w:hAnsi="MS PGothic"/>
          <w:sz w:val="16"/>
          <w:szCs w:val="16"/>
          <w:color w:val="auto"/>
        </w:rPr>
        <w:t>‑</w:t>
      </w:r>
      <w:r>
        <w:rPr>
          <w:rFonts w:ascii="Arial" w:cs="Arial" w:eastAsia="Arial" w:hAnsi="Arial"/>
          <w:sz w:val="16"/>
          <w:szCs w:val="16"/>
          <w:color w:val="auto"/>
        </w:rPr>
        <w:t>existing contamination, subject to compliance with the Consent Order, which included a proposed environmental remediation plan for the site, which was tied specifically to the use of the property as a racetrack. The proposed environmental remediation plan in the Consent Order was based upon a “baseline environmental report” and management estimated that such remediation would be subsumed within the cost of developing the property as a racetrack. The racetrack was never developed at this site. In October 2005, the Company sold 205 acres to GEIDC who assumed primary responsibility for the remediation obligations under the Consent Order relating to the property they acquired. However, the Company was advised by the PaDEP that it was not released from its liability and responsibility under the Consent Order. The Company also purchased an Environmental Risk Insurance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Policy in the amount of $10.0 million with respect to the property, which was renewed in October 2015 for a period of one year. The Company believes that the insurance coverage is in excess of any exposure that we may have in this matter.</w:t>
      </w:r>
    </w:p>
    <w:p>
      <w:pPr>
        <w:spacing w:after="0" w:line="124"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b w:val="1"/>
          <w:bCs w:val="1"/>
          <w:i w:val="1"/>
          <w:iCs w:val="1"/>
          <w:color w:val="auto"/>
        </w:rPr>
        <w:t xml:space="preserve">Regulatory Gaming Assessments. </w:t>
      </w:r>
      <w:r>
        <w:rPr>
          <w:rFonts w:ascii="Arial" w:cs="Arial" w:eastAsia="Arial" w:hAnsi="Arial"/>
          <w:sz w:val="17"/>
          <w:szCs w:val="17"/>
          <w:color w:val="auto"/>
        </w:rPr>
        <w:t>The Pennsylvania Gaming Control Board (the “PGCB”), the Pennsylvania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6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(1) cumulative gross slot revenue since inception in relation to the combined cumulative gross slot revenue for all licensees and (2)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$4.1 million and will be paid quarterly over a ten</w:t>
      </w:r>
      <w:r>
        <w:rPr>
          <w:rFonts w:ascii="MS PGothic" w:cs="MS PGothic" w:eastAsia="MS PGothic" w:hAnsi="MS PGothic"/>
          <w:sz w:val="16"/>
          <w:szCs w:val="16"/>
          <w:color w:val="auto"/>
        </w:rPr>
        <w:t>‑</w:t>
      </w:r>
      <w:r>
        <w:rPr>
          <w:rFonts w:ascii="Arial" w:cs="Arial" w:eastAsia="Arial" w:hAnsi="Arial"/>
          <w:sz w:val="16"/>
          <w:szCs w:val="16"/>
          <w:color w:val="auto"/>
        </w:rPr>
        <w:t>year period, which began effective January 1, 2012. For the $36.1 million that was borrowed from the General Fund, payment is scheduled to begin after all fourteen licensees are operational. Although we cannot determine when payment will begin, it has considered a similar repayment model for the General Fund borrowings and estimated that its total proportionate share of the aggregate $36.1 million to all fourteen gaming facilities will approximate between $2.0 million and $2.1 million, which has been accrued in the accompanying consolidated balance sheet at March 31, 2016 and December 31, 2015.</w:t>
      </w:r>
    </w:p>
    <w:p>
      <w:pPr>
        <w:spacing w:after="0" w:line="170"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recorded estimate relative to the Property Tax Reserve Fund is subject to revision based upon future changes in the revenue assumptions utilized to develop the estimate. The estimated total obligation at March 31, 2016 and December 31, 2015, was $4.1 million and $4.3 million, respectively, of which the residual total amount, both current and long-term, of $2.1 million and $2.2 million at March 31, 2016 and December 31, 2015, respectively, are appropriately accrued in the accompanying consolidated balance sheet. The Company paid $0.1 million for the three months ended March 31, 2016.</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Agreements with Horsemen and Pari-mutuel Clerks. </w:t>
      </w:r>
      <w:r>
        <w:rPr>
          <w:rFonts w:ascii="Arial" w:cs="Arial" w:eastAsia="Arial" w:hAnsi="Arial"/>
          <w:sz w:val="16"/>
          <w:szCs w:val="16"/>
          <w:color w:val="auto"/>
        </w:rPr>
        <w:t>The Federal Interstate Horse Racing Act and the state racing</w:t>
      </w:r>
    </w:p>
    <w:p>
      <w:pPr>
        <w:spacing w:after="0"/>
        <w:rPr>
          <w:sz w:val="20"/>
          <w:szCs w:val="20"/>
          <w:color w:val="auto"/>
        </w:rPr>
      </w:pPr>
      <w:r>
        <w:rPr>
          <w:rFonts w:ascii="Arial" w:cs="Arial" w:eastAsia="Arial" w:hAnsi="Arial"/>
          <w:sz w:val="16"/>
          <w:szCs w:val="16"/>
          <w:color w:val="auto"/>
        </w:rPr>
        <w:t>laws in West Virginia, Ohio and Pennsylvania require that, in order to simulcast races, we have written agreements with the</w:t>
      </w:r>
    </w:p>
    <w:p>
      <w:pPr>
        <w:spacing w:after="0" w:line="229" w:lineRule="auto"/>
        <w:rPr>
          <w:sz w:val="20"/>
          <w:szCs w:val="20"/>
          <w:color w:val="auto"/>
        </w:rPr>
      </w:pPr>
      <w:r>
        <w:rPr>
          <w:rFonts w:ascii="Arial" w:cs="Arial" w:eastAsia="Arial" w:hAnsi="Arial"/>
          <w:sz w:val="16"/>
          <w:szCs w:val="16"/>
          <w:color w:val="auto"/>
        </w:rPr>
        <w:t>horse owners and trainers at those racetracks. In addition, in order to operate slot machines in West Virginia, we are required</w:t>
      </w:r>
    </w:p>
    <w:p>
      <w:pPr>
        <w:spacing w:after="0" w:line="229" w:lineRule="auto"/>
        <w:rPr>
          <w:sz w:val="20"/>
          <w:szCs w:val="20"/>
          <w:color w:val="auto"/>
        </w:rPr>
      </w:pPr>
      <w:r>
        <w:rPr>
          <w:rFonts w:ascii="Arial" w:cs="Arial" w:eastAsia="Arial" w:hAnsi="Arial"/>
          <w:sz w:val="16"/>
          <w:szCs w:val="16"/>
          <w:color w:val="auto"/>
        </w:rPr>
        <w:t>to enter into written agreements regarding the proceeds of the slot machines (a “proceeds agreement”) with a representative</w:t>
      </w:r>
    </w:p>
    <w:p>
      <w:pPr>
        <w:spacing w:after="0" w:line="176" w:lineRule="exact"/>
        <w:rPr>
          <w:sz w:val="20"/>
          <w:szCs w:val="20"/>
          <w:color w:val="auto"/>
        </w:rPr>
      </w:pPr>
      <w:r>
        <w:rPr>
          <w:rFonts w:ascii="Arial" w:cs="Arial" w:eastAsia="Arial" w:hAnsi="Arial"/>
          <w:sz w:val="18"/>
          <w:szCs w:val="18"/>
          <w:color w:val="auto"/>
        </w:rPr>
        <w:t>of a majority of the horse owners and trainers and with a representative of a majority of the pari</w:t>
      </w:r>
      <w:r>
        <w:rPr>
          <w:rFonts w:ascii="MS PGothic" w:cs="MS PGothic" w:eastAsia="MS PGothic" w:hAnsi="MS PGothic"/>
          <w:sz w:val="18"/>
          <w:szCs w:val="18"/>
          <w:color w:val="auto"/>
        </w:rPr>
        <w:t>‑</w:t>
      </w:r>
      <w:r>
        <w:rPr>
          <w:rFonts w:ascii="Arial" w:cs="Arial" w:eastAsia="Arial" w:hAnsi="Arial"/>
          <w:sz w:val="18"/>
          <w:szCs w:val="18"/>
          <w:color w:val="auto"/>
        </w:rPr>
        <w:t>mutuel clerks. In</w:t>
      </w:r>
    </w:p>
    <w:p>
      <w:pPr>
        <w:spacing w:after="0" w:line="216" w:lineRule="auto"/>
        <w:rPr>
          <w:sz w:val="20"/>
          <w:szCs w:val="20"/>
          <w:color w:val="auto"/>
        </w:rPr>
      </w:pPr>
      <w:r>
        <w:rPr>
          <w:rFonts w:ascii="Arial" w:cs="Arial" w:eastAsia="Arial" w:hAnsi="Arial"/>
          <w:sz w:val="17"/>
          <w:szCs w:val="17"/>
          <w:color w:val="auto"/>
        </w:rPr>
        <w:t>Pennsylvania and Ohio, we must have an agreement with the representative of the horse owners. We have the requisite</w:t>
      </w:r>
    </w:p>
    <w:p>
      <w:pPr>
        <w:spacing w:after="0" w:line="203" w:lineRule="auto"/>
        <w:rPr>
          <w:sz w:val="20"/>
          <w:szCs w:val="20"/>
          <w:color w:val="auto"/>
        </w:rPr>
      </w:pPr>
      <w:r>
        <w:rPr>
          <w:rFonts w:ascii="Arial" w:cs="Arial" w:eastAsia="Arial" w:hAnsi="Arial"/>
          <w:sz w:val="18"/>
          <w:szCs w:val="18"/>
          <w:color w:val="auto"/>
        </w:rPr>
        <w:t>agreements in place with the horsemen at Mountaineer until December 31, 2018. With respect to the Mountaineer</w:t>
      </w:r>
    </w:p>
    <w:p>
      <w:pPr>
        <w:spacing w:after="0" w:line="176" w:lineRule="exact"/>
        <w:rPr>
          <w:sz w:val="20"/>
          <w:szCs w:val="20"/>
          <w:color w:val="auto"/>
        </w:rPr>
      </w:pPr>
      <w:r>
        <w:rPr>
          <w:rFonts w:ascii="Arial" w:cs="Arial" w:eastAsia="Arial" w:hAnsi="Arial"/>
          <w:sz w:val="16"/>
          <w:szCs w:val="16"/>
          <w:color w:val="auto"/>
        </w:rPr>
        <w:t>pari</w:t>
      </w:r>
      <w:r>
        <w:rPr>
          <w:rFonts w:ascii="MS PGothic" w:cs="MS PGothic" w:eastAsia="MS PGothic" w:hAnsi="MS PGothic"/>
          <w:sz w:val="16"/>
          <w:szCs w:val="16"/>
          <w:color w:val="auto"/>
        </w:rPr>
        <w:t>‑</w:t>
      </w:r>
      <w:r>
        <w:rPr>
          <w:rFonts w:ascii="Arial" w:cs="Arial" w:eastAsia="Arial" w:hAnsi="Arial"/>
          <w:sz w:val="16"/>
          <w:szCs w:val="16"/>
          <w:color w:val="auto"/>
        </w:rPr>
        <w:t>mutuel clerks, we have a labor agreement in force until November 30, 2016 and a proceeds agreement until April 14,</w:t>
      </w:r>
    </w:p>
    <w:p>
      <w:pPr>
        <w:spacing w:after="0" w:line="176" w:lineRule="exact"/>
        <w:rPr>
          <w:sz w:val="20"/>
          <w:szCs w:val="20"/>
          <w:color w:val="auto"/>
        </w:rPr>
      </w:pPr>
      <w:r>
        <w:rPr>
          <w:rFonts w:ascii="Arial" w:cs="Arial" w:eastAsia="Arial" w:hAnsi="Arial"/>
          <w:sz w:val="16"/>
          <w:szCs w:val="16"/>
          <w:color w:val="auto"/>
        </w:rPr>
        <w:t>2018. We are required to have a proceeds agreement in effect on July 1 of each year with the horsemen and the pari</w:t>
      </w:r>
      <w:r>
        <w:rPr>
          <w:rFonts w:ascii="MS PGothic" w:cs="MS PGothic" w:eastAsia="MS PGothic" w:hAnsi="MS PGothic"/>
          <w:sz w:val="16"/>
          <w:szCs w:val="16"/>
          <w:color w:val="auto"/>
        </w:rPr>
        <w:t>‑</w:t>
      </w:r>
      <w:r>
        <w:rPr>
          <w:rFonts w:ascii="Arial" w:cs="Arial" w:eastAsia="Arial" w:hAnsi="Arial"/>
          <w:sz w:val="16"/>
          <w:szCs w:val="16"/>
          <w:color w:val="auto"/>
        </w:rPr>
        <w:t>mutuel</w:t>
      </w:r>
    </w:p>
    <w:p>
      <w:pPr>
        <w:spacing w:after="0" w:line="229" w:lineRule="auto"/>
        <w:rPr>
          <w:sz w:val="20"/>
          <w:szCs w:val="20"/>
          <w:color w:val="auto"/>
        </w:rPr>
      </w:pPr>
      <w:r>
        <w:rPr>
          <w:rFonts w:ascii="Arial" w:cs="Arial" w:eastAsia="Arial" w:hAnsi="Arial"/>
          <w:sz w:val="16"/>
          <w:szCs w:val="16"/>
          <w:color w:val="auto"/>
        </w:rPr>
        <w:t>clerks as a condition to renewal of our video lottery license for such year. If the requisite proceeds agreement is not in place</w:t>
      </w:r>
    </w:p>
    <w:p>
      <w:pPr>
        <w:spacing w:after="0" w:line="229" w:lineRule="auto"/>
        <w:rPr>
          <w:sz w:val="20"/>
          <w:szCs w:val="20"/>
          <w:color w:val="auto"/>
        </w:rPr>
      </w:pPr>
      <w:r>
        <w:rPr>
          <w:rFonts w:ascii="Arial" w:cs="Arial" w:eastAsia="Arial" w:hAnsi="Arial"/>
          <w:sz w:val="16"/>
          <w:szCs w:val="16"/>
          <w:color w:val="auto"/>
        </w:rPr>
        <w:t>as of July 1 of a particular year, Mountaineer’s application for renewal of its video lottery license could be denied, in which</w:t>
      </w:r>
    </w:p>
    <w:p>
      <w:pPr>
        <w:spacing w:after="0" w:line="229" w:lineRule="auto"/>
        <w:rPr>
          <w:sz w:val="20"/>
          <w:szCs w:val="20"/>
          <w:color w:val="auto"/>
        </w:rPr>
      </w:pPr>
      <w:r>
        <w:rPr>
          <w:rFonts w:ascii="Arial" w:cs="Arial" w:eastAsia="Arial" w:hAnsi="Arial"/>
          <w:sz w:val="16"/>
          <w:szCs w:val="16"/>
          <w:color w:val="auto"/>
        </w:rPr>
        <w:t>case Mountaineer would not be permitted to operate either its slot machines or table games. Scioto Downs has the requisite</w:t>
      </w:r>
    </w:p>
    <w:p>
      <w:pPr>
        <w:spacing w:after="0" w:line="176" w:lineRule="exact"/>
        <w:rPr>
          <w:sz w:val="20"/>
          <w:szCs w:val="20"/>
          <w:color w:val="auto"/>
        </w:rPr>
      </w:pPr>
      <w:r>
        <w:rPr>
          <w:rFonts w:ascii="Arial" w:cs="Arial" w:eastAsia="Arial" w:hAnsi="Arial"/>
          <w:sz w:val="16"/>
          <w:szCs w:val="16"/>
          <w:color w:val="auto"/>
        </w:rPr>
        <w:t>agreement in place with the OHHA until December 31, 2023, with automatic two</w:t>
      </w:r>
      <w:r>
        <w:rPr>
          <w:rFonts w:ascii="MS PGothic" w:cs="MS PGothic" w:eastAsia="MS PGothic" w:hAnsi="MS PGothic"/>
          <w:sz w:val="16"/>
          <w:szCs w:val="16"/>
          <w:color w:val="auto"/>
        </w:rPr>
        <w:t>‑</w:t>
      </w:r>
      <w:r>
        <w:rPr>
          <w:rFonts w:ascii="Arial" w:cs="Arial" w:eastAsia="Arial" w:hAnsi="Arial"/>
          <w:sz w:val="16"/>
          <w:szCs w:val="16"/>
          <w:color w:val="auto"/>
        </w:rPr>
        <w:t>year renewals unless either party requests</w:t>
      </w:r>
    </w:p>
    <w:p>
      <w:pPr>
        <w:spacing w:after="0" w:line="176" w:lineRule="exact"/>
        <w:rPr>
          <w:sz w:val="20"/>
          <w:szCs w:val="20"/>
          <w:color w:val="auto"/>
        </w:rPr>
      </w:pPr>
      <w:r>
        <w:rPr>
          <w:rFonts w:ascii="Arial" w:cs="Arial" w:eastAsia="Arial" w:hAnsi="Arial"/>
          <w:sz w:val="17"/>
          <w:szCs w:val="17"/>
          <w:color w:val="auto"/>
        </w:rPr>
        <w:t>re</w:t>
      </w:r>
      <w:r>
        <w:rPr>
          <w:rFonts w:ascii="MS PGothic" w:cs="MS PGothic" w:eastAsia="MS PGothic" w:hAnsi="MS PGothic"/>
          <w:sz w:val="17"/>
          <w:szCs w:val="17"/>
          <w:color w:val="auto"/>
        </w:rPr>
        <w:t>‑</w:t>
      </w:r>
      <w:r>
        <w:rPr>
          <w:rFonts w:ascii="Arial" w:cs="Arial" w:eastAsia="Arial" w:hAnsi="Arial"/>
          <w:sz w:val="17"/>
          <w:szCs w:val="17"/>
          <w:color w:val="auto"/>
        </w:rPr>
        <w:t>negotiation pursuant to its terms. Presque Isle Downs has the requisite agreement in place with the Pennsylvania</w:t>
      </w:r>
    </w:p>
    <w:p>
      <w:pPr>
        <w:spacing w:after="0" w:line="216" w:lineRule="auto"/>
        <w:rPr>
          <w:sz w:val="20"/>
          <w:szCs w:val="20"/>
          <w:color w:val="auto"/>
        </w:rPr>
      </w:pPr>
      <w:r>
        <w:rPr>
          <w:rFonts w:ascii="Arial" w:cs="Arial" w:eastAsia="Arial" w:hAnsi="Arial"/>
          <w:sz w:val="17"/>
          <w:szCs w:val="17"/>
          <w:color w:val="auto"/>
        </w:rPr>
        <w:t>Horsemen’s Benevolent and Protective Association until May 1, 2019. With the exception of the respective Mountaineer,</w:t>
      </w:r>
    </w:p>
    <w:p>
      <w:pPr>
        <w:spacing w:after="0" w:line="176" w:lineRule="exact"/>
        <w:rPr>
          <w:sz w:val="20"/>
          <w:szCs w:val="20"/>
          <w:color w:val="auto"/>
        </w:rPr>
      </w:pPr>
      <w:r>
        <w:rPr>
          <w:rFonts w:ascii="Arial" w:cs="Arial" w:eastAsia="Arial" w:hAnsi="Arial"/>
          <w:sz w:val="16"/>
          <w:szCs w:val="16"/>
          <w:color w:val="auto"/>
        </w:rPr>
        <w:t>Presque Isle Downs and Scioto Downs horsemen’s agreements and the agreement between Mountaineer and the pari</w:t>
      </w:r>
      <w:r>
        <w:rPr>
          <w:rFonts w:ascii="MS PGothic" w:cs="MS PGothic" w:eastAsia="MS PGothic" w:hAnsi="MS PGothic"/>
          <w:sz w:val="16"/>
          <w:szCs w:val="16"/>
          <w:color w:val="auto"/>
        </w:rPr>
        <w:t>‑</w:t>
      </w:r>
      <w:r>
        <w:rPr>
          <w:rFonts w:ascii="Arial" w:cs="Arial" w:eastAsia="Arial" w:hAnsi="Arial"/>
          <w:sz w:val="16"/>
          <w:szCs w:val="16"/>
          <w:color w:val="auto"/>
        </w:rPr>
        <w:t>mutuel</w:t>
      </w:r>
    </w:p>
    <w:p>
      <w:pPr>
        <w:spacing w:after="0" w:line="229" w:lineRule="auto"/>
        <w:rPr>
          <w:sz w:val="20"/>
          <w:szCs w:val="20"/>
          <w:color w:val="auto"/>
        </w:rPr>
      </w:pPr>
      <w:r>
        <w:rPr>
          <w:rFonts w:ascii="Arial" w:cs="Arial" w:eastAsia="Arial" w:hAnsi="Arial"/>
          <w:sz w:val="16"/>
          <w:szCs w:val="16"/>
          <w:color w:val="auto"/>
        </w:rPr>
        <w:t>clerks’ union described above, each of the agreements referred to in this paragraph may be terminated upon written notice by</w:t>
      </w:r>
    </w:p>
    <w:p>
      <w:pPr>
        <w:spacing w:after="0"/>
        <w:rPr>
          <w:sz w:val="20"/>
          <w:szCs w:val="20"/>
          <w:color w:val="auto"/>
        </w:rPr>
      </w:pPr>
      <w:r>
        <w:rPr>
          <w:rFonts w:ascii="Arial" w:cs="Arial" w:eastAsia="Arial" w:hAnsi="Arial"/>
          <w:sz w:val="18"/>
          <w:szCs w:val="18"/>
          <w:color w:val="auto"/>
        </w:rPr>
        <w:t>either party.</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Parties</w:t>
      </w:r>
    </w:p>
    <w:p>
      <w:pPr>
        <w:spacing w:after="0" w:line="81"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The Company owns the entire parcel on which Eldorado Reno is located, except for approximately 30,000 square feet which is leased from C. S. &amp; Y. Associates, a general partnership of which Donald L. Carano is a general partner. As of March 31, 2016, the Company’s payable to C. S. &amp; Y. Associates amounted to $0.2 million. There were no payables to related parties as of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8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following table sets forth, for the periods indicated, certain operating data for our reportable segments. Management views each of our properties as an operating segment. Operating segments are aggregated based on their similar economic characteristics, types of customers, types of services and products provided, and their management and reporting structure. The Company’s principal operating activities occur in three geographic regions: Nevada, Louisiana and parts of the eastern United States. The Company has aggregated its operating segments into three reportable segments: Eldorado Reno, Silver Legacy and Circus Reno as Nevada, Eldorado Shreveport as Louisiana, and Scioto Downs, Presque Isle and Mountaineer as Eastern.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60" w:type="dxa"/>
            <w:vAlign w:val="bottom"/>
            <w:gridSpan w:val="7"/>
          </w:tcPr>
          <w:p>
            <w:pPr>
              <w:ind w:left="24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5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29"/>
        </w:trPr>
        <w:tc>
          <w:tcPr>
            <w:tcW w:w="5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68"/>
              <w:spacing w:after="0" w:line="129"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6"/>
        </w:trPr>
        <w:tc>
          <w:tcPr>
            <w:tcW w:w="5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5"/>
          </w:tcPr>
          <w:p>
            <w:pPr>
              <w:jc w:val="right"/>
              <w:ind w:right="208"/>
              <w:spacing w:after="0" w:line="155" w:lineRule="exact"/>
              <w:rPr>
                <w:sz w:val="20"/>
                <w:szCs w:val="20"/>
                <w:color w:val="auto"/>
              </w:rPr>
            </w:pPr>
            <w:r>
              <w:rPr>
                <w:rFonts w:ascii="Arial" w:cs="Arial" w:eastAsia="Arial" w:hAnsi="Arial"/>
                <w:sz w:val="14"/>
                <w:szCs w:val="14"/>
                <w:b w:val="1"/>
                <w:bCs w:val="1"/>
                <w:color w:val="auto"/>
                <w:w w:val="96"/>
              </w:rPr>
              <w:t>(in thousands, unaudited)</w:t>
            </w:r>
          </w:p>
        </w:tc>
        <w:tc>
          <w:tcPr>
            <w:tcW w:w="100" w:type="dxa"/>
            <w:vAlign w:val="bottom"/>
            <w:gridSpan w:val="2"/>
          </w:tcPr>
          <w:p>
            <w:pPr>
              <w:spacing w:after="0"/>
              <w:rPr>
                <w:sz w:val="13"/>
                <w:szCs w:val="13"/>
                <w:color w:val="auto"/>
              </w:rPr>
            </w:pPr>
          </w:p>
        </w:tc>
      </w:tr>
      <w:tr>
        <w:trPr>
          <w:trHeight w:val="176"/>
        </w:trPr>
        <w:tc>
          <w:tcPr>
            <w:tcW w:w="52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Revenues and expenses</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i w:val="1"/>
                <w:iCs w:val="1"/>
                <w:color w:val="auto"/>
              </w:rPr>
              <w:t>Nevada:</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operating revenues</w:t>
            </w:r>
          </w:p>
        </w:tc>
        <w:tc>
          <w:tcPr>
            <w:tcW w:w="17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72,771</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Expenses, excluding depreciation and corporate</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(61,777)</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(21,322)</w:t>
            </w: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 or disposal of property</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Equity in loss of unconsolidated affiliate</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Depreciation</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(5,463)</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(1,933)</w:t>
            </w:r>
          </w:p>
        </w:tc>
        <w:tc>
          <w:tcPr>
            <w:tcW w:w="80" w:type="dxa"/>
            <w:vAlign w:val="bottom"/>
          </w:tcPr>
          <w:p>
            <w:pPr>
              <w:spacing w:after="0"/>
              <w:rPr>
                <w:sz w:val="15"/>
                <w:szCs w:val="15"/>
                <w:color w:val="auto"/>
              </w:rPr>
            </w:pPr>
          </w:p>
        </w:tc>
      </w:tr>
      <w:tr>
        <w:trPr>
          <w:trHeight w:val="162"/>
        </w:trPr>
        <w:tc>
          <w:tcPr>
            <w:tcW w:w="524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Operating income (loss)—Nevada</w:t>
            </w: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5,565</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3"/>
        </w:trPr>
        <w:tc>
          <w:tcPr>
            <w:tcW w:w="5240" w:type="dxa"/>
            <w:vAlign w:val="bottom"/>
          </w:tcPr>
          <w:p>
            <w:pPr>
              <w:spacing w:after="0"/>
              <w:rPr>
                <w:sz w:val="20"/>
                <w:szCs w:val="20"/>
                <w:color w:val="auto"/>
              </w:rPr>
            </w:pPr>
            <w:r>
              <w:rPr>
                <w:rFonts w:ascii="Arial" w:cs="Arial" w:eastAsia="Arial" w:hAnsi="Arial"/>
                <w:sz w:val="14"/>
                <w:szCs w:val="14"/>
                <w:i w:val="1"/>
                <w:iCs w:val="1"/>
                <w:color w:val="auto"/>
              </w:rPr>
              <w:t>Louisiana:</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operating revenues</w:t>
            </w:r>
          </w:p>
        </w:tc>
        <w:tc>
          <w:tcPr>
            <w:tcW w:w="17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34,442</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34,634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Expenses, excluding depreciation and amortization</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(25,995)</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(27,516)</w:t>
            </w: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 or disposal of property</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(1,946)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(1,919)</w:t>
            </w:r>
          </w:p>
        </w:tc>
        <w:tc>
          <w:tcPr>
            <w:tcW w:w="80" w:type="dxa"/>
            <w:vAlign w:val="bottom"/>
          </w:tcPr>
          <w:p>
            <w:pPr>
              <w:spacing w:after="0"/>
              <w:rPr>
                <w:sz w:val="15"/>
                <w:szCs w:val="15"/>
                <w:color w:val="auto"/>
              </w:rPr>
            </w:pPr>
          </w:p>
        </w:tc>
      </w:tr>
      <w:tr>
        <w:trPr>
          <w:trHeight w:val="162"/>
        </w:trPr>
        <w:tc>
          <w:tcPr>
            <w:tcW w:w="524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Operating income—Louisiana</w:t>
            </w: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6,502</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5,199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3"/>
        </w:trPr>
        <w:tc>
          <w:tcPr>
            <w:tcW w:w="5240" w:type="dxa"/>
            <w:vAlign w:val="bottom"/>
          </w:tcPr>
          <w:p>
            <w:pPr>
              <w:spacing w:after="0"/>
              <w:rPr>
                <w:sz w:val="20"/>
                <w:szCs w:val="20"/>
                <w:color w:val="auto"/>
              </w:rPr>
            </w:pPr>
            <w:r>
              <w:rPr>
                <w:rFonts w:ascii="Arial" w:cs="Arial" w:eastAsia="Arial" w:hAnsi="Arial"/>
                <w:sz w:val="14"/>
                <w:szCs w:val="14"/>
                <w:i w:val="1"/>
                <w:iCs w:val="1"/>
                <w:color w:val="auto"/>
              </w:rPr>
              <w:t>Eastern:</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operating revenues</w:t>
            </w:r>
          </w:p>
        </w:tc>
        <w:tc>
          <w:tcPr>
            <w:tcW w:w="17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106,353</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109,064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Expenses, excluding depreciation, amortization and corporate</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(83,974)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(87,299)</w:t>
            </w: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 or disposal of property</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(8,684)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(10,525)</w:t>
            </w:r>
          </w:p>
        </w:tc>
        <w:tc>
          <w:tcPr>
            <w:tcW w:w="80" w:type="dxa"/>
            <w:vAlign w:val="bottom"/>
          </w:tcPr>
          <w:p>
            <w:pPr>
              <w:spacing w:after="0"/>
              <w:rPr>
                <w:sz w:val="15"/>
                <w:szCs w:val="15"/>
                <w:color w:val="auto"/>
              </w:rPr>
            </w:pPr>
          </w:p>
        </w:tc>
      </w:tr>
      <w:tr>
        <w:trPr>
          <w:trHeight w:val="162"/>
        </w:trPr>
        <w:tc>
          <w:tcPr>
            <w:tcW w:w="5240" w:type="dxa"/>
            <w:vAlign w:val="bottom"/>
            <w:tcBorders>
              <w:top w:val="single" w:sz="8" w:color="CCEEFF"/>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Operating income—Eastern</w:t>
            </w: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13,731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11,241</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3"/>
        </w:trPr>
        <w:tc>
          <w:tcPr>
            <w:tcW w:w="5240" w:type="dxa"/>
            <w:vAlign w:val="bottom"/>
          </w:tcPr>
          <w:p>
            <w:pPr>
              <w:spacing w:after="0"/>
              <w:rPr>
                <w:sz w:val="20"/>
                <w:szCs w:val="20"/>
                <w:color w:val="auto"/>
              </w:rPr>
            </w:pPr>
            <w:r>
              <w:rPr>
                <w:rFonts w:ascii="Arial" w:cs="Arial" w:eastAsia="Arial" w:hAnsi="Arial"/>
                <w:sz w:val="14"/>
                <w:szCs w:val="14"/>
                <w:i w:val="1"/>
                <w:iCs w:val="1"/>
                <w:color w:val="auto"/>
              </w:rPr>
              <w:t>Corporate:</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Corporate expenses</w:t>
            </w:r>
          </w:p>
        </w:tc>
        <w:tc>
          <w:tcPr>
            <w:tcW w:w="17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(6,904)</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(4,160)</w:t>
            </w: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Acquisition charges</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Depreciation and amortization</w:t>
            </w:r>
          </w:p>
        </w:tc>
        <w:tc>
          <w:tcPr>
            <w:tcW w:w="1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62"/>
        </w:trPr>
        <w:tc>
          <w:tcPr>
            <w:tcW w:w="5240" w:type="dxa"/>
            <w:vAlign w:val="bottom"/>
            <w:tcBorders>
              <w:bottom w:val="single" w:sz="8" w:color="CCEEFF"/>
            </w:tcBorders>
            <w:shd w:val="clear" w:color="auto" w:fill="CCEEFF"/>
          </w:tcPr>
          <w:p>
            <w:pPr>
              <w:ind w:left="120"/>
              <w:spacing w:after="0" w:line="142" w:lineRule="exact"/>
              <w:rPr>
                <w:sz w:val="20"/>
                <w:szCs w:val="20"/>
                <w:color w:val="auto"/>
              </w:rPr>
            </w:pPr>
            <w:r>
              <w:rPr>
                <w:rFonts w:ascii="Arial" w:cs="Arial" w:eastAsia="Arial" w:hAnsi="Arial"/>
                <w:sz w:val="14"/>
                <w:szCs w:val="14"/>
                <w:color w:val="auto"/>
              </w:rPr>
              <w:t>Operating loss—Corporate</w:t>
            </w:r>
          </w:p>
        </w:tc>
        <w:tc>
          <w:tcPr>
            <w:tcW w:w="16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(7,535)</w:t>
            </w:r>
          </w:p>
        </w:tc>
        <w:tc>
          <w:tcPr>
            <w:tcW w:w="2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(4,337)</w:t>
            </w: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r>
      <w:tr>
        <w:trPr>
          <w:trHeight w:val="163"/>
        </w:trPr>
        <w:tc>
          <w:tcPr>
            <w:tcW w:w="5240" w:type="dxa"/>
            <w:vAlign w:val="bottom"/>
          </w:tcPr>
          <w:p>
            <w:pPr>
              <w:spacing w:after="0"/>
              <w:rPr>
                <w:sz w:val="20"/>
                <w:szCs w:val="20"/>
                <w:color w:val="auto"/>
              </w:rPr>
            </w:pPr>
            <w:r>
              <w:rPr>
                <w:rFonts w:ascii="Arial" w:cs="Arial" w:eastAsia="Arial" w:hAnsi="Arial"/>
                <w:sz w:val="14"/>
                <w:szCs w:val="14"/>
                <w:i w:val="1"/>
                <w:iCs w:val="1"/>
                <w:color w:val="auto"/>
              </w:rPr>
              <w:t>Total Reportable Segments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operating revenues</w:t>
            </w:r>
          </w:p>
        </w:tc>
        <w:tc>
          <w:tcPr>
            <w:tcW w:w="17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213,566</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Expenses, excluding depreciation and amortization</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(178,650)</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(140,297)</w:t>
            </w: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 or disposal of property</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Equity in loss of unconsolidated affiliate</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charges</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(16,204)</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auto"/>
              </w:rPr>
              <w:t>(14,469)</w:t>
            </w:r>
          </w:p>
        </w:tc>
        <w:tc>
          <w:tcPr>
            <w:tcW w:w="80" w:type="dxa"/>
            <w:vAlign w:val="bottom"/>
          </w:tcPr>
          <w:p>
            <w:pPr>
              <w:spacing w:after="0"/>
              <w:rPr>
                <w:sz w:val="15"/>
                <w:szCs w:val="15"/>
                <w:color w:val="auto"/>
              </w:rPr>
            </w:pPr>
          </w:p>
        </w:tc>
      </w:tr>
      <w:tr>
        <w:trPr>
          <w:trHeight w:val="162"/>
        </w:trPr>
        <w:tc>
          <w:tcPr>
            <w:tcW w:w="52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Operating income—Total Reportable Segments</w:t>
            </w:r>
          </w:p>
        </w:tc>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18,263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12,084</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63"/>
        </w:trPr>
        <w:tc>
          <w:tcPr>
            <w:tcW w:w="5240" w:type="dxa"/>
            <w:vAlign w:val="bottom"/>
          </w:tcPr>
          <w:p>
            <w:pPr>
              <w:spacing w:after="0"/>
              <w:rPr>
                <w:sz w:val="20"/>
                <w:szCs w:val="20"/>
                <w:color w:val="auto"/>
              </w:rPr>
            </w:pPr>
            <w:r>
              <w:rPr>
                <w:rFonts w:ascii="Arial" w:cs="Arial" w:eastAsia="Arial" w:hAnsi="Arial"/>
                <w:sz w:val="14"/>
                <w:szCs w:val="14"/>
                <w:color w:val="auto"/>
              </w:rPr>
              <w:t>Reconciliations to Consolidated Net Income (Loss):</w:t>
            </w: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6"/>
        </w:trPr>
        <w:tc>
          <w:tcPr>
            <w:tcW w:w="5240" w:type="dxa"/>
            <w:vAlign w:val="bottom"/>
            <w:shd w:val="clear" w:color="auto" w:fill="CCEEFF"/>
          </w:tcPr>
          <w:p>
            <w:pPr>
              <w:spacing w:after="0"/>
              <w:rPr>
                <w:sz w:val="20"/>
                <w:szCs w:val="20"/>
                <w:color w:val="auto"/>
              </w:rPr>
            </w:pPr>
            <w:r>
              <w:rPr>
                <w:rFonts w:ascii="Arial" w:cs="Arial" w:eastAsia="Arial" w:hAnsi="Arial"/>
                <w:sz w:val="14"/>
                <w:szCs w:val="14"/>
                <w:color w:val="auto"/>
              </w:rPr>
              <w:t>Operating Income — Total Reportable Segments</w:t>
            </w:r>
          </w:p>
        </w:tc>
        <w:tc>
          <w:tcPr>
            <w:tcW w:w="1760" w:type="dxa"/>
            <w:vAlign w:val="bottom"/>
            <w:gridSpan w:val="2"/>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18,263</w:t>
            </w:r>
          </w:p>
        </w:tc>
        <w:tc>
          <w:tcPr>
            <w:tcW w:w="2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174"/>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spacing w:after="0"/>
              <w:rPr>
                <w:sz w:val="20"/>
                <w:szCs w:val="20"/>
                <w:color w:val="auto"/>
              </w:rPr>
            </w:pPr>
            <w:r>
              <w:rPr>
                <w:rFonts w:ascii="Arial" w:cs="Arial" w:eastAsia="Arial" w:hAnsi="Arial"/>
                <w:sz w:val="14"/>
                <w:szCs w:val="14"/>
                <w:color w:val="auto"/>
              </w:rPr>
              <w:t>Unallocated income and expenses:</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(12,991)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(17,232)</w:t>
            </w:r>
          </w:p>
        </w:tc>
        <w:tc>
          <w:tcPr>
            <w:tcW w:w="80" w:type="dxa"/>
            <w:vAlign w:val="bottom"/>
            <w:shd w:val="clear" w:color="auto" w:fill="CCEEFF"/>
          </w:tcPr>
          <w:p>
            <w:pPr>
              <w:spacing w:after="0"/>
              <w:rPr>
                <w:sz w:val="15"/>
                <w:szCs w:val="15"/>
                <w:color w:val="auto"/>
              </w:rPr>
            </w:pPr>
          </w:p>
        </w:tc>
      </w:tr>
      <w:tr>
        <w:trPr>
          <w:trHeight w:val="176"/>
        </w:trPr>
        <w:tc>
          <w:tcPr>
            <w:tcW w:w="5240" w:type="dxa"/>
            <w:vAlign w:val="bottom"/>
          </w:tcPr>
          <w:p>
            <w:pPr>
              <w:ind w:left="120"/>
              <w:spacing w:after="0"/>
              <w:rPr>
                <w:sz w:val="20"/>
                <w:szCs w:val="20"/>
                <w:color w:val="auto"/>
              </w:rPr>
            </w:pPr>
            <w:r>
              <w:rPr>
                <w:rFonts w:ascii="Arial" w:cs="Arial" w:eastAsia="Arial" w:hAnsi="Arial"/>
                <w:sz w:val="14"/>
                <w:szCs w:val="14"/>
                <w:color w:val="auto"/>
              </w:rPr>
              <w:t>Loss on early retirement of debt</w:t>
            </w:r>
          </w:p>
        </w:tc>
        <w:tc>
          <w:tcPr>
            <w:tcW w:w="1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r>
      <w:tr>
        <w:trPr>
          <w:trHeight w:val="176"/>
        </w:trPr>
        <w:tc>
          <w:tcPr>
            <w:tcW w:w="5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Provision for income taxes</w:t>
            </w:r>
          </w:p>
        </w:tc>
        <w:tc>
          <w:tcPr>
            <w:tcW w:w="1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(1,836)</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5"/>
                <w:szCs w:val="15"/>
                <w:color w:val="auto"/>
              </w:rPr>
            </w:pPr>
          </w:p>
        </w:tc>
      </w:tr>
      <w:tr>
        <w:trPr>
          <w:trHeight w:val="149"/>
        </w:trPr>
        <w:tc>
          <w:tcPr>
            <w:tcW w:w="5240" w:type="dxa"/>
            <w:vAlign w:val="bottom"/>
          </w:tcPr>
          <w:p>
            <w:pPr>
              <w:spacing w:after="0" w:line="142" w:lineRule="exact"/>
              <w:rPr>
                <w:sz w:val="20"/>
                <w:szCs w:val="20"/>
                <w:color w:val="auto"/>
              </w:rPr>
            </w:pPr>
            <w:r>
              <w:rPr>
                <w:rFonts w:ascii="Arial" w:cs="Arial" w:eastAsia="Arial" w:hAnsi="Arial"/>
                <w:sz w:val="14"/>
                <w:szCs w:val="14"/>
                <w:color w:val="auto"/>
              </w:rPr>
              <w:t>Net income (loss)</w:t>
            </w:r>
          </w:p>
        </w:tc>
        <w:tc>
          <w:tcPr>
            <w:tcW w:w="160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3,370</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5"/>
                <w:szCs w:val="5"/>
                <w:color w:val="auto"/>
                <w:w w:val="70"/>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(6,164)</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7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6"/>
          </w:tcPr>
          <w:p>
            <w:pPr>
              <w:jc w:val="right"/>
              <w:ind w:right="114"/>
              <w:spacing w:after="0" w:line="155" w:lineRule="exact"/>
              <w:rPr>
                <w:sz w:val="20"/>
                <w:szCs w:val="20"/>
                <w:color w:val="auto"/>
              </w:rPr>
            </w:pPr>
            <w:r>
              <w:rPr>
                <w:rFonts w:ascii="Arial" w:cs="Arial" w:eastAsia="Arial" w:hAnsi="Arial"/>
                <w:sz w:val="14"/>
                <w:szCs w:val="14"/>
                <w:b w:val="1"/>
                <w:bCs w:val="1"/>
                <w:color w:val="auto"/>
                <w:w w:val="92"/>
              </w:rPr>
              <w:t>(in thousands, unaudited)</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6"/>
              </w:rPr>
              <w:t>Capital Expenditures</w:t>
            </w:r>
          </w:p>
        </w:tc>
        <w:tc>
          <w:tcPr>
            <w:tcW w:w="3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20"/>
              <w:spacing w:after="0"/>
              <w:rPr>
                <w:sz w:val="20"/>
                <w:szCs w:val="20"/>
                <w:color w:val="auto"/>
              </w:rPr>
            </w:pPr>
            <w:r>
              <w:rPr>
                <w:rFonts w:ascii="Arial" w:cs="Arial" w:eastAsia="Arial" w:hAnsi="Arial"/>
                <w:sz w:val="18"/>
                <w:szCs w:val="18"/>
                <w:color w:val="auto"/>
              </w:rPr>
              <w:t>Nevada</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2,842</w:t>
            </w:r>
          </w:p>
        </w:tc>
        <w:tc>
          <w:tcPr>
            <w:tcW w:w="60" w:type="dxa"/>
            <w:vAlign w:val="bottom"/>
          </w:tcPr>
          <w:p>
            <w:pPr>
              <w:spacing w:after="0"/>
              <w:rPr>
                <w:sz w:val="18"/>
                <w:szCs w:val="18"/>
                <w:color w:val="auto"/>
              </w:rPr>
            </w:pPr>
          </w:p>
        </w:tc>
        <w:tc>
          <w:tcPr>
            <w:tcW w:w="360" w:type="dxa"/>
            <w:vAlign w:val="bottom"/>
            <w:gridSpan w:val="3"/>
          </w:tcPr>
          <w:p>
            <w:pPr>
              <w:jc w:val="right"/>
              <w:ind w:right="5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1,389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Louisiana</w:t>
            </w:r>
          </w:p>
        </w:tc>
        <w:tc>
          <w:tcPr>
            <w:tcW w:w="3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20"/>
              <w:spacing w:after="0"/>
              <w:rPr>
                <w:sz w:val="20"/>
                <w:szCs w:val="20"/>
                <w:color w:val="auto"/>
              </w:rPr>
            </w:pPr>
            <w:r>
              <w:rPr>
                <w:rFonts w:ascii="Arial" w:cs="Arial" w:eastAsia="Arial" w:hAnsi="Arial"/>
                <w:sz w:val="18"/>
                <w:szCs w:val="18"/>
                <w:color w:val="auto"/>
              </w:rPr>
              <w:t xml:space="preserve">Eastern </w:t>
            </w:r>
            <w:r>
              <w:rPr>
                <w:rFonts w:ascii="Arial" w:cs="Arial" w:eastAsia="Arial" w:hAnsi="Arial"/>
                <w:sz w:val="8"/>
                <w:szCs w:val="8"/>
                <w:color w:val="auto"/>
              </w:rPr>
              <w:t>(1)</w:t>
            </w: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5,103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5,486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338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20"/>
                <w:szCs w:val="20"/>
                <w:color w:val="auto"/>
              </w:rPr>
            </w:pPr>
            <w:r>
              <w:rPr>
                <w:rFonts w:ascii="Arial" w:cs="Arial" w:eastAsia="Arial" w:hAnsi="Arial"/>
                <w:sz w:val="18"/>
                <w:szCs w:val="18"/>
                <w:color w:val="auto"/>
              </w:rPr>
              <w:t>Total</w:t>
            </w:r>
          </w:p>
        </w:tc>
        <w:tc>
          <w:tcPr>
            <w:tcW w:w="338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740" w:type="dxa"/>
            <w:vAlign w:val="bottom"/>
          </w:tcPr>
          <w:p>
            <w:pPr>
              <w:ind w:left="1300"/>
              <w:spacing w:after="0"/>
              <w:rPr>
                <w:sz w:val="20"/>
                <w:szCs w:val="20"/>
                <w:color w:val="auto"/>
              </w:rPr>
            </w:pPr>
            <w:r>
              <w:rPr>
                <w:rFonts w:ascii="Arial" w:cs="Arial" w:eastAsia="Arial" w:hAnsi="Arial"/>
                <w:sz w:val="18"/>
                <w:szCs w:val="18"/>
                <w:color w:val="auto"/>
              </w:rPr>
              <w:t>(1)</w:t>
            </w:r>
          </w:p>
        </w:tc>
        <w:tc>
          <w:tcPr>
            <w:tcW w:w="3560" w:type="dxa"/>
            <w:vAlign w:val="bottom"/>
            <w:gridSpan w:val="3"/>
          </w:tcPr>
          <w:p>
            <w:pPr>
              <w:jc w:val="right"/>
              <w:ind w:right="539"/>
              <w:spacing w:after="0"/>
              <w:rPr>
                <w:sz w:val="20"/>
                <w:szCs w:val="20"/>
                <w:color w:val="auto"/>
              </w:rPr>
            </w:pPr>
            <w:r>
              <w:rPr>
                <w:rFonts w:ascii="Arial" w:cs="Arial" w:eastAsia="Arial" w:hAnsi="Arial"/>
                <w:sz w:val="18"/>
                <w:szCs w:val="18"/>
                <w:color w:val="auto"/>
                <w:w w:val="93"/>
              </w:rPr>
              <w:t>Gross of West Virginia reimbursements</w:t>
            </w: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66"/>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7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8"/>
          </w:tcPr>
          <w:p>
            <w:pPr>
              <w:ind w:left="4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6"/>
        </w:trPr>
        <w:tc>
          <w:tcPr>
            <w:tcW w:w="17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Total Assets</w:t>
            </w:r>
          </w:p>
        </w:tc>
        <w:tc>
          <w:tcPr>
            <w:tcW w:w="3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20"/>
              <w:spacing w:after="0"/>
              <w:rPr>
                <w:sz w:val="20"/>
                <w:szCs w:val="20"/>
                <w:color w:val="auto"/>
              </w:rPr>
            </w:pPr>
            <w:r>
              <w:rPr>
                <w:rFonts w:ascii="Arial" w:cs="Arial" w:eastAsia="Arial" w:hAnsi="Arial"/>
                <w:sz w:val="18"/>
                <w:szCs w:val="18"/>
                <w:color w:val="auto"/>
              </w:rPr>
              <w:t>Nevada</w:t>
            </w:r>
          </w:p>
        </w:tc>
        <w:tc>
          <w:tcPr>
            <w:tcW w:w="3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358,406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376,760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Louisiana</w:t>
            </w:r>
          </w:p>
        </w:tc>
        <w:tc>
          <w:tcPr>
            <w:tcW w:w="3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131,514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135,403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ind w:left="120"/>
              <w:spacing w:after="0"/>
              <w:rPr>
                <w:sz w:val="20"/>
                <w:szCs w:val="20"/>
                <w:color w:val="auto"/>
              </w:rPr>
            </w:pPr>
            <w:r>
              <w:rPr>
                <w:rFonts w:ascii="Arial" w:cs="Arial" w:eastAsia="Arial" w:hAnsi="Arial"/>
                <w:sz w:val="18"/>
                <w:szCs w:val="18"/>
                <w:color w:val="auto"/>
              </w:rPr>
              <w:t>Eastern</w:t>
            </w: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859,318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883,344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3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450,819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495,202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8"/>
              </w:rPr>
              <w:t xml:space="preserve">Eliminating entries </w:t>
            </w:r>
            <w:r>
              <w:rPr>
                <w:rFonts w:ascii="Arial" w:cs="Arial" w:eastAsia="Arial" w:hAnsi="Arial"/>
                <w:sz w:val="8"/>
                <w:szCs w:val="8"/>
                <w:color w:val="auto"/>
                <w:w w:val="98"/>
              </w:rPr>
              <w:t>(1)</w:t>
            </w:r>
          </w:p>
        </w:tc>
        <w:tc>
          <w:tcPr>
            <w:tcW w:w="33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(513,989)</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(565,701)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1,286,068</w:t>
            </w:r>
          </w:p>
        </w:tc>
        <w:tc>
          <w:tcPr>
            <w:tcW w:w="18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6"/>
              </w:rPr>
              <w:t>$ 1,325,008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Reflects the following eliminations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Reclass deferred tax assets against deferred tax liabilities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Accrued interest on the senior notes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11,521</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 MTR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Net investment in Silver Legacy/Circus Circus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88,314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88,314</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receivables/payables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351,318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394,804</w:t>
            </w:r>
          </w:p>
        </w:tc>
        <w:tc>
          <w:tcPr>
            <w:tcW w:w="80" w:type="dxa"/>
            <w:vAlign w:val="bottom"/>
            <w:shd w:val="clear" w:color="auto" w:fill="CCEEFF"/>
          </w:tcPr>
          <w:p>
            <w:pPr>
              <w:spacing w:after="0"/>
              <w:rPr>
                <w:sz w:val="18"/>
                <w:szCs w:val="18"/>
                <w:color w:val="auto"/>
              </w:rPr>
            </w:pP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Net investment in and advances to Silver Legacy</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56,500</w:t>
            </w: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investment in and advances to Eldorado Shreveport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80" w:type="dxa"/>
            <w:vAlign w:val="bottom"/>
            <w:shd w:val="clear" w:color="auto" w:fill="CCEEFF"/>
          </w:tcPr>
          <w:p>
            <w:pPr>
              <w:spacing w:after="0"/>
              <w:rPr>
                <w:sz w:val="18"/>
                <w:szCs w:val="18"/>
                <w:color w:val="auto"/>
              </w:rPr>
            </w:pPr>
          </w:p>
        </w:tc>
      </w:tr>
      <w:tr>
        <w:trPr>
          <w:trHeight w:val="210"/>
        </w:trPr>
        <w:tc>
          <w:tcPr>
            <w:tcW w:w="48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513,989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565,701</w:t>
            </w:r>
          </w:p>
        </w:tc>
        <w:tc>
          <w:tcPr>
            <w:tcW w:w="80" w:type="dxa"/>
            <w:vAlign w:val="bottom"/>
          </w:tcPr>
          <w:p>
            <w:pPr>
              <w:spacing w:after="0"/>
              <w:rPr>
                <w:sz w:val="18"/>
                <w:szCs w:val="18"/>
                <w:color w:val="auto"/>
              </w:rPr>
            </w:pPr>
          </w:p>
        </w:tc>
      </w:tr>
      <w:tr>
        <w:trPr>
          <w:trHeight w:val="27"/>
        </w:trPr>
        <w:tc>
          <w:tcPr>
            <w:tcW w:w="4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148" w:lineRule="exact"/>
        <w:rPr>
          <w:sz w:val="20"/>
          <w:szCs w:val="20"/>
          <w:color w:val="auto"/>
        </w:rPr>
      </w:pPr>
    </w:p>
    <w:p>
      <w:pPr>
        <w:ind w:right="19" w:firstLine="648"/>
        <w:spacing w:after="0" w:line="216" w:lineRule="auto"/>
        <w:rPr>
          <w:sz w:val="20"/>
          <w:szCs w:val="20"/>
          <w:color w:val="auto"/>
        </w:rPr>
      </w:pPr>
      <w:r>
        <w:rPr>
          <w:rFonts w:ascii="Arial" w:cs="Arial" w:eastAsia="Arial" w:hAnsi="Arial"/>
          <w:sz w:val="18"/>
          <w:szCs w:val="18"/>
          <w:color w:val="auto"/>
        </w:rPr>
        <w:t>In August 2015, the Company’s Compensation Committee and Board of Directors approved the termination of then existing Resorts and MTR Gaming 401(k) plans and the establishment of a new consolidated ERI 401(k) plan which was effective in January 2016. The plan covering the Company’s employees allows for an employer contribution up to 50 percent of the first four percent of each participating employee’s contribution, up to a maximum of $1,000, subject to statutory and certain other limits.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Consolidating Condensed Financial Information</w:t>
      </w:r>
    </w:p>
    <w:p>
      <w:pPr>
        <w:spacing w:after="0" w:line="81"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color w:val="auto"/>
        </w:rPr>
        <w:t>All of our wholly owned subsidiaries, except for the subsidiaries acquired in the Acquisition, have fully and conditionally guaranteed on a joint and several basis, the payments of all obligations under our Senior Notes and New Credit Facility as of March 31, 2016. Silver Legacy Joint Venture, LLC and CC-Reno, LLC were not guarantors as of March 31, 2016, but will become guarantors upon receipt of the required regulatory approval which is expected to be received in May 2016.</w:t>
      </w: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consolidating condensed balance sheet as of March 31, 2016 is as follows:</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w:t>
      </w: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Eldorado Resorts,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Consolidating</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Eldorado Resorts,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Inc. (Parent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and Eliminating</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9"/>
              </w:rPr>
              <w:t>Obligor)</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Subsidiaries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Subsidiaries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Entries</w:t>
            </w:r>
          </w:p>
        </w:tc>
        <w:tc>
          <w:tcPr>
            <w:tcW w:w="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Inc. 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341,649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34,317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(398,279)</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Investment in and advances to</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62,786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unconsolidated affiliates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88,314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(88,314)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432,246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182,097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618,121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52,658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574,998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(52,751)</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580,699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492,769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1,164,670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231,159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(602,530)</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1,286,068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Intercompany payables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381,846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(381,846)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w w:val="97"/>
              </w:rPr>
              <w:t>Long-term debt, less current maturities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325,471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826,798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138,659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2,553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(52,751)</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88,461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21,852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147,552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(149,814)</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274,956</w:t>
            </w:r>
          </w:p>
        </w:tc>
        <w:tc>
          <w:tcPr>
            <w:tcW w:w="0" w:type="dxa"/>
            <w:vAlign w:val="bottom"/>
          </w:tcPr>
          <w:p>
            <w:pPr>
              <w:spacing w:after="0"/>
              <w:rPr>
                <w:sz w:val="1"/>
                <w:szCs w:val="1"/>
                <w:color w:val="auto"/>
              </w:rPr>
            </w:pPr>
          </w:p>
        </w:tc>
      </w:tr>
      <w:tr>
        <w:trPr>
          <w:trHeight w:val="196"/>
        </w:trPr>
        <w:tc>
          <w:tcPr>
            <w:tcW w:w="2720" w:type="dxa"/>
            <w:vAlign w:val="bottom"/>
            <w:gridSpan w:val="2"/>
          </w:tcPr>
          <w:p>
            <w:pPr>
              <w:spacing w:after="0"/>
              <w:rPr>
                <w:sz w:val="20"/>
                <w:szCs w:val="20"/>
                <w:color w:val="auto"/>
              </w:rPr>
            </w:pPr>
            <w:r>
              <w:rPr>
                <w:rFonts w:ascii="Arial" w:cs="Arial" w:eastAsia="Arial" w:hAnsi="Arial"/>
                <w:sz w:val="16"/>
                <w:szCs w:val="16"/>
                <w:color w:val="auto"/>
                <w:w w:val="97"/>
              </w:rPr>
              <w:t>Total liabilities and stockholders’ equity</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492,769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1,164,670</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231,159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(602,530)</w:t>
            </w:r>
          </w:p>
        </w:tc>
        <w:tc>
          <w:tcPr>
            <w:tcW w:w="16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1,286,068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consolidating condensed balance sheet as of December 31, 2015 is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Eldorado Resorts,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Consolidating</w:t>
            </w: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Eldorado Resorts,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96"/>
              </w:rPr>
              <w:t>Inc. (Parent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3"/>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and Eliminating</w:t>
            </w: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9"/>
              </w:rPr>
              <w:t>Obligor)</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Subsidiaries</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3"/>
              </w:rPr>
              <w:t>Subsidiaries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Entries</w:t>
            </w:r>
          </w:p>
        </w:tc>
        <w:tc>
          <w:tcPr>
            <w:tcW w:w="1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Inc. Consolidated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Intercompany receivables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401,998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(401,998)</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700" w:type="dxa"/>
            <w:vAlign w:val="bottom"/>
            <w:shd w:val="clear" w:color="auto" w:fill="CCEEFF"/>
          </w:tcPr>
          <w:p>
            <w:pPr>
              <w:spacing w:after="0" w:line="138" w:lineRule="exact"/>
              <w:rPr>
                <w:sz w:val="20"/>
                <w:szCs w:val="20"/>
                <w:color w:val="auto"/>
              </w:rPr>
            </w:pPr>
            <w:r>
              <w:rPr>
                <w:rFonts w:ascii="Arial" w:cs="Arial" w:eastAsia="Arial" w:hAnsi="Arial"/>
                <w:sz w:val="16"/>
                <w:szCs w:val="16"/>
                <w:color w:val="auto"/>
              </w:rPr>
              <w:t>Investment in and advances to</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62,786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(61,500)</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unconsolidated affiliates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Investments in subsidiaries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88,314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(88,314)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439,640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183,223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625,416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575,466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582,127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495,202</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1,165,868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(556,959)</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1,325,008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7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(27,652)</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Intercompany payables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389,272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(8,149)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(381,123)</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w w:val="97"/>
              </w:rPr>
              <w:t>Long-term debt, less current maturities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486,171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325,542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861,713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Pr>
          <w:p>
            <w:pPr>
              <w:spacing w:after="0"/>
              <w:rPr>
                <w:sz w:val="20"/>
                <w:szCs w:val="20"/>
                <w:color w:val="auto"/>
              </w:rPr>
            </w:pPr>
            <w:r>
              <w:rPr>
                <w:rFonts w:ascii="Arial" w:cs="Arial" w:eastAsia="Arial" w:hAnsi="Arial"/>
                <w:sz w:val="16"/>
                <w:szCs w:val="16"/>
                <w:color w:val="auto"/>
              </w:rPr>
              <w:t>Other accrued liabilities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151,910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(72,422)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86,918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(20,112)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220,636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145,905</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(75,762)</w:t>
            </w: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270,667</w:t>
            </w:r>
          </w:p>
        </w:tc>
        <w:tc>
          <w:tcPr>
            <w:tcW w:w="0" w:type="dxa"/>
            <w:vAlign w:val="bottom"/>
          </w:tcPr>
          <w:p>
            <w:pPr>
              <w:spacing w:after="0"/>
              <w:rPr>
                <w:sz w:val="1"/>
                <w:szCs w:val="1"/>
                <w:color w:val="auto"/>
              </w:rPr>
            </w:pPr>
          </w:p>
        </w:tc>
      </w:tr>
      <w:tr>
        <w:trPr>
          <w:trHeight w:val="196"/>
        </w:trPr>
        <w:tc>
          <w:tcPr>
            <w:tcW w:w="2720" w:type="dxa"/>
            <w:vAlign w:val="bottom"/>
            <w:gridSpan w:val="2"/>
          </w:tcPr>
          <w:p>
            <w:pPr>
              <w:spacing w:after="0"/>
              <w:rPr>
                <w:sz w:val="20"/>
                <w:szCs w:val="20"/>
                <w:color w:val="auto"/>
              </w:rPr>
            </w:pPr>
            <w:r>
              <w:rPr>
                <w:rFonts w:ascii="Arial" w:cs="Arial" w:eastAsia="Arial" w:hAnsi="Arial"/>
                <w:sz w:val="16"/>
                <w:szCs w:val="16"/>
                <w:color w:val="auto"/>
                <w:w w:val="97"/>
              </w:rPr>
              <w:t>Total liabilities and stockholders’ equity</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495,202</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1,165,868</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220,897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(556,959)</w:t>
            </w:r>
          </w:p>
        </w:tc>
        <w:tc>
          <w:tcPr>
            <w:tcW w:w="16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1,325,008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consolidating condensed statement of operations for the three months ended March 31, 2016 is as follows: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Operations</w:t>
      </w: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0"/>
              <w:spacing w:after="0" w:line="129" w:lineRule="exact"/>
              <w:rPr>
                <w:sz w:val="20"/>
                <w:szCs w:val="20"/>
                <w:color w:val="auto"/>
              </w:rPr>
            </w:pPr>
            <w:r>
              <w:rPr>
                <w:rFonts w:ascii="Arial" w:cs="Arial" w:eastAsia="Arial" w:hAnsi="Arial"/>
                <w:sz w:val="14"/>
                <w:szCs w:val="14"/>
                <w:b w:val="1"/>
                <w:bCs w:val="1"/>
                <w:color w:val="auto"/>
                <w:w w:val="95"/>
              </w:rPr>
              <w:t>Eldorado</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1"/>
                <w:szCs w:val="11"/>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Consolidating</w:t>
            </w:r>
          </w:p>
        </w:tc>
        <w:tc>
          <w:tcPr>
            <w:tcW w:w="16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Eldorado Resorts,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Resorts, Inc.</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and Eliminating</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60" w:type="dxa"/>
            <w:vAlign w:val="bottom"/>
            <w:gridSpan w:val="2"/>
            <w:vMerge w:val="restart"/>
          </w:tcPr>
          <w:p>
            <w:pPr>
              <w:spacing w:after="0"/>
              <w:rPr>
                <w:sz w:val="20"/>
                <w:szCs w:val="20"/>
                <w:color w:val="auto"/>
              </w:rPr>
            </w:pPr>
            <w:r>
              <w:rPr>
                <w:rFonts w:ascii="Arial" w:cs="Arial" w:eastAsia="Arial" w:hAnsi="Arial"/>
                <w:sz w:val="16"/>
                <w:szCs w:val="16"/>
                <w:color w:val="auto"/>
              </w:rPr>
              <w:t>Revenues:</w:t>
            </w:r>
          </w:p>
        </w:tc>
        <w:tc>
          <w:tcPr>
            <w:tcW w:w="18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(Parent Obligor)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Subsidiaries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Subsidiaries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Entries</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Inc. Consolidated</w:t>
            </w:r>
          </w:p>
        </w:tc>
        <w:tc>
          <w:tcPr>
            <w:tcW w:w="0" w:type="dxa"/>
            <w:vAlign w:val="bottom"/>
          </w:tcPr>
          <w:p>
            <w:pPr>
              <w:spacing w:after="0"/>
              <w:rPr>
                <w:sz w:val="1"/>
                <w:szCs w:val="1"/>
                <w:color w:val="auto"/>
              </w:rPr>
            </w:pPr>
          </w:p>
        </w:tc>
      </w:tr>
      <w:tr>
        <w:trPr>
          <w:trHeight w:val="169"/>
        </w:trPr>
        <w:tc>
          <w:tcPr>
            <w:tcW w:w="26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w w:val="97"/>
              </w:rPr>
              <w:t>Gaming and pari-mutuel commissions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145,460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Non-gaming</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29,398</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64,789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Gross revenues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promotional allowances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166,057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213,566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4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Operating expenses: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w w:val="97"/>
              </w:rPr>
              <w:t>Gaming and pari-mutuel commissions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85,419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12,167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Non-gaming</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Marketing and promotions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6,957</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12,496</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3,604</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16,204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149,815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194,854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Gain on disposal of assets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Acquisition charges</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Operating (loss) income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18,263</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Loss on early retirement of debt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w w:val="95"/>
              </w:rPr>
              <w:t>Net (loss) income before income taxes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consolidating condensed statement of operations for the three months ended March 31, 2015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40"/>
              <w:spacing w:after="0"/>
              <w:rPr>
                <w:sz w:val="20"/>
                <w:szCs w:val="20"/>
                <w:color w:val="auto"/>
              </w:rPr>
            </w:pPr>
            <w:r>
              <w:rPr>
                <w:rFonts w:ascii="Arial" w:cs="Arial" w:eastAsia="Arial" w:hAnsi="Arial"/>
                <w:sz w:val="14"/>
                <w:szCs w:val="14"/>
                <w:b w:val="1"/>
                <w:bCs w:val="1"/>
                <w:color w:val="auto"/>
                <w:w w:val="95"/>
              </w:rPr>
              <w:t>Eldorado</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4"/>
                <w:szCs w:val="14"/>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Consolidating</w:t>
            </w:r>
          </w:p>
        </w:tc>
        <w:tc>
          <w:tcPr>
            <w:tcW w:w="16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Eldorado Resorts,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2"/>
              </w:rPr>
              <w:t>Resorts, Inc.</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and Eliminating</w:t>
            </w:r>
          </w:p>
        </w:tc>
        <w:tc>
          <w:tcPr>
            <w:tcW w:w="1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740" w:type="dxa"/>
            <w:vAlign w:val="bottom"/>
            <w:gridSpan w:val="2"/>
            <w:vMerge w:val="restart"/>
          </w:tcPr>
          <w:p>
            <w:pPr>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(Parent Obligor)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6"/>
              </w:rPr>
              <w:t>Subsidiaries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2"/>
              </w:rPr>
              <w:t>Entries</w:t>
            </w:r>
          </w:p>
        </w:tc>
        <w:tc>
          <w:tcPr>
            <w:tcW w:w="160" w:type="dxa"/>
            <w:vAlign w:val="bottom"/>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Inc. Consolidated</w:t>
            </w:r>
          </w:p>
        </w:tc>
        <w:tc>
          <w:tcPr>
            <w:tcW w:w="0" w:type="dxa"/>
            <w:vAlign w:val="bottom"/>
          </w:tcPr>
          <w:p>
            <w:pPr>
              <w:spacing w:after="0"/>
              <w:rPr>
                <w:sz w:val="1"/>
                <w:szCs w:val="1"/>
                <w:color w:val="auto"/>
              </w:rPr>
            </w:pPr>
          </w:p>
        </w:tc>
      </w:tr>
      <w:tr>
        <w:trPr>
          <w:trHeight w:val="169"/>
        </w:trPr>
        <w:tc>
          <w:tcPr>
            <w:tcW w:w="2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Gaming and pari-mutuel commissions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Non-gaming</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Gross revenues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182,809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182,809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promotional allowances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167,451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167,451</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72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Operating expenses:</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Gaming and pari-mutuel commissions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88,514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88,514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Non-gaming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16,978</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Marketing and promotions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7,101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27,077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Depreciation and 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14,390</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154,060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154,766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Gain on disposal of assets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Acquisition charges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6"/>
              </w:rPr>
              <w:t>Equity in loss of unconsolidated affiliate</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196"/>
        </w:trPr>
        <w:tc>
          <w:tcPr>
            <w:tcW w:w="2740" w:type="dxa"/>
            <w:vAlign w:val="bottom"/>
            <w:gridSpan w:val="2"/>
          </w:tcPr>
          <w:p>
            <w:pPr>
              <w:spacing w:after="0"/>
              <w:rPr>
                <w:sz w:val="20"/>
                <w:szCs w:val="20"/>
                <w:color w:val="auto"/>
              </w:rPr>
            </w:pPr>
            <w:r>
              <w:rPr>
                <w:rFonts w:ascii="Arial" w:cs="Arial" w:eastAsia="Arial" w:hAnsi="Arial"/>
                <w:sz w:val="16"/>
                <w:szCs w:val="16"/>
                <w:color w:val="auto"/>
              </w:rPr>
              <w:t>Operating (loss) income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12,790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ind w:left="7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ind w:left="8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12,084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Interest expense, net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(17,232)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8"/>
              </w:rPr>
              <w:t>Net (loss) income before income taxes</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benefit (provision)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consolidating condensed statement of cash flows for the three months ended March 31, 2016 is as follows:</w:t>
      </w:r>
    </w:p>
    <w:p>
      <w:pPr>
        <w:sectPr>
          <w:pgSz w:w="11900" w:h="16838" w:orient="portrait"/>
          <w:cols w:equalWidth="0" w:num="1">
            <w:col w:w="9060"/>
          </w:cols>
          <w:pgMar w:left="1420" w:top="111" w:right="141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Cash Flows</w:t>
      </w:r>
    </w:p>
    <w:p>
      <w:pPr>
        <w:spacing w:after="0" w:line="392" w:lineRule="exact"/>
        <w:rPr>
          <w:sz w:val="20"/>
          <w:szCs w:val="20"/>
          <w:color w:val="auto"/>
        </w:rPr>
      </w:pPr>
    </w:p>
    <w:p>
      <w:pPr>
        <w:ind w:left="140" w:hanging="129"/>
        <w:spacing w:after="0" w:line="230" w:lineRule="auto"/>
        <w:rPr>
          <w:sz w:val="20"/>
          <w:szCs w:val="20"/>
          <w:color w:val="auto"/>
        </w:rPr>
      </w:pPr>
      <w:r>
        <w:rPr>
          <w:rFonts w:ascii="Arial" w:cs="Arial" w:eastAsia="Arial" w:hAnsi="Arial"/>
          <w:sz w:val="14"/>
          <w:szCs w:val="14"/>
          <w:color w:val="auto"/>
        </w:rPr>
        <w:t>Net cash (used in) provided by operating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Eldorado Resorts,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8"/>
              </w:rPr>
              <w:t>Non-Guarantor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Consolidating</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Eldorado</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8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94"/>
              </w:rPr>
              <w:t>Inc. (Parent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and Eliminating</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Obligor)</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8"/>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(12,580)</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14,173</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7,014</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2,246</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10,853</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-179705</wp:posOffset>
            </wp:positionV>
            <wp:extent cx="575437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171450"/>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2360" w:space="480"/>
            <w:col w:w="6220"/>
          </w:cols>
          <w:pgMar w:left="1420" w:top="111" w:right="141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 net of payables</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(7,934)</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(1,361)</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(10,624)</w:t>
            </w:r>
          </w:p>
        </w:tc>
        <w:tc>
          <w:tcPr>
            <w:tcW w:w="0" w:type="dxa"/>
            <w:vAlign w:val="bottom"/>
          </w:tcPr>
          <w:p>
            <w:pPr>
              <w:spacing w:after="0"/>
              <w:rPr>
                <w:sz w:val="1"/>
                <w:szCs w:val="1"/>
                <w:color w:val="auto"/>
              </w:rPr>
            </w:pPr>
          </w:p>
        </w:tc>
      </w:tr>
      <w:tr>
        <w:trPr>
          <w:trHeight w:val="108"/>
        </w:trPr>
        <w:tc>
          <w:tcPr>
            <w:tcW w:w="2700" w:type="dxa"/>
            <w:vAlign w:val="bottom"/>
          </w:tcPr>
          <w:p>
            <w:pPr>
              <w:spacing w:after="0" w:line="108" w:lineRule="exact"/>
              <w:rPr>
                <w:sz w:val="20"/>
                <w:szCs w:val="20"/>
                <w:color w:val="auto"/>
              </w:rPr>
            </w:pPr>
            <w:r>
              <w:rPr>
                <w:rFonts w:ascii="Arial" w:cs="Arial" w:eastAsia="Arial" w:hAnsi="Arial"/>
                <w:sz w:val="12"/>
                <w:szCs w:val="12"/>
                <w:color w:val="auto"/>
              </w:rPr>
              <w:t>Proceeds from sale of property and</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62"/>
        </w:trPr>
        <w:tc>
          <w:tcPr>
            <w:tcW w:w="2700" w:type="dxa"/>
            <w:vAlign w:val="bottom"/>
          </w:tcPr>
          <w:p>
            <w:pPr>
              <w:ind w:left="140"/>
              <w:spacing w:after="0"/>
              <w:rPr>
                <w:sz w:val="20"/>
                <w:szCs w:val="20"/>
                <w:color w:val="auto"/>
              </w:rPr>
            </w:pPr>
            <w:r>
              <w:rPr>
                <w:rFonts w:ascii="Arial" w:cs="Arial" w:eastAsia="Arial" w:hAnsi="Arial"/>
                <w:sz w:val="14"/>
                <w:szCs w:val="14"/>
                <w:color w:val="auto"/>
              </w:rPr>
              <w:t>equipment</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Reimbursement of capital expenditures from</w:t>
            </w: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4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1,692</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West Virginia regulatory authorities</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3"/>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20"/>
                <w:szCs w:val="20"/>
                <w:color w:val="auto"/>
              </w:rPr>
            </w:pPr>
            <w:r>
              <w:rPr>
                <w:rFonts w:ascii="Arial" w:cs="Arial" w:eastAsia="Arial" w:hAnsi="Arial"/>
                <w:sz w:val="14"/>
                <w:szCs w:val="14"/>
                <w:color w:val="auto"/>
              </w:rPr>
              <w:t>(Increase) decrease in other assets, net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159</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Advances from (to) subsidiaries</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50,659</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(50,659)</w:t>
            </w:r>
          </w:p>
        </w:tc>
        <w:tc>
          <w:tcPr>
            <w:tcW w:w="1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8"/>
        </w:trPr>
        <w:tc>
          <w:tcPr>
            <w:tcW w:w="2700" w:type="dxa"/>
            <w:vAlign w:val="bottom"/>
          </w:tcPr>
          <w:p>
            <w:pPr>
              <w:spacing w:after="0" w:line="88" w:lineRule="exact"/>
              <w:rPr>
                <w:sz w:val="20"/>
                <w:szCs w:val="20"/>
                <w:color w:val="auto"/>
              </w:rPr>
            </w:pPr>
            <w:r>
              <w:rPr>
                <w:rFonts w:ascii="Arial" w:cs="Arial" w:eastAsia="Arial" w:hAnsi="Arial"/>
                <w:sz w:val="10"/>
                <w:szCs w:val="10"/>
                <w:color w:val="auto"/>
              </w:rPr>
              <w:t>Net cash provided by (used in)investing</w:t>
            </w: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49,287</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(5,995)</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(1,306)</w:t>
            </w: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(50,659)</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(8,673)</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activities</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20"/>
                <w:szCs w:val="20"/>
                <w:color w:val="auto"/>
              </w:rPr>
            </w:pPr>
            <w:r>
              <w:rPr>
                <w:rFonts w:ascii="Arial" w:cs="Arial" w:eastAsia="Arial" w:hAnsi="Arial"/>
                <w:sz w:val="14"/>
                <w:szCs w:val="14"/>
                <w:color w:val="auto"/>
              </w:rPr>
              <w:t>Payments under Term Loan</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(1,063)</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108"/>
        </w:trPr>
        <w:tc>
          <w:tcPr>
            <w:tcW w:w="27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Borrowings under New Revolving Credit</w:t>
            </w: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(34,500)</w:t>
            </w: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24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(34,500)</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Facility</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3"/>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20"/>
                <w:szCs w:val="20"/>
                <w:color w:val="auto"/>
              </w:rPr>
            </w:pPr>
            <w:r>
              <w:rPr>
                <w:rFonts w:ascii="Arial" w:cs="Arial" w:eastAsia="Arial" w:hAnsi="Arial"/>
                <w:sz w:val="14"/>
                <w:szCs w:val="14"/>
                <w:color w:val="auto"/>
              </w:rPr>
              <w:t>Payments on capital leases</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Debt issuance costs</w:t>
            </w: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08"/>
        </w:trPr>
        <w:tc>
          <w:tcPr>
            <w:tcW w:w="2700" w:type="dxa"/>
            <w:vAlign w:val="bottom"/>
          </w:tcPr>
          <w:p>
            <w:pPr>
              <w:spacing w:after="0" w:line="108" w:lineRule="exact"/>
              <w:rPr>
                <w:sz w:val="20"/>
                <w:szCs w:val="20"/>
                <w:color w:val="auto"/>
              </w:rPr>
            </w:pPr>
            <w:r>
              <w:rPr>
                <w:rFonts w:ascii="Arial" w:cs="Arial" w:eastAsia="Arial" w:hAnsi="Arial"/>
                <w:sz w:val="12"/>
                <w:szCs w:val="12"/>
                <w:color w:val="auto"/>
              </w:rPr>
              <w:t>Taxes paid related to net share settlement of</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40" w:type="dxa"/>
            <w:vAlign w:val="bottom"/>
            <w:gridSpan w:val="3"/>
            <w:vMerge w:val="restart"/>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(534)</w:t>
            </w:r>
          </w:p>
        </w:tc>
        <w:tc>
          <w:tcPr>
            <w:tcW w:w="0" w:type="dxa"/>
            <w:vAlign w:val="bottom"/>
          </w:tcPr>
          <w:p>
            <w:pPr>
              <w:spacing w:after="0"/>
              <w:rPr>
                <w:sz w:val="1"/>
                <w:szCs w:val="1"/>
                <w:color w:val="auto"/>
              </w:rPr>
            </w:pPr>
          </w:p>
        </w:tc>
      </w:tr>
      <w:tr>
        <w:trPr>
          <w:trHeight w:val="162"/>
        </w:trPr>
        <w:tc>
          <w:tcPr>
            <w:tcW w:w="2700" w:type="dxa"/>
            <w:vAlign w:val="bottom"/>
          </w:tcPr>
          <w:p>
            <w:pPr>
              <w:ind w:left="140"/>
              <w:spacing w:after="0"/>
              <w:rPr>
                <w:sz w:val="20"/>
                <w:szCs w:val="20"/>
                <w:color w:val="auto"/>
              </w:rPr>
            </w:pPr>
            <w:r>
              <w:rPr>
                <w:rFonts w:ascii="Arial" w:cs="Arial" w:eastAsia="Arial" w:hAnsi="Arial"/>
                <w:sz w:val="14"/>
                <w:szCs w:val="14"/>
                <w:color w:val="auto"/>
              </w:rPr>
              <w:t>equity awards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700" w:type="dxa"/>
            <w:vAlign w:val="bottom"/>
            <w:shd w:val="clear" w:color="auto" w:fill="CCEEFF"/>
          </w:tcPr>
          <w:p>
            <w:pPr>
              <w:spacing w:after="0"/>
              <w:rPr>
                <w:sz w:val="20"/>
                <w:szCs w:val="20"/>
                <w:color w:val="auto"/>
              </w:rPr>
            </w:pPr>
            <w:r>
              <w:rPr>
                <w:rFonts w:ascii="Arial" w:cs="Arial" w:eastAsia="Arial" w:hAnsi="Arial"/>
                <w:sz w:val="14"/>
                <w:szCs w:val="14"/>
                <w:color w:val="auto"/>
              </w:rPr>
              <w:t>Net payments to related parties</w:t>
            </w:r>
          </w:p>
        </w:tc>
        <w:tc>
          <w:tcPr>
            <w:tcW w:w="1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(32,453)</w:t>
            </w:r>
          </w:p>
        </w:tc>
        <w:tc>
          <w:tcPr>
            <w:tcW w:w="1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(15,960)</w:t>
            </w:r>
          </w:p>
        </w:tc>
        <w:tc>
          <w:tcPr>
            <w:tcW w:w="16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48,413</w:t>
            </w:r>
          </w:p>
        </w:tc>
        <w:tc>
          <w:tcPr>
            <w:tcW w:w="1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8"/>
        </w:trPr>
        <w:tc>
          <w:tcPr>
            <w:tcW w:w="2700" w:type="dxa"/>
            <w:vAlign w:val="bottom"/>
          </w:tcPr>
          <w:p>
            <w:pPr>
              <w:spacing w:after="0" w:line="88" w:lineRule="exact"/>
              <w:rPr>
                <w:sz w:val="20"/>
                <w:szCs w:val="20"/>
                <w:color w:val="auto"/>
              </w:rPr>
            </w:pPr>
            <w:r>
              <w:rPr>
                <w:rFonts w:ascii="Arial" w:cs="Arial" w:eastAsia="Arial" w:hAnsi="Arial"/>
                <w:sz w:val="10"/>
                <w:szCs w:val="10"/>
                <w:color w:val="auto"/>
              </w:rPr>
              <w:t>Net cash (used in) provided by financing</w:t>
            </w:r>
          </w:p>
        </w:tc>
        <w:tc>
          <w:tcPr>
            <w:tcW w:w="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(36,291)</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(32,521)</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(15,960)</w:t>
            </w: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48,413</w:t>
            </w: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(36,359)</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activities</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700" w:type="dxa"/>
            <w:vAlign w:val="bottom"/>
            <w:shd w:val="clear" w:color="auto" w:fill="CCEEFF"/>
          </w:tcPr>
          <w:p>
            <w:pPr>
              <w:spacing w:after="0" w:line="88" w:lineRule="exact"/>
              <w:rPr>
                <w:sz w:val="20"/>
                <w:szCs w:val="20"/>
                <w:color w:val="auto"/>
              </w:rPr>
            </w:pPr>
            <w:r>
              <w:rPr>
                <w:rFonts w:ascii="Arial" w:cs="Arial" w:eastAsia="Arial" w:hAnsi="Arial"/>
                <w:sz w:val="10"/>
                <w:szCs w:val="10"/>
                <w:color w:val="auto"/>
              </w:rPr>
              <w:t>INCREASE (DECREASE) IN CASH AND</w:t>
            </w:r>
          </w:p>
        </w:tc>
        <w:tc>
          <w:tcPr>
            <w:tcW w:w="14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(24,343)</w:t>
            </w:r>
          </w:p>
        </w:tc>
        <w:tc>
          <w:tcPr>
            <w:tcW w:w="1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(10,252)</w:t>
            </w: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240" w:type="dxa"/>
            <w:vAlign w:val="bottom"/>
            <w:gridSpan w:val="3"/>
            <w:vMerge w:val="restart"/>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(34,179)</w:t>
            </w:r>
          </w:p>
        </w:tc>
        <w:tc>
          <w:tcPr>
            <w:tcW w:w="0" w:type="dxa"/>
            <w:vAlign w:val="bottom"/>
          </w:tcPr>
          <w:p>
            <w:pPr>
              <w:spacing w:after="0"/>
              <w:rPr>
                <w:sz w:val="1"/>
                <w:szCs w:val="1"/>
                <w:color w:val="auto"/>
              </w:rPr>
            </w:pPr>
          </w:p>
        </w:tc>
      </w:tr>
      <w:tr>
        <w:trPr>
          <w:trHeight w:val="162"/>
        </w:trPr>
        <w:tc>
          <w:tcPr>
            <w:tcW w:w="2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EQUIVALENTS</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gridSpan w:val="3"/>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700" w:type="dxa"/>
            <w:vAlign w:val="bottom"/>
          </w:tcPr>
          <w:p>
            <w:pPr>
              <w:spacing w:after="0" w:line="108" w:lineRule="exact"/>
              <w:rPr>
                <w:sz w:val="20"/>
                <w:szCs w:val="20"/>
                <w:color w:val="auto"/>
              </w:rPr>
            </w:pPr>
            <w:r>
              <w:rPr>
                <w:rFonts w:ascii="Arial" w:cs="Arial" w:eastAsia="Arial" w:hAnsi="Arial"/>
                <w:sz w:val="12"/>
                <w:szCs w:val="12"/>
                <w:color w:val="auto"/>
              </w:rPr>
              <w:t>CASH AND CASH EQUIVALENTS,</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657</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60,102</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17,519</w:t>
            </w: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9"/>
                <w:szCs w:val="9"/>
                <w:color w:val="auto"/>
              </w:rPr>
            </w:pPr>
          </w:p>
        </w:tc>
        <w:tc>
          <w:tcPr>
            <w:tcW w:w="320" w:type="dxa"/>
            <w:vAlign w:val="bottom"/>
            <w:vMerge w:val="restart"/>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78,278</w:t>
            </w:r>
          </w:p>
        </w:tc>
        <w:tc>
          <w:tcPr>
            <w:tcW w:w="0" w:type="dxa"/>
            <w:vAlign w:val="bottom"/>
          </w:tcPr>
          <w:p>
            <w:pPr>
              <w:spacing w:after="0"/>
              <w:rPr>
                <w:sz w:val="1"/>
                <w:szCs w:val="1"/>
                <w:color w:val="auto"/>
              </w:rPr>
            </w:pPr>
          </w:p>
        </w:tc>
      </w:tr>
      <w:tr>
        <w:trPr>
          <w:trHeight w:val="162"/>
        </w:trPr>
        <w:tc>
          <w:tcPr>
            <w:tcW w:w="27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BEGINNING OF YEAR</w:t>
            </w:r>
          </w:p>
        </w:tc>
        <w:tc>
          <w:tcPr>
            <w:tcW w:w="14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700" w:type="dxa"/>
            <w:vAlign w:val="bottom"/>
            <w:shd w:val="clear" w:color="auto" w:fill="CCEEFF"/>
          </w:tcPr>
          <w:p>
            <w:pPr>
              <w:spacing w:after="0" w:line="88" w:lineRule="exact"/>
              <w:rPr>
                <w:sz w:val="20"/>
                <w:szCs w:val="20"/>
                <w:color w:val="auto"/>
              </w:rPr>
            </w:pPr>
            <w:r>
              <w:rPr>
                <w:rFonts w:ascii="Arial" w:cs="Arial" w:eastAsia="Arial" w:hAnsi="Arial"/>
                <w:sz w:val="10"/>
                <w:szCs w:val="10"/>
                <w:color w:val="auto"/>
              </w:rPr>
              <w:t>CASH AND CASH EQUIVALENTS, END</w:t>
            </w:r>
          </w:p>
        </w:tc>
        <w:tc>
          <w:tcPr>
            <w:tcW w:w="4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35,759</w:t>
            </w:r>
          </w:p>
        </w:tc>
        <w:tc>
          <w:tcPr>
            <w:tcW w:w="5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7,267</w:t>
            </w:r>
          </w:p>
        </w:tc>
        <w:tc>
          <w:tcPr>
            <w:tcW w:w="5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40" w:type="dxa"/>
            <w:vAlign w:val="bottom"/>
            <w:gridSpan w:val="3"/>
            <w:vMerge w:val="restart"/>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44,099</w:t>
            </w: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 YEAR</w:t>
            </w:r>
          </w:p>
        </w:tc>
        <w:tc>
          <w:tcPr>
            <w:tcW w:w="48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520" w:type="dxa"/>
            <w:vAlign w:val="bottom"/>
            <w:gridSpan w:val="2"/>
            <w:vMerge w:val="continue"/>
            <w:shd w:val="clear" w:color="auto" w:fill="CCEEFF"/>
          </w:tcPr>
          <w:p>
            <w:pPr>
              <w:spacing w:after="0"/>
              <w:rPr>
                <w:sz w:val="12"/>
                <w:szCs w:val="12"/>
                <w:color w:val="auto"/>
              </w:rPr>
            </w:pPr>
          </w:p>
        </w:tc>
        <w:tc>
          <w:tcPr>
            <w:tcW w:w="780" w:type="dxa"/>
            <w:vAlign w:val="bottom"/>
            <w:vMerge w:val="continue"/>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1240" w:type="dxa"/>
            <w:vAlign w:val="bottom"/>
            <w:gridSpan w:val="3"/>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consolidating condensed statement of cash flows for the three months ended March 31, 2015 is as follows:</w:t>
      </w:r>
    </w:p>
    <w:p>
      <w:pPr>
        <w:sectPr>
          <w:pgSz w:w="11900" w:h="16838" w:orient="portrait"/>
          <w:cols w:equalWidth="0" w:num="1">
            <w:col w:w="9060"/>
          </w:cols>
          <w:pgMar w:left="1420" w:top="111" w:right="141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140" w:right="220" w:hanging="129"/>
        <w:spacing w:after="0" w:line="230" w:lineRule="auto"/>
        <w:rPr>
          <w:sz w:val="20"/>
          <w:szCs w:val="20"/>
          <w:color w:val="auto"/>
        </w:rPr>
      </w:pPr>
      <w:r>
        <w:rPr>
          <w:rFonts w:ascii="Arial" w:cs="Arial" w:eastAsia="Arial" w:hAnsi="Arial"/>
          <w:sz w:val="14"/>
          <w:szCs w:val="14"/>
          <w:color w:val="auto"/>
        </w:rPr>
        <w:t>Net cash provided by (used in) operating activities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Capital expenditures, net of payables</w:t>
      </w:r>
    </w:p>
    <w:p>
      <w:pPr>
        <w:spacing w:after="0" w:line="6" w:lineRule="exact"/>
        <w:rPr>
          <w:sz w:val="20"/>
          <w:szCs w:val="20"/>
          <w:color w:val="auto"/>
        </w:rPr>
      </w:pPr>
    </w:p>
    <w:p>
      <w:pPr>
        <w:ind w:left="140" w:right="560" w:hanging="129"/>
        <w:spacing w:after="0" w:line="201" w:lineRule="auto"/>
        <w:rPr>
          <w:sz w:val="20"/>
          <w:szCs w:val="20"/>
          <w:color w:val="auto"/>
        </w:rPr>
      </w:pPr>
      <w:r>
        <w:rPr>
          <w:rFonts w:ascii="Arial" w:cs="Arial" w:eastAsia="Arial" w:hAnsi="Arial"/>
          <w:sz w:val="14"/>
          <w:szCs w:val="14"/>
          <w:color w:val="auto"/>
        </w:rPr>
        <w:t>Proceeds from sale of property and equipment</w:t>
      </w:r>
    </w:p>
    <w:p>
      <w:pPr>
        <w:ind w:left="140" w:hanging="129"/>
        <w:spacing w:after="0" w:line="227" w:lineRule="auto"/>
        <w:rPr>
          <w:sz w:val="20"/>
          <w:szCs w:val="20"/>
          <w:color w:val="auto"/>
        </w:rPr>
      </w:pPr>
      <w:r>
        <w:rPr>
          <w:rFonts w:ascii="Arial" w:cs="Arial" w:eastAsia="Arial" w:hAnsi="Arial"/>
          <w:sz w:val="13"/>
          <w:szCs w:val="13"/>
          <w:color w:val="auto"/>
        </w:rPr>
        <w:t>Reimbursement of capital expenditures from West Virginia regulatory authorities</w:t>
      </w:r>
    </w:p>
    <w:p>
      <w:pPr>
        <w:spacing w:after="0" w:line="1" w:lineRule="exact"/>
        <w:rPr>
          <w:sz w:val="20"/>
          <w:szCs w:val="20"/>
          <w:color w:val="auto"/>
        </w:rPr>
      </w:pPr>
    </w:p>
    <w:p>
      <w:pPr>
        <w:ind w:right="740"/>
        <w:spacing w:after="0" w:line="271" w:lineRule="auto"/>
        <w:rPr>
          <w:sz w:val="20"/>
          <w:szCs w:val="20"/>
          <w:color w:val="auto"/>
        </w:rPr>
      </w:pPr>
      <w:r>
        <w:rPr>
          <w:rFonts w:ascii="Arial" w:cs="Arial" w:eastAsia="Arial" w:hAnsi="Arial"/>
          <w:sz w:val="13"/>
          <w:szCs w:val="13"/>
          <w:color w:val="auto"/>
        </w:rPr>
        <w:t>Decrease in other assets, net Advances from (to) subsidiaries</w:t>
      </w:r>
    </w:p>
    <w:p>
      <w:pPr>
        <w:ind w:left="140" w:right="240" w:hanging="129"/>
        <w:spacing w:after="0" w:line="221" w:lineRule="auto"/>
        <w:rPr>
          <w:sz w:val="20"/>
          <w:szCs w:val="20"/>
          <w:color w:val="auto"/>
        </w:rPr>
      </w:pPr>
      <w:r>
        <w:rPr>
          <w:rFonts w:ascii="Arial" w:cs="Arial" w:eastAsia="Arial" w:hAnsi="Arial"/>
          <w:sz w:val="14"/>
          <w:szCs w:val="14"/>
          <w:color w:val="auto"/>
        </w:rPr>
        <w:t>Net cash provided by (used in) investing activities</w:t>
      </w:r>
    </w:p>
    <w:p>
      <w:pPr>
        <w:spacing w:after="0" w:line="1" w:lineRule="exact"/>
        <w:rPr>
          <w:sz w:val="20"/>
          <w:szCs w:val="20"/>
          <w:color w:val="auto"/>
        </w:rPr>
      </w:pPr>
    </w:p>
    <w:p>
      <w:pPr>
        <w:ind w:right="780"/>
        <w:spacing w:after="0" w:line="297" w:lineRule="auto"/>
        <w:rPr>
          <w:sz w:val="20"/>
          <w:szCs w:val="20"/>
          <w:color w:val="auto"/>
        </w:rPr>
      </w:pPr>
      <w:r>
        <w:rPr>
          <w:rFonts w:ascii="Arial" w:cs="Arial" w:eastAsia="Arial" w:hAnsi="Arial"/>
          <w:sz w:val="12"/>
          <w:szCs w:val="12"/>
          <w:color w:val="auto"/>
        </w:rPr>
        <w:t>FINANCING ACTIVITIES: Payments on capital leases Net payments to related parties</w:t>
      </w:r>
    </w:p>
    <w:p>
      <w:pPr>
        <w:spacing w:after="0" w:line="1" w:lineRule="exact"/>
        <w:rPr>
          <w:sz w:val="20"/>
          <w:szCs w:val="20"/>
          <w:color w:val="auto"/>
        </w:rPr>
      </w:pPr>
    </w:p>
    <w:p>
      <w:pPr>
        <w:ind w:left="140" w:right="220" w:hanging="129"/>
        <w:spacing w:after="0" w:line="201" w:lineRule="auto"/>
        <w:rPr>
          <w:sz w:val="20"/>
          <w:szCs w:val="20"/>
          <w:color w:val="auto"/>
        </w:rPr>
      </w:pPr>
      <w:r>
        <w:rPr>
          <w:rFonts w:ascii="Arial" w:cs="Arial" w:eastAsia="Arial" w:hAnsi="Arial"/>
          <w:sz w:val="14"/>
          <w:szCs w:val="14"/>
          <w:color w:val="auto"/>
        </w:rPr>
        <w:t>Net cash (used in) provided by financing activities</w:t>
      </w:r>
    </w:p>
    <w:p>
      <w:pPr>
        <w:ind w:left="140" w:right="40" w:hanging="129"/>
        <w:spacing w:after="0" w:line="201" w:lineRule="auto"/>
        <w:rPr>
          <w:sz w:val="20"/>
          <w:szCs w:val="20"/>
          <w:color w:val="auto"/>
        </w:rPr>
      </w:pPr>
      <w:r>
        <w:rPr>
          <w:rFonts w:ascii="Arial" w:cs="Arial" w:eastAsia="Arial" w:hAnsi="Arial"/>
          <w:sz w:val="14"/>
          <w:szCs w:val="14"/>
          <w:color w:val="auto"/>
        </w:rPr>
        <w:t>INCREASE (DECREASE) IN CASH AND CASH EQUIVALENTS</w:t>
      </w:r>
    </w:p>
    <w:p>
      <w:pPr>
        <w:ind w:left="140" w:right="380" w:hanging="129"/>
        <w:spacing w:after="0" w:line="216" w:lineRule="auto"/>
        <w:rPr>
          <w:sz w:val="20"/>
          <w:szCs w:val="20"/>
          <w:color w:val="auto"/>
        </w:rPr>
      </w:pPr>
      <w:r>
        <w:rPr>
          <w:rFonts w:ascii="Arial" w:cs="Arial" w:eastAsia="Arial" w:hAnsi="Arial"/>
          <w:sz w:val="13"/>
          <w:szCs w:val="13"/>
          <w:color w:val="auto"/>
        </w:rPr>
        <w:t>CASH AND CASH EQUIVALENTS, BEGINNING OF YEAR</w:t>
      </w:r>
    </w:p>
    <w:p>
      <w:pPr>
        <w:spacing w:after="0" w:line="1" w:lineRule="exact"/>
        <w:rPr>
          <w:sz w:val="20"/>
          <w:szCs w:val="20"/>
          <w:color w:val="auto"/>
        </w:rPr>
      </w:pPr>
    </w:p>
    <w:p>
      <w:pPr>
        <w:ind w:left="140" w:right="40" w:hanging="129"/>
        <w:spacing w:after="0" w:line="227" w:lineRule="auto"/>
        <w:rPr>
          <w:sz w:val="20"/>
          <w:szCs w:val="20"/>
          <w:color w:val="auto"/>
        </w:rPr>
      </w:pPr>
      <w:r>
        <w:rPr>
          <w:rFonts w:ascii="Arial" w:cs="Arial" w:eastAsia="Arial" w:hAnsi="Arial"/>
          <w:sz w:val="14"/>
          <w:szCs w:val="14"/>
          <w:color w:val="auto"/>
        </w:rPr>
        <w:t>CASH AND CASH EQUIVALENTS, END OF YEAR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1"/>
              </w:rPr>
              <w:t>Eldorado Resorts,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Guarantor</w:t>
            </w:r>
          </w:p>
        </w:tc>
        <w:tc>
          <w:tcPr>
            <w:tcW w:w="240" w:type="dxa"/>
            <w:vAlign w:val="bottom"/>
          </w:tcPr>
          <w:p>
            <w:pPr>
              <w:spacing w:after="0"/>
              <w:rPr>
                <w:sz w:val="13"/>
                <w:szCs w:val="13"/>
                <w:color w:val="auto"/>
              </w:rPr>
            </w:pPr>
          </w:p>
        </w:tc>
        <w:tc>
          <w:tcPr>
            <w:tcW w:w="1060" w:type="dxa"/>
            <w:vAlign w:val="bottom"/>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Consolidating</w:t>
            </w:r>
          </w:p>
        </w:tc>
        <w:tc>
          <w:tcPr>
            <w:tcW w:w="100" w:type="dxa"/>
            <w:vAlign w:val="bottom"/>
          </w:tcPr>
          <w:p>
            <w:pPr>
              <w:spacing w:after="0"/>
              <w:rPr>
                <w:sz w:val="13"/>
                <w:szCs w:val="13"/>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Eldorado</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980" w:type="dxa"/>
            <w:vAlign w:val="bottom"/>
          </w:tcPr>
          <w:p>
            <w:pPr>
              <w:jc w:val="right"/>
              <w:ind w:right="128"/>
              <w:spacing w:after="0" w:line="135" w:lineRule="exact"/>
              <w:rPr>
                <w:sz w:val="20"/>
                <w:szCs w:val="20"/>
                <w:color w:val="auto"/>
              </w:rPr>
            </w:pPr>
            <w:r>
              <w:rPr>
                <w:rFonts w:ascii="Arial" w:cs="Arial" w:eastAsia="Arial" w:hAnsi="Arial"/>
                <w:sz w:val="14"/>
                <w:szCs w:val="14"/>
                <w:b w:val="1"/>
                <w:bCs w:val="1"/>
                <w:color w:val="auto"/>
                <w:w w:val="99"/>
              </w:rPr>
              <w:t>Inc. (Parent</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3"/>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and Eliminating</w:t>
            </w:r>
          </w:p>
        </w:tc>
        <w:tc>
          <w:tcPr>
            <w:tcW w:w="100" w:type="dxa"/>
            <w:vAlign w:val="bottom"/>
          </w:tcPr>
          <w:p>
            <w:pPr>
              <w:spacing w:after="0"/>
              <w:rPr>
                <w:sz w:val="11"/>
                <w:szCs w:val="11"/>
                <w:color w:val="auto"/>
              </w:rPr>
            </w:pPr>
          </w:p>
        </w:tc>
        <w:tc>
          <w:tcPr>
            <w:tcW w:w="9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Resorts, Inc.</w:t>
            </w:r>
          </w:p>
        </w:tc>
        <w:tc>
          <w:tcPr>
            <w:tcW w:w="0" w:type="dxa"/>
            <w:vAlign w:val="bottom"/>
          </w:tcPr>
          <w:p>
            <w:pPr>
              <w:spacing w:after="0"/>
              <w:rPr>
                <w:sz w:val="1"/>
                <w:szCs w:val="1"/>
                <w:color w:val="auto"/>
              </w:rPr>
            </w:pPr>
          </w:p>
        </w:tc>
      </w:tr>
      <w:tr>
        <w:trPr>
          <w:trHeight w:val="162"/>
        </w:trPr>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Obligor)</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6"/>
              </w:rPr>
              <w:t>Subsidiaries</w:t>
            </w:r>
          </w:p>
        </w:tc>
        <w:tc>
          <w:tcPr>
            <w:tcW w:w="240" w:type="dxa"/>
            <w:vAlign w:val="bottom"/>
          </w:tcPr>
          <w:p>
            <w:pPr>
              <w:spacing w:after="0"/>
              <w:rPr>
                <w:sz w:val="14"/>
                <w:szCs w:val="14"/>
                <w:color w:val="auto"/>
              </w:rPr>
            </w:pPr>
          </w:p>
        </w:tc>
        <w:tc>
          <w:tcPr>
            <w:tcW w:w="10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Entries</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1,097</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(9,596)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ind w:left="8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(8,499)</w:t>
            </w:r>
          </w:p>
        </w:tc>
        <w:tc>
          <w:tcPr>
            <w:tcW w:w="0" w:type="dxa"/>
            <w:vAlign w:val="bottom"/>
          </w:tcPr>
          <w:p>
            <w:pPr>
              <w:spacing w:after="0"/>
              <w:rPr>
                <w:sz w:val="1"/>
                <w:szCs w:val="1"/>
                <w:color w:val="auto"/>
              </w:rPr>
            </w:pPr>
          </w:p>
        </w:tc>
      </w:tr>
      <w:tr>
        <w:trPr>
          <w:trHeight w:val="53"/>
        </w:trPr>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60"/>
        </w:trPr>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(7,495)</w:t>
            </w:r>
          </w:p>
        </w:tc>
        <w:tc>
          <w:tcPr>
            <w:tcW w:w="240" w:type="dxa"/>
            <w:vAlign w:val="bottom"/>
          </w:tcPr>
          <w:p>
            <w:pPr>
              <w:spacing w:after="0"/>
              <w:rPr>
                <w:sz w:val="24"/>
                <w:szCs w:val="24"/>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(7,495)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3"/>
                <w:szCs w:val="23"/>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3"/>
        </w:trPr>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w:t>
            </w:r>
          </w:p>
        </w:tc>
        <w:tc>
          <w:tcPr>
            <w:tcW w:w="240" w:type="dxa"/>
            <w:vAlign w:val="bottom"/>
          </w:tcPr>
          <w:p>
            <w:pPr>
              <w:spacing w:after="0"/>
              <w:rPr>
                <w:sz w:val="15"/>
                <w:szCs w:val="15"/>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67"/>
        </w:trPr>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(7,189)</w:t>
            </w:r>
          </w:p>
        </w:tc>
        <w:tc>
          <w:tcPr>
            <w:tcW w:w="240" w:type="dxa"/>
            <w:vAlign w:val="bottom"/>
          </w:tcPr>
          <w:p>
            <w:pPr>
              <w:spacing w:after="0"/>
              <w:rPr>
                <w:sz w:val="21"/>
                <w:szCs w:val="21"/>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(7,189)</w:t>
            </w:r>
          </w:p>
        </w:tc>
        <w:tc>
          <w:tcPr>
            <w:tcW w:w="0" w:type="dxa"/>
            <w:vAlign w:val="bottom"/>
          </w:tcPr>
          <w:p>
            <w:pPr>
              <w:spacing w:after="0"/>
              <w:rPr>
                <w:sz w:val="1"/>
                <w:szCs w:val="1"/>
                <w:color w:val="auto"/>
              </w:rPr>
            </w:pPr>
          </w:p>
        </w:tc>
      </w:tr>
      <w:tr>
        <w:trPr>
          <w:trHeight w:val="353"/>
        </w:trPr>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24"/>
                <w:szCs w:val="24"/>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67"/>
        </w:trPr>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240" w:type="dxa"/>
            <w:vAlign w:val="bottom"/>
          </w:tcPr>
          <w:p>
            <w:pPr>
              <w:spacing w:after="0"/>
              <w:rPr>
                <w:sz w:val="14"/>
                <w:szCs w:val="14"/>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(1,494)</w:t>
            </w:r>
          </w:p>
        </w:tc>
        <w:tc>
          <w:tcPr>
            <w:tcW w:w="240" w:type="dxa"/>
            <w:vAlign w:val="bottom"/>
          </w:tcPr>
          <w:p>
            <w:pPr>
              <w:spacing w:after="0"/>
              <w:rPr>
                <w:sz w:val="21"/>
                <w:szCs w:val="21"/>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1,491</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5"/>
        </w:trPr>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2,588</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(18,279)</w:t>
            </w:r>
          </w:p>
        </w:tc>
        <w:tc>
          <w:tcPr>
            <w:tcW w:w="240" w:type="dxa"/>
            <w:vAlign w:val="bottom"/>
          </w:tcPr>
          <w:p>
            <w:pPr>
              <w:spacing w:after="0"/>
              <w:rPr>
                <w:sz w:val="23"/>
                <w:szCs w:val="23"/>
                <w:color w:val="auto"/>
              </w:rPr>
            </w:pP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(15,691)</w:t>
            </w:r>
          </w:p>
        </w:tc>
        <w:tc>
          <w:tcPr>
            <w:tcW w:w="0" w:type="dxa"/>
            <w:vAlign w:val="bottom"/>
          </w:tcPr>
          <w:p>
            <w:pPr>
              <w:spacing w:after="0"/>
              <w:rPr>
                <w:sz w:val="1"/>
                <w:szCs w:val="1"/>
                <w:color w:val="auto"/>
              </w:rPr>
            </w:pPr>
          </w:p>
        </w:tc>
      </w:tr>
      <w:tr>
        <w:trPr>
          <w:trHeight w:val="255"/>
        </w:trPr>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87,604</w:t>
            </w:r>
          </w:p>
        </w:tc>
        <w:tc>
          <w:tcPr>
            <w:tcW w:w="240" w:type="dxa"/>
            <w:vAlign w:val="bottom"/>
          </w:tcPr>
          <w:p>
            <w:pPr>
              <w:spacing w:after="0"/>
              <w:rPr>
                <w:sz w:val="22"/>
                <w:szCs w:val="22"/>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87,604</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2,588</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69,325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ind w:left="8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71,913</w:t>
            </w:r>
          </w:p>
        </w:tc>
        <w:tc>
          <w:tcPr>
            <w:tcW w:w="0" w:type="dxa"/>
            <w:vAlign w:val="bottom"/>
          </w:tcPr>
          <w:p>
            <w:pPr>
              <w:spacing w:after="0"/>
              <w:rPr>
                <w:sz w:val="1"/>
                <w:szCs w:val="1"/>
                <w:color w:val="auto"/>
              </w:rPr>
            </w:pPr>
          </w:p>
        </w:tc>
      </w:tr>
      <w:tr>
        <w:trPr>
          <w:trHeight w:val="27"/>
        </w:trPr>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-1800860</wp:posOffset>
            </wp:positionH>
            <wp:positionV relativeFrom="paragraph">
              <wp:posOffset>-2177415</wp:posOffset>
            </wp:positionV>
            <wp:extent cx="575437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-1885950</wp:posOffset>
            </wp:positionV>
            <wp:extent cx="5754370" cy="111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-1602740</wp:posOffset>
            </wp:positionV>
            <wp:extent cx="575437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-1320165</wp:posOffset>
            </wp:positionV>
            <wp:extent cx="5754370" cy="111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-1036955</wp:posOffset>
            </wp:positionV>
            <wp:extent cx="5754370"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120015"/>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-805180</wp:posOffset>
            </wp:positionV>
            <wp:extent cx="5754370" cy="111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11176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-522605</wp:posOffset>
            </wp:positionV>
            <wp:extent cx="575437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171450"/>
                    </a:xfrm>
                    <a:prstGeom prst="rect">
                      <a:avLst/>
                    </a:prstGeom>
                    <a:noFill/>
                  </pic:spPr>
                </pic:pic>
              </a:graphicData>
            </a:graphic>
          </wp:anchor>
        </w:drawing>
        <w:drawing>
          <wp:anchor simplePos="0" relativeHeight="251657728" behindDoc="1" locked="0" layoutInCell="0" allowOverlap="1">
            <wp:simplePos x="0" y="0"/>
            <wp:positionH relativeFrom="column">
              <wp:posOffset>-1800860</wp:posOffset>
            </wp:positionH>
            <wp:positionV relativeFrom="paragraph">
              <wp:posOffset>-179705</wp:posOffset>
            </wp:positionV>
            <wp:extent cx="575437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260"/>
            <w:col w:w="6220"/>
          </w:cols>
          <w:pgMar w:left="1420" w:top="111" w:right="1419" w:bottom="1440" w:gutter="0" w:footer="0" w:header="0"/>
          <w:type w:val="continuous"/>
        </w:sect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80645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type w:val="continuous"/>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840" w:right="220" w:hanging="842"/>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Eldorado Resorts, Inc. (“ERI” or the “Company”), a Nevada corporation, was formed in September 2013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 owned subsidiary of ERI and, as a result of such transactions, Resorts became an indirect wholly owned subsidiary of ERI.</w:t>
      </w:r>
    </w:p>
    <w:p>
      <w:pPr>
        <w:spacing w:after="0" w:line="165"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8"/>
          <w:szCs w:val="18"/>
          <w:color w:val="auto"/>
        </w:rPr>
        <w:t>Resorts owns and operates the Eldorado Resort Casino Reno, a premier hotel, casino and entertainment facility centrally located in downtown Reno, Nevada (the “Eldorado Reno”), which opened for business in 1973. Resorts also owns Eldorado Resort Casino Shreveport (“Eldorado Shreveport”), a 403</w:t>
      </w:r>
      <w:r>
        <w:rPr>
          <w:rFonts w:ascii="MS PGothic" w:cs="MS PGothic" w:eastAsia="MS PGothic" w:hAnsi="MS PGothic"/>
          <w:sz w:val="18"/>
          <w:szCs w:val="18"/>
          <w:color w:val="auto"/>
        </w:rPr>
        <w:t>‑</w:t>
      </w:r>
      <w:r>
        <w:rPr>
          <w:rFonts w:ascii="Arial" w:cs="Arial" w:eastAsia="Arial" w:hAnsi="Arial"/>
          <w:sz w:val="18"/>
          <w:szCs w:val="18"/>
          <w:color w:val="auto"/>
        </w:rPr>
        <w:t>room all suite art deco</w:t>
      </w:r>
      <w:r>
        <w:rPr>
          <w:rFonts w:ascii="MS PGothic" w:cs="MS PGothic" w:eastAsia="MS PGothic" w:hAnsi="MS PGothic"/>
          <w:sz w:val="18"/>
          <w:szCs w:val="18"/>
          <w:color w:val="auto"/>
        </w:rPr>
        <w:t>‑</w:t>
      </w:r>
      <w:r>
        <w:rPr>
          <w:rFonts w:ascii="Arial" w:cs="Arial" w:eastAsia="Arial" w:hAnsi="Arial"/>
          <w:sz w:val="18"/>
          <w:szCs w:val="18"/>
          <w:color w:val="auto"/>
        </w:rPr>
        <w:t>style hotel and a tri</w:t>
      </w:r>
      <w:r>
        <w:rPr>
          <w:rFonts w:ascii="MS PGothic" w:cs="MS PGothic" w:eastAsia="MS PGothic" w:hAnsi="MS PGothic"/>
          <w:sz w:val="18"/>
          <w:szCs w:val="18"/>
          <w:color w:val="auto"/>
        </w:rPr>
        <w:t>‑</w:t>
      </w:r>
      <w:r>
        <w:rPr>
          <w:rFonts w:ascii="Arial" w:cs="Arial" w:eastAsia="Arial" w:hAnsi="Arial"/>
          <w:sz w:val="18"/>
          <w:szCs w:val="18"/>
          <w:color w:val="auto"/>
        </w:rPr>
        <w:t>level riverboat dockside casino complex situated on the Red River in Shreveport, Louisiana, which commenced operations under its previous owners in December 2000.</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Prior to the Acquisition Date, Resorts owned a 48.1% interest in the joint venture (the “Silver Legacy Joint Venture”) which owns the Silver Legacy Resort Casino (the “Silver Legacy”), a major themed hotel and casino situated between and seamlessly connected at the mezzanine level to the Eldorado Reno and Circus Reno, (collectively the “Reno Tri-Properties”), a hotel and casino previously owned and operated by Galleon, Inc., an indirect, wholly owned subsidiary of MGM Resorts International.</w:t>
      </w:r>
    </w:p>
    <w:p>
      <w:pPr>
        <w:spacing w:after="0" w:line="162"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On November 24, 2015 (the “Acquisition Date”), Resorts consummated the acquisition of all of the assets and properties of Circus Circus Reno (“Circus Reno”) and the 50% membership interest in the joint venture (the “Silver Legacy Joint Venture”) owned by Galleon, Inc. (collectively, the “Circus Reno/Silver Legacy Purchase” or the “Acquisition”) pursuant to a Purchase and Sale Agreement, dated as of July 7, 2015 (the “Purchase Agreement”), entered into by certain of our subsidiaries with Circus Circus Casinos, Inc. and Galleon, Inc., each an affiliate of MGM Resorts International, with respect to the acquisition. On the Acquisition Date, Eldorado Resorts LLC also exercised its right to acquire the 3.8% interest in Eldorado Limited Liability Company (“ELLC”) held by certain affiliates and shareholders of the Company. As a result of these transactions, ELLC and CC-Reno, LLC, a newly formed Nevada limited liability company, became wholly-owned subsidiaries of ERI, and Silver Legacy became an indirect wholly</w:t>
      </w:r>
      <w:r>
        <w:rPr>
          <w:rFonts w:ascii="MS PGothic" w:cs="MS PGothic" w:eastAsia="MS PGothic" w:hAnsi="MS PGothic"/>
          <w:sz w:val="16"/>
          <w:szCs w:val="16"/>
          <w:color w:val="auto"/>
        </w:rPr>
        <w:t>‑</w:t>
      </w:r>
      <w:r>
        <w:rPr>
          <w:rFonts w:ascii="Arial" w:cs="Arial" w:eastAsia="Arial" w:hAnsi="Arial"/>
          <w:sz w:val="16"/>
          <w:szCs w:val="16"/>
          <w:color w:val="auto"/>
        </w:rPr>
        <w:t>owned subsidiary of ERI.</w:t>
      </w:r>
    </w:p>
    <w:p>
      <w:pPr>
        <w:spacing w:after="0" w:line="168"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MTR Gaming operates as a hospitality and gaming company with racetrack, gaming and hotel properties in West Virginia, Pennsylvania and Ohio. MTR Gaming, through its wholly owned subsidiaries, owns and operates Mountaineer Casino, Racetrack &amp; Resort in Chester, West Virginia (“Mountaineer”), Presque Isle Downs &amp; Casino in Erie, Pennsylvania (“Presque Isle Downs”), and Eldorado Gaming Scioto Downs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89"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6"/>
          <w:szCs w:val="16"/>
          <w:color w:val="auto"/>
        </w:rPr>
        <w:t>ERI, HoldCo and MTR Gaming are collectively referred to as “we,” “us,” “our” or the “Company.” The financial information included in this Item 2 for periods prior to the Acquisition Date are those of the Company and its subsidiaries including Eldorado Reno, Eldorado Shreveport, MTR Gaming and its interest in the Silver Legacy Joint Venture.</w:t>
      </w:r>
    </w:p>
    <w:p>
      <w:pPr>
        <w:spacing w:after="0" w:line="147" w:lineRule="exact"/>
        <w:rPr>
          <w:sz w:val="20"/>
          <w:szCs w:val="20"/>
          <w:color w:val="auto"/>
        </w:rPr>
      </w:pPr>
    </w:p>
    <w:p>
      <w:pPr>
        <w:ind w:right="100" w:firstLine="648"/>
        <w:spacing w:after="0" w:line="238" w:lineRule="auto"/>
        <w:rPr>
          <w:sz w:val="20"/>
          <w:szCs w:val="20"/>
          <w:color w:val="auto"/>
        </w:rPr>
      </w:pPr>
      <w:r>
        <w:rPr>
          <w:rFonts w:ascii="Arial" w:cs="Arial" w:eastAsia="Arial" w:hAnsi="Arial"/>
          <w:sz w:val="17"/>
          <w:szCs w:val="17"/>
          <w:color w:val="auto"/>
        </w:rPr>
        <w:t>The presentation of information herein for the period after the Acquisition Date is not fully comparable because the results of operations for Circus Reno are not included for the period prior to the Acquisition Date and the results of operations of the Silver Legacy Joint Venture were not consolidated prior to the Acquisition Date.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Segments</w:t>
      </w:r>
    </w:p>
    <w:p>
      <w:pPr>
        <w:spacing w:after="0" w:line="185"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The Company has aggregated its operating segments into three reportable segments: Eldorado Reno, Silver Legacy and Circus Reno as Nevada, Eldorado Shreveport as Louisiana, and Scioto Downs, Presque Isle Downs and Mountaineer as Eastern.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Financial Results</w:t>
      </w:r>
    </w:p>
    <w:p>
      <w:pPr>
        <w:spacing w:after="0" w:line="189"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The following summary highlights the significant factors impacting our financial results during the three months ended March 31, 2016 and 2015.</w:t>
      </w:r>
    </w:p>
    <w:p>
      <w:pPr>
        <w:spacing w:after="0" w:line="121" w:lineRule="exact"/>
        <w:rPr>
          <w:sz w:val="20"/>
          <w:szCs w:val="20"/>
          <w:color w:val="auto"/>
        </w:rPr>
      </w:pPr>
    </w:p>
    <w:p>
      <w:pPr>
        <w:ind w:left="700" w:hanging="54"/>
        <w:spacing w:after="0" w:line="22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Circus Reno/Silver Legacy Purchase</w:t>
      </w:r>
      <w:r>
        <w:rPr>
          <w:rFonts w:ascii="Arial" w:cs="Arial" w:eastAsia="Arial" w:hAnsi="Arial"/>
          <w:sz w:val="17"/>
          <w:szCs w:val="17"/>
          <w:color w:val="auto"/>
        </w:rPr>
        <w:t xml:space="preserve"> - Pursuant to the Purchase Agreement in November 2015, ERI paid $80.2 million in cash, comprised of the $72.5 million purchase price plus $7.7 million in working capital adjustments and the assumption of the amounts outstanding under Silver Legacy’s senior secured term loan facility. An additional $0.3 million was accrued as of Acquisition Date representing the final working capital adjustment. ERI funded the purchase price for the Acquisition and repaid the borrowings outstanding under the Silver Legacy credit facility using a portion of the proceeds from the sale of its Senior Notes, borrowings under its revolving credit facility and cash on hand. Information presented prior to the Acquisition Date does not reflect the results of operations for Circus Reno, and only includes our interest in the Silver Legacy Joint Venture prior to the Acquisition as an investment in an unconsolidated affiliate. As a result, incremental increases in revenues and expenses attributable to the addition of Circus Reno and Silver Legacy are reflected in our results of operations for the three months ended March 31, 2016.</w:t>
      </w:r>
    </w:p>
    <w:p>
      <w:pPr>
        <w:spacing w:after="0" w:line="126" w:lineRule="exact"/>
        <w:rPr>
          <w:sz w:val="20"/>
          <w:szCs w:val="20"/>
          <w:color w:val="auto"/>
        </w:rPr>
      </w:pPr>
    </w:p>
    <w:p>
      <w:pPr>
        <w:ind w:left="700" w:right="20" w:hanging="54"/>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Execution of Cost Savings Program</w:t>
      </w:r>
      <w:r>
        <w:rPr>
          <w:rFonts w:ascii="Arial" w:cs="Arial" w:eastAsia="Arial" w:hAnsi="Arial"/>
          <w:sz w:val="16"/>
          <w:szCs w:val="16"/>
          <w:color w:val="auto"/>
        </w:rPr>
        <w:t xml:space="preserve"> – We identified several areas to improve property level and consolidated margins through operating and cost efficiencies and exercising financial discipline throughout the Company without impacting the player experience. In addition to cost savings relating to duplicative executive compensation, legal and accounting fees and other corporate expenses that we have eliminated as a result of the Merger, we have achieved savings in marketing, food and beverage costs, selling, general and administrative expenses and other operating departments as a result of operating efficiencies and purchasing power of the combined MTR and Eldorado organization. These cost savings were reflected in our operating results for the three months ended March 31, 2016. Moreover, in addition to generating incremental revenues, we have realized and expect future savings resulting from cost synergies across the Reno Tri-Properties in 2016 as a result of the recent Acquisition.</w:t>
      </w:r>
    </w:p>
    <w:p>
      <w:pPr>
        <w:spacing w:after="0" w:line="127" w:lineRule="exact"/>
        <w:rPr>
          <w:sz w:val="20"/>
          <w:szCs w:val="20"/>
          <w:color w:val="auto"/>
        </w:rPr>
      </w:pPr>
    </w:p>
    <w:p>
      <w:pPr>
        <w:ind w:left="700" w:right="100" w:hanging="54"/>
        <w:spacing w:after="0" w:line="22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Refinancing and Reduction in Interest Expense</w:t>
      </w:r>
      <w:r>
        <w:rPr>
          <w:rFonts w:ascii="Arial" w:cs="Arial" w:eastAsia="Arial" w:hAnsi="Arial"/>
          <w:sz w:val="17"/>
          <w:szCs w:val="17"/>
          <w:color w:val="auto"/>
        </w:rPr>
        <w:t xml:space="preserve"> – In July 2015, we successfully refinanced all of our indebtedness, including the debt we assumed in the Merger in 2014. We issued $375.0 million in Senior Notes and entered into a new $425.0 million term loan and a new $150.0 million revolving credit facility and applied the net proceeds to, among other things, purchase our Resorts senior secured notes and MTR second lien notes. The refinancing reduced our annualized cash interest payments by approximately $35.0 million. See “Liquidity and Capital Resources” for more information related to our 2015 refinancing.</w:t>
      </w:r>
    </w:p>
    <w:p>
      <w:pPr>
        <w:spacing w:after="0" w:line="124" w:lineRule="exact"/>
        <w:rPr>
          <w:sz w:val="20"/>
          <w:szCs w:val="20"/>
          <w:color w:val="auto"/>
        </w:rPr>
      </w:pPr>
    </w:p>
    <w:p>
      <w:pPr>
        <w:ind w:left="700" w:right="20" w:hanging="54"/>
        <w:spacing w:after="0" w:line="22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West Virginia Smoking Ban</w:t>
      </w:r>
      <w:r>
        <w:rPr>
          <w:rFonts w:ascii="Arial" w:cs="Arial" w:eastAsia="Arial" w:hAnsi="Arial"/>
          <w:sz w:val="17"/>
          <w:szCs w:val="17"/>
          <w:color w:val="auto"/>
        </w:rPr>
        <w:t xml:space="preserve"> – On August 26, 2014, the Board of Health of Hancock County, West Virginia adopted and approved the Clean Air Regulation Act of 2014 (“Regulation”), which became effective July 1, 2015. The Regulation bans smoking in public places in Hancock County including Mountaineer. To comply with the Regulation upon its effective date, Mountaineer built a 9,300 square foot smoking pavilion which opened on July 1, 2015 and currently houses 305 slot machines and four table games. Notwithstanding our efforts to mitigate the impact of the smoking ban, the Regulation has had a negative impact on our business and results of operations at Mountaineer. We expect that it will continue to negatively impact our business and results of operations during the first half of 2016 and that such impact may be material.</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700" w:right="20" w:hanging="54"/>
        <w:spacing w:after="0" w:line="22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Property Enhancement Capital Expenditures</w:t>
      </w:r>
      <w:r>
        <w:rPr>
          <w:rFonts w:ascii="Arial" w:cs="Arial" w:eastAsia="Arial" w:hAnsi="Arial"/>
          <w:sz w:val="17"/>
          <w:szCs w:val="17"/>
          <w:color w:val="auto"/>
        </w:rPr>
        <w:t xml:space="preserve"> - We began to realize the benefits of our property enhancement initiatives that targeted product and service offering upgrades across our entire portfolio during the fourth quarter of 2015 as all of them were completed by year-end and helped drive increased volume to our properties. Most notably, the opening of </w:t>
      </w:r>
      <w:r>
        <w:rPr>
          <w:rFonts w:ascii="Arial" w:cs="Arial" w:eastAsia="Arial" w:hAnsi="Arial"/>
          <w:sz w:val="17"/>
          <w:szCs w:val="17"/>
          <w:i w:val="1"/>
          <w:iCs w:val="1"/>
          <w:color w:val="auto"/>
        </w:rPr>
        <w:t>The Brew Brothers</w:t>
      </w:r>
      <w:r>
        <w:rPr>
          <w:rFonts w:ascii="Arial" w:cs="Arial" w:eastAsia="Arial" w:hAnsi="Arial"/>
          <w:sz w:val="17"/>
          <w:szCs w:val="17"/>
          <w:color w:val="auto"/>
        </w:rPr>
        <w:t>, a restaurant and microbrewery at Scioto Downs, provided a meaningful increase in traffic and slot revenues in 2015. Additionally, we completed a $5.0 million five-phase design and facility enhancement program at Presque Isle Downs that added a new casino center bar, an improved high limit gaming area and new slot product. In 2015, over 200 rooms were remodeled at Eldorado Reno and we completely refurbished the exterior of the Eldorado Shreveport.</w:t>
      </w:r>
    </w:p>
    <w:p>
      <w:pPr>
        <w:spacing w:after="0" w:line="127" w:lineRule="exact"/>
        <w:rPr>
          <w:sz w:val="20"/>
          <w:szCs w:val="20"/>
          <w:color w:val="auto"/>
        </w:rPr>
      </w:pPr>
    </w:p>
    <w:p>
      <w:pPr>
        <w:ind w:left="980" w:firstLine="648"/>
        <w:spacing w:after="0" w:line="232" w:lineRule="auto"/>
        <w:rPr>
          <w:sz w:val="20"/>
          <w:szCs w:val="20"/>
          <w:color w:val="auto"/>
        </w:rPr>
      </w:pPr>
      <w:r>
        <w:rPr>
          <w:rFonts w:ascii="Arial" w:cs="Arial" w:eastAsia="Arial" w:hAnsi="Arial"/>
          <w:sz w:val="16"/>
          <w:szCs w:val="16"/>
          <w:color w:val="auto"/>
        </w:rPr>
        <w:t xml:space="preserve">In 2016, we have continued our property enhancement initiatives and plan to open a third </w:t>
      </w:r>
      <w:r>
        <w:rPr>
          <w:rFonts w:ascii="Arial" w:cs="Arial" w:eastAsia="Arial" w:hAnsi="Arial"/>
          <w:sz w:val="16"/>
          <w:szCs w:val="16"/>
          <w:i w:val="1"/>
          <w:iCs w:val="1"/>
          <w:color w:val="auto"/>
        </w:rPr>
        <w:t>The Brew</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Brothers </w:t>
      </w:r>
      <w:r>
        <w:rPr>
          <w:rFonts w:ascii="Arial" w:cs="Arial" w:eastAsia="Arial" w:hAnsi="Arial"/>
          <w:sz w:val="16"/>
          <w:szCs w:val="16"/>
          <w:color w:val="auto"/>
        </w:rPr>
        <w:t>venue with the addition of an escalator to facilitate access to the restaurant at Presque Isle Downs. This</w:t>
      </w:r>
      <w:r>
        <w:rPr>
          <w:rFonts w:ascii="Arial" w:cs="Arial" w:eastAsia="Arial" w:hAnsi="Arial"/>
          <w:sz w:val="16"/>
          <w:szCs w:val="16"/>
          <w:i w:val="1"/>
          <w:iCs w:val="1"/>
          <w:color w:val="auto"/>
        </w:rPr>
        <w:t xml:space="preserve"> </w:t>
      </w:r>
      <w:r>
        <w:rPr>
          <w:rFonts w:ascii="Arial" w:cs="Arial" w:eastAsia="Arial" w:hAnsi="Arial"/>
          <w:sz w:val="16"/>
          <w:szCs w:val="16"/>
          <w:color w:val="auto"/>
        </w:rPr>
        <w:t>new restaurant is expected to open during the second quarter of 2016. Across our Nevada properties, we are reviewing food and beverage offerings and hotel room upgrades, and adding new amenities to enhance our player experience. We also broke ground on a second smoking patio at Scioto Downs which will feature a casino bar and 120 new video lottery terminals (VLTs) and is expected to open late in the second quarter of</w:t>
      </w:r>
    </w:p>
    <w:p>
      <w:pPr>
        <w:spacing w:after="0" w:line="2" w:lineRule="exact"/>
        <w:rPr>
          <w:sz w:val="20"/>
          <w:szCs w:val="20"/>
          <w:color w:val="auto"/>
        </w:rPr>
      </w:pPr>
    </w:p>
    <w:p>
      <w:pPr>
        <w:ind w:left="980" w:right="80"/>
        <w:spacing w:after="0" w:line="218" w:lineRule="auto"/>
        <w:rPr>
          <w:sz w:val="20"/>
          <w:szCs w:val="20"/>
          <w:color w:val="auto"/>
        </w:rPr>
      </w:pPr>
      <w:r>
        <w:rPr>
          <w:rFonts w:ascii="Arial" w:cs="Arial" w:eastAsia="Arial" w:hAnsi="Arial"/>
          <w:sz w:val="18"/>
          <w:szCs w:val="18"/>
          <w:color w:val="auto"/>
        </w:rPr>
        <w:t>2016 while construction continues on the 118-room Hampton Inn Hotel which is expected to open in the fourth quarter of 2016. In Shreveport, we are remodeling the second floor of the casino and adding 180 new slot machines.</w:t>
      </w:r>
    </w:p>
    <w:p>
      <w:pPr>
        <w:spacing w:after="0" w:line="200" w:lineRule="exact"/>
        <w:rPr>
          <w:sz w:val="20"/>
          <w:szCs w:val="20"/>
          <w:color w:val="auto"/>
        </w:rPr>
      </w:pPr>
    </w:p>
    <w:p>
      <w:pPr>
        <w:spacing w:after="0" w:line="354" w:lineRule="exact"/>
        <w:rPr>
          <w:sz w:val="20"/>
          <w:szCs w:val="20"/>
          <w:color w:val="auto"/>
        </w:rPr>
      </w:pPr>
    </w:p>
    <w:p>
      <w:pPr>
        <w:ind w:left="700" w:right="80" w:hanging="53"/>
        <w:spacing w:after="0" w:line="24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New Regulation –</w:t>
      </w:r>
      <w:r>
        <w:rPr>
          <w:rFonts w:ascii="Arial" w:cs="Arial" w:eastAsia="Arial" w:hAnsi="Arial"/>
          <w:sz w:val="16"/>
          <w:szCs w:val="16"/>
          <w:color w:val="auto"/>
        </w:rPr>
        <w:t xml:space="preserve"> Effective January 1, 2016, the Ohio Lottery Commission enacted new regulation which resulted in the establishment of a $1.0 million progressive slot liability and a corresponding decrease in net slot win for the three months ended March 31, 2016. The changes are non-cash and related primarily to prior years. The net non-cash impact to Scioto Down’s operating income was $0.6 million for the three months ended March 31, 2016.</w:t>
      </w:r>
    </w:p>
    <w:p>
      <w:pPr>
        <w:spacing w:after="0" w:line="114" w:lineRule="exact"/>
        <w:rPr>
          <w:sz w:val="20"/>
          <w:szCs w:val="20"/>
          <w:color w:val="auto"/>
        </w:rPr>
      </w:pPr>
    </w:p>
    <w:p>
      <w:pPr>
        <w:ind w:left="700" w:hanging="54"/>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Competition -</w:t>
      </w:r>
      <w:r>
        <w:rPr>
          <w:rFonts w:ascii="Arial" w:cs="Arial" w:eastAsia="Arial" w:hAnsi="Arial"/>
          <w:sz w:val="18"/>
          <w:szCs w:val="18"/>
          <w:color w:val="auto"/>
        </w:rPr>
        <w:t xml:space="preserve"> Our results of operations have been adversely impacted by the expansion of Native American gaming and the expansion of gaming in our regional markets.</w:t>
      </w:r>
    </w:p>
    <w:p>
      <w:pPr>
        <w:spacing w:after="0" w:line="121" w:lineRule="exact"/>
        <w:rPr>
          <w:sz w:val="20"/>
          <w:szCs w:val="20"/>
          <w:color w:val="auto"/>
        </w:rPr>
      </w:pPr>
    </w:p>
    <w:p>
      <w:pPr>
        <w:ind w:left="980" w:right="40" w:firstLine="324"/>
        <w:spacing w:after="0" w:line="181" w:lineRule="exact"/>
        <w:rPr>
          <w:sz w:val="20"/>
          <w:szCs w:val="20"/>
          <w:color w:val="auto"/>
        </w:rPr>
      </w:pPr>
      <w:r>
        <w:rPr>
          <w:rFonts w:ascii="Arial" w:cs="Arial" w:eastAsia="Arial" w:hAnsi="Arial"/>
          <w:sz w:val="16"/>
          <w:szCs w:val="16"/>
          <w:b w:val="1"/>
          <w:bCs w:val="1"/>
          <w:i w:val="1"/>
          <w:iCs w:val="1"/>
          <w:color w:val="auto"/>
        </w:rPr>
        <w:t xml:space="preserve">Nevada. </w:t>
      </w:r>
      <w:r>
        <w:rPr>
          <w:rFonts w:ascii="Arial" w:cs="Arial" w:eastAsia="Arial" w:hAnsi="Arial"/>
          <w:sz w:val="16"/>
          <w:szCs w:val="16"/>
          <w:color w:val="auto"/>
        </w:rPr>
        <w:t>A significant portion of our revenues and operating income are generated from patrons who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residents of northern California, and as such, our operations have been adversely impacted by the growth in Native American gaming in northern California. Many existing Native American gaming facilities in northern California are modest compared to the Reno Tri-Properties. However, a number of Native American tribes have established large</w:t>
      </w:r>
      <w:r>
        <w:rPr>
          <w:rFonts w:ascii="MS PGothic" w:cs="MS PGothic" w:eastAsia="MS PGothic" w:hAnsi="MS PGothic"/>
          <w:sz w:val="16"/>
          <w:szCs w:val="16"/>
          <w:color w:val="auto"/>
        </w:rPr>
        <w:t>‑</w:t>
      </w:r>
      <w:r>
        <w:rPr>
          <w:rFonts w:ascii="Arial" w:cs="Arial" w:eastAsia="Arial" w:hAnsi="Arial"/>
          <w:sz w:val="16"/>
          <w:szCs w:val="16"/>
          <w:color w:val="auto"/>
        </w:rPr>
        <w:t>scale gaming facilities in California and some Native American tribes have announced that they are in the process of expanding, developing, or are considering establishing, large</w:t>
      </w:r>
      <w:r>
        <w:rPr>
          <w:rFonts w:ascii="MS PGothic" w:cs="MS PGothic" w:eastAsia="MS PGothic" w:hAnsi="MS PGothic"/>
          <w:sz w:val="16"/>
          <w:szCs w:val="16"/>
          <w:color w:val="auto"/>
        </w:rPr>
        <w:t>‑</w:t>
      </w:r>
      <w:r>
        <w:rPr>
          <w:rFonts w:ascii="Arial" w:cs="Arial" w:eastAsia="Arial" w:hAnsi="Arial"/>
          <w:sz w:val="16"/>
          <w:szCs w:val="16"/>
          <w:color w:val="auto"/>
        </w:rPr>
        <w:t>scale hotel and gaming facilities in northern California. As northern California Native American gaming operations have expanded, we believe the increasing competition generated by these gaming operations has had a negative impact, principally on drive</w:t>
      </w:r>
      <w:r>
        <w:rPr>
          <w:rFonts w:ascii="MS PGothic" w:cs="MS PGothic" w:eastAsia="MS PGothic" w:hAnsi="MS PGothic"/>
          <w:sz w:val="16"/>
          <w:szCs w:val="16"/>
          <w:color w:val="auto"/>
        </w:rPr>
        <w:t>‑</w:t>
      </w:r>
      <w:r>
        <w:rPr>
          <w:rFonts w:ascii="Arial" w:cs="Arial" w:eastAsia="Arial" w:hAnsi="Arial"/>
          <w:sz w:val="16"/>
          <w:szCs w:val="16"/>
          <w:color w:val="auto"/>
        </w:rPr>
        <w:t>in, day</w:t>
      </w:r>
      <w:r>
        <w:rPr>
          <w:rFonts w:ascii="MS PGothic" w:cs="MS PGothic" w:eastAsia="MS PGothic" w:hAnsi="MS PGothic"/>
          <w:sz w:val="16"/>
          <w:szCs w:val="16"/>
          <w:color w:val="auto"/>
        </w:rPr>
        <w:t>‑</w:t>
      </w:r>
      <w:r>
        <w:rPr>
          <w:rFonts w:ascii="Arial" w:cs="Arial" w:eastAsia="Arial" w:hAnsi="Arial"/>
          <w:sz w:val="16"/>
          <w:szCs w:val="16"/>
          <w:color w:val="auto"/>
        </w:rPr>
        <w:t>trip visitor traffic from our main feeder markets in northern California.</w:t>
      </w:r>
    </w:p>
    <w:p>
      <w:pPr>
        <w:spacing w:after="0" w:line="168" w:lineRule="exact"/>
        <w:rPr>
          <w:sz w:val="20"/>
          <w:szCs w:val="20"/>
          <w:color w:val="auto"/>
        </w:rPr>
      </w:pPr>
    </w:p>
    <w:p>
      <w:pPr>
        <w:ind w:left="980" w:right="20" w:firstLine="324"/>
        <w:spacing w:after="0" w:line="236" w:lineRule="auto"/>
        <w:rPr>
          <w:sz w:val="20"/>
          <w:szCs w:val="20"/>
          <w:color w:val="auto"/>
        </w:rPr>
      </w:pPr>
      <w:r>
        <w:rPr>
          <w:rFonts w:ascii="Arial" w:cs="Arial" w:eastAsia="Arial" w:hAnsi="Arial"/>
          <w:sz w:val="16"/>
          <w:szCs w:val="16"/>
          <w:b w:val="1"/>
          <w:bCs w:val="1"/>
          <w:i w:val="1"/>
          <w:iCs w:val="1"/>
          <w:color w:val="auto"/>
        </w:rPr>
        <w:t xml:space="preserve">Louisiana. </w:t>
      </w:r>
      <w:r>
        <w:rPr>
          <w:rFonts w:ascii="Arial" w:cs="Arial" w:eastAsia="Arial" w:hAnsi="Arial"/>
          <w:sz w:val="16"/>
          <w:szCs w:val="16"/>
          <w:color w:val="auto"/>
        </w:rPr>
        <w:t>Casino gaming is currently prohibited in several jurisdictions from which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Shreveport/Bossier City market draws customers, primarily Texas. Although casino gaming is currently not permitted in Texas, the Texas legislature has from time to time considered proposals to authorize casino gaming and there can be no assurance that casino gaming will not be approved in Texas in the future, which would have a material adverse effect on our business. Eldorado Shreveport competes with several Native American casinos located in Oklahoma, certain of which are located near our core Texas markets. Because we draw a significant amount of our customers from the Dallas/Fort Worth area, but are located approximately 190 miles from that area, we believe we will continue to face increased competition from gaming operations in Oklahoma, including the WinStar and Choctaw casinos, and would face significant competition that may have a material adverse effect on our business and results of operations if casino gaming is approved in Texas.</w:t>
      </w:r>
    </w:p>
    <w:p>
      <w:pPr>
        <w:spacing w:after="0" w:line="163" w:lineRule="exact"/>
        <w:rPr>
          <w:sz w:val="20"/>
          <w:szCs w:val="20"/>
          <w:color w:val="auto"/>
        </w:rPr>
      </w:pPr>
    </w:p>
    <w:p>
      <w:pPr>
        <w:ind w:left="980" w:right="160" w:firstLine="324"/>
        <w:spacing w:after="0" w:line="229" w:lineRule="auto"/>
        <w:rPr>
          <w:sz w:val="20"/>
          <w:szCs w:val="20"/>
          <w:color w:val="auto"/>
        </w:rPr>
      </w:pPr>
      <w:r>
        <w:rPr>
          <w:rFonts w:ascii="Arial" w:cs="Arial" w:eastAsia="Arial" w:hAnsi="Arial"/>
          <w:sz w:val="17"/>
          <w:szCs w:val="17"/>
          <w:b w:val="1"/>
          <w:bCs w:val="1"/>
          <w:i w:val="1"/>
          <w:iCs w:val="1"/>
          <w:color w:val="auto"/>
        </w:rPr>
        <w:t xml:space="preserve">Eastern. </w:t>
      </w:r>
      <w:r>
        <w:rPr>
          <w:rFonts w:ascii="Arial" w:cs="Arial" w:eastAsia="Arial" w:hAnsi="Arial"/>
          <w:sz w:val="17"/>
          <w:szCs w:val="17"/>
          <w:color w:val="auto"/>
        </w:rPr>
        <w:t>The MTR Gaming properties experience varying competitive pressures, from casinos in western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Pennsylvania, western New York, northern West Virginia and Ohio. We believe the expansion of gaming in Ohio, as well as the installation of video lottery terminals at existing horse race tracks near Cleveland, and the relocation of a racetrack to Austintown, Ohio, which opened in September 2014, has had and will continue to have a negative impact on our results of operations at all our properties and such</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right="40"/>
        <w:spacing w:after="0" w:line="216" w:lineRule="auto"/>
        <w:rPr>
          <w:sz w:val="20"/>
          <w:szCs w:val="20"/>
          <w:color w:val="auto"/>
        </w:rPr>
      </w:pPr>
      <w:r>
        <w:rPr>
          <w:rFonts w:ascii="Arial" w:cs="Arial" w:eastAsia="Arial" w:hAnsi="Arial"/>
          <w:sz w:val="18"/>
          <w:szCs w:val="18"/>
          <w:color w:val="auto"/>
        </w:rPr>
        <w:t>impact may be material. In order to sustain our market share in the increased competitive environment, we continuously reevaluate our advertising strategies and promotional offers to our guests to ensure our reinvestment levels reflect the appropriate level of offerings to sustain our margins. Additionally, since the Merger, we have invested significant capital funds to upgrade and enhance our products and service offerings at the Eastern properties.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32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9"/>
        </w:trPr>
        <w:tc>
          <w:tcPr>
            <w:tcW w:w="3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gridSpan w:val="3"/>
          </w:tcPr>
          <w:p>
            <w:pPr>
              <w:ind w:left="680"/>
              <w:spacing w:after="0"/>
              <w:rPr>
                <w:sz w:val="20"/>
                <w:szCs w:val="20"/>
                <w:color w:val="auto"/>
              </w:rPr>
            </w:pPr>
            <w:r>
              <w:rPr>
                <w:rFonts w:ascii="Arial" w:cs="Arial" w:eastAsia="Arial" w:hAnsi="Arial"/>
                <w:sz w:val="16"/>
                <w:szCs w:val="16"/>
                <w:b w:val="1"/>
                <w:bCs w:val="1"/>
                <w:color w:val="auto"/>
                <w:w w:val="97"/>
              </w:rPr>
              <w:t>March 31,</w:t>
            </w: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Change %</w:t>
            </w:r>
          </w:p>
        </w:tc>
      </w:tr>
      <w:tr>
        <w:trPr>
          <w:trHeight w:val="156"/>
        </w:trPr>
        <w:tc>
          <w:tcPr>
            <w:tcW w:w="31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ind w:left="300"/>
              <w:spacing w:after="0" w:line="155" w:lineRule="exact"/>
              <w:rPr>
                <w:sz w:val="20"/>
                <w:szCs w:val="20"/>
                <w:color w:val="auto"/>
              </w:rPr>
            </w:pPr>
            <w:r>
              <w:rPr>
                <w:rFonts w:ascii="Arial" w:cs="Arial" w:eastAsia="Arial" w:hAnsi="Arial"/>
                <w:sz w:val="16"/>
                <w:szCs w:val="16"/>
                <w:b w:val="1"/>
                <w:bCs w:val="1"/>
                <w:color w:val="auto"/>
              </w:rPr>
              <w:t>2016</w:t>
            </w:r>
          </w:p>
        </w:tc>
        <w:tc>
          <w:tcPr>
            <w:tcW w:w="24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6"/>
                <w:szCs w:val="16"/>
                <w:b w:val="1"/>
                <w:bCs w:val="1"/>
                <w:color w:val="auto"/>
                <w:w w:val="95"/>
              </w:rPr>
              <w:t>2015</w:t>
            </w:r>
          </w:p>
        </w:tc>
        <w:tc>
          <w:tcPr>
            <w:tcW w:w="240" w:type="dxa"/>
            <w:vAlign w:val="bottom"/>
            <w:tcBorders>
              <w:bottom w:val="single" w:sz="8" w:color="CCEEFF"/>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6"/>
                <w:szCs w:val="16"/>
                <w:b w:val="1"/>
                <w:bCs w:val="1"/>
                <w:color w:val="auto"/>
                <w:w w:val="93"/>
              </w:rPr>
              <w:t>2016 vs 2015</w:t>
            </w:r>
          </w:p>
        </w:tc>
        <w:tc>
          <w:tcPr>
            <w:tcW w:w="240" w:type="dxa"/>
            <w:vAlign w:val="bottom"/>
            <w:tcBorders>
              <w:bottom w:val="single" w:sz="8" w:color="CCEEFF"/>
            </w:tcBorders>
          </w:tcPr>
          <w:p>
            <w:pPr>
              <w:spacing w:after="0"/>
              <w:rPr>
                <w:sz w:val="13"/>
                <w:szCs w:val="13"/>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213,566</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167,451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27.5 %</w:t>
            </w:r>
          </w:p>
        </w:tc>
        <w:tc>
          <w:tcPr>
            <w:tcW w:w="24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Operating income</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18,263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12,084</w:t>
            </w:r>
          </w:p>
        </w:tc>
        <w:tc>
          <w:tcPr>
            <w:tcW w:w="240" w:type="dxa"/>
            <w:vAlign w:val="bottom"/>
          </w:tcPr>
          <w:p>
            <w:pPr>
              <w:spacing w:after="0"/>
              <w:rPr>
                <w:sz w:val="18"/>
                <w:szCs w:val="18"/>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51.1 %</w:t>
            </w:r>
          </w:p>
        </w:tc>
        <w:tc>
          <w:tcPr>
            <w:tcW w:w="24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ERI</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154.7 %</w:t>
            </w:r>
          </w:p>
        </w:tc>
        <w:tc>
          <w:tcPr>
            <w:tcW w:w="24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80" w:firstLine="648"/>
        <w:spacing w:after="0" w:line="226" w:lineRule="auto"/>
        <w:rPr>
          <w:sz w:val="20"/>
          <w:szCs w:val="20"/>
          <w:color w:val="auto"/>
        </w:rPr>
      </w:pPr>
      <w:r>
        <w:rPr>
          <w:rFonts w:ascii="Arial" w:cs="Arial" w:eastAsia="Arial" w:hAnsi="Arial"/>
          <w:sz w:val="17"/>
          <w:szCs w:val="17"/>
          <w:i w:val="1"/>
          <w:iCs w:val="1"/>
          <w:color w:val="auto"/>
        </w:rPr>
        <w:t xml:space="preserve">Operating Results. </w:t>
      </w:r>
      <w:r>
        <w:rPr>
          <w:rFonts w:ascii="Arial" w:cs="Arial" w:eastAsia="Arial" w:hAnsi="Arial"/>
          <w:sz w:val="17"/>
          <w:szCs w:val="17"/>
          <w:color w:val="auto"/>
        </w:rPr>
        <w:t>Net revenues increased 27.5% for the three months ended March 31, 2016 over the same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period primarily due to incremental revenues attributable to the aforementioned Acquisition combined with higher revenues at Scioto Downs and Presque Isle Downs. This increase in net revenues was partially offset by a decrease in net revenues at Mountaineer and, to a lesser extent, a slight decline in net revenues in Louisiana. Operating income increased 51.1% in the 2016 period compared to the same period in 2015 due to higher revenues combined with improved operating margins associated with company-wide cost savings initiatives.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income increased 154.7% for the three months ended March 31, 2016 compared to the same prior year period as</w:t>
      </w:r>
    </w:p>
    <w:p>
      <w:pPr>
        <w:spacing w:after="0"/>
        <w:rPr>
          <w:sz w:val="20"/>
          <w:szCs w:val="20"/>
          <w:color w:val="auto"/>
        </w:rPr>
      </w:pPr>
      <w:r>
        <w:rPr>
          <w:rFonts w:ascii="Arial" w:cs="Arial" w:eastAsia="Arial" w:hAnsi="Arial"/>
          <w:sz w:val="16"/>
          <w:szCs w:val="16"/>
          <w:color w:val="auto"/>
        </w:rPr>
        <w:t>a result of the same factors impacting operating income. Net income in the 2016 period was also positively impacted by a</w:t>
      </w:r>
    </w:p>
    <w:p>
      <w:pPr>
        <w:spacing w:after="0" w:line="215" w:lineRule="auto"/>
        <w:rPr>
          <w:sz w:val="20"/>
          <w:szCs w:val="20"/>
          <w:color w:val="auto"/>
        </w:rPr>
      </w:pPr>
      <w:r>
        <w:rPr>
          <w:rFonts w:ascii="Arial" w:cs="Arial" w:eastAsia="Arial" w:hAnsi="Arial"/>
          <w:sz w:val="17"/>
          <w:szCs w:val="17"/>
          <w:color w:val="auto"/>
        </w:rPr>
        <w:t>$4.3 million decrease in interest expense resulting from our refinancing in July 2015. Additionally, net income decreased</w:t>
      </w:r>
    </w:p>
    <w:p>
      <w:pPr>
        <w:spacing w:after="0" w:line="229" w:lineRule="auto"/>
        <w:rPr>
          <w:sz w:val="20"/>
          <w:szCs w:val="20"/>
          <w:color w:val="auto"/>
        </w:rPr>
      </w:pPr>
      <w:r>
        <w:rPr>
          <w:rFonts w:ascii="Arial" w:cs="Arial" w:eastAsia="Arial" w:hAnsi="Arial"/>
          <w:sz w:val="16"/>
          <w:szCs w:val="16"/>
          <w:color w:val="auto"/>
        </w:rPr>
        <w:t>$0.5 million in the 2016 period due to costs incurred in conjunction with the Acquisition along with incremental depreciation</w:t>
      </w:r>
    </w:p>
    <w:p>
      <w:pPr>
        <w:spacing w:after="0" w:line="229" w:lineRule="auto"/>
        <w:rPr>
          <w:sz w:val="20"/>
          <w:szCs w:val="20"/>
          <w:color w:val="auto"/>
        </w:rPr>
      </w:pPr>
      <w:r>
        <w:rPr>
          <w:rFonts w:ascii="Arial" w:cs="Arial" w:eastAsia="Arial" w:hAnsi="Arial"/>
          <w:sz w:val="16"/>
          <w:szCs w:val="16"/>
          <w:color w:val="auto"/>
        </w:rPr>
        <w:t>associated with the acquired assets. This decline was offset by a $0.5 million equity in net loss of unconsolidated affiliate in</w:t>
      </w:r>
    </w:p>
    <w:p>
      <w:pPr>
        <w:spacing w:after="0"/>
        <w:rPr>
          <w:sz w:val="20"/>
          <w:szCs w:val="20"/>
          <w:color w:val="auto"/>
        </w:rPr>
      </w:pPr>
      <w:r>
        <w:rPr>
          <w:rFonts w:ascii="Arial" w:cs="Arial" w:eastAsia="Arial" w:hAnsi="Arial"/>
          <w:sz w:val="18"/>
          <w:szCs w:val="18"/>
          <w:color w:val="auto"/>
        </w:rPr>
        <w:t>the 2015 period attributable to our 50% interest in the Silver Legacy Joint Venture.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Net Revenues and Operating Income (Loss)</w:t>
      </w:r>
    </w:p>
    <w:p>
      <w:pPr>
        <w:spacing w:after="0" w:line="189"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The following table highlights our net revenues and operating income (loss) by reportable segment (dollars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Net Revenues for the Quarter Ended March</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5"/>
          </w:tcPr>
          <w:p>
            <w:pPr>
              <w:ind w:left="60"/>
              <w:spacing w:after="0"/>
              <w:rPr>
                <w:sz w:val="20"/>
                <w:szCs w:val="20"/>
                <w:color w:val="auto"/>
              </w:rPr>
            </w:pPr>
            <w:r>
              <w:rPr>
                <w:rFonts w:ascii="Arial" w:cs="Arial" w:eastAsia="Arial" w:hAnsi="Arial"/>
                <w:sz w:val="16"/>
                <w:szCs w:val="16"/>
                <w:b w:val="1"/>
                <w:bCs w:val="1"/>
                <w:color w:val="auto"/>
              </w:rPr>
              <w:t>Operating Income (Loss) for the Quarter</w:t>
            </w:r>
          </w:p>
        </w:tc>
      </w:tr>
      <w:tr>
        <w:trPr>
          <w:trHeight w:val="189"/>
        </w:trPr>
        <w:tc>
          <w:tcPr>
            <w:tcW w:w="1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31,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Ended March 31,</w:t>
            </w:r>
          </w:p>
        </w:tc>
        <w:tc>
          <w:tcPr>
            <w:tcW w:w="9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69"/>
        </w:trPr>
        <w:tc>
          <w:tcPr>
            <w:tcW w:w="14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1"/>
              <w:spacing w:after="0" w:line="169" w:lineRule="exact"/>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1"/>
              <w:spacing w:after="0" w:line="169" w:lineRule="exact"/>
              <w:rPr>
                <w:sz w:val="20"/>
                <w:szCs w:val="20"/>
                <w:color w:val="auto"/>
              </w:rPr>
            </w:pPr>
            <w:r>
              <w:rPr>
                <w:rFonts w:ascii="Arial" w:cs="Arial" w:eastAsia="Arial" w:hAnsi="Arial"/>
                <w:sz w:val="16"/>
                <w:szCs w:val="16"/>
                <w:b w:val="1"/>
                <w:bCs w:val="1"/>
                <w:color w:val="auto"/>
              </w:rPr>
              <w:t>2015</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13"/>
              <w:spacing w:after="0" w:line="169" w:lineRule="exact"/>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91"/>
              <w:spacing w:after="0" w:line="169" w:lineRule="exact"/>
              <w:rPr>
                <w:sz w:val="20"/>
                <w:szCs w:val="20"/>
                <w:color w:val="auto"/>
              </w:rPr>
            </w:pPr>
            <w:r>
              <w:rPr>
                <w:rFonts w:ascii="Arial" w:cs="Arial" w:eastAsia="Arial" w:hAnsi="Arial"/>
                <w:sz w:val="16"/>
                <w:szCs w:val="16"/>
                <w:b w:val="1"/>
                <w:bCs w:val="1"/>
                <w:color w:val="auto"/>
              </w:rPr>
              <w:t>2015</w:t>
            </w:r>
          </w:p>
        </w:tc>
        <w:tc>
          <w:tcPr>
            <w:tcW w:w="240" w:type="dxa"/>
            <w:vAlign w:val="bottom"/>
            <w:tcBorders>
              <w:bottom w:val="single" w:sz="8" w:color="CCEEFF"/>
            </w:tcBorders>
          </w:tcPr>
          <w:p>
            <w:pPr>
              <w:spacing w:after="0"/>
              <w:rPr>
                <w:sz w:val="14"/>
                <w:szCs w:val="14"/>
                <w:color w:val="auto"/>
              </w:rPr>
            </w:pPr>
          </w:p>
        </w:tc>
      </w:tr>
      <w:tr>
        <w:trPr>
          <w:trHeight w:val="210"/>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Nevada</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72,771</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Louisiana</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34,442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6,502</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5,199</w:t>
            </w:r>
          </w:p>
        </w:tc>
        <w:tc>
          <w:tcPr>
            <w:tcW w:w="240" w:type="dxa"/>
            <w:vAlign w:val="bottom"/>
          </w:tcPr>
          <w:p>
            <w:pPr>
              <w:spacing w:after="0"/>
              <w:rPr>
                <w:sz w:val="18"/>
                <w:szCs w:val="18"/>
                <w:color w:val="auto"/>
              </w:rPr>
            </w:pPr>
          </w:p>
        </w:tc>
      </w:tr>
      <w:tr>
        <w:trPr>
          <w:trHeight w:val="216"/>
        </w:trPr>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Eastern</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11,241</w:t>
            </w:r>
          </w:p>
        </w:tc>
        <w:tc>
          <w:tcPr>
            <w:tcW w:w="240" w:type="dxa"/>
            <w:vAlign w:val="bottom"/>
            <w:shd w:val="clear" w:color="auto" w:fill="CCEEFF"/>
          </w:tcPr>
          <w:p>
            <w:pPr>
              <w:spacing w:after="0"/>
              <w:rPr>
                <w:sz w:val="18"/>
                <w:szCs w:val="18"/>
                <w:color w:val="auto"/>
              </w:rPr>
            </w:pPr>
          </w:p>
        </w:tc>
      </w:tr>
      <w:tr>
        <w:trPr>
          <w:trHeight w:val="216"/>
        </w:trPr>
        <w:tc>
          <w:tcPr>
            <w:tcW w:w="1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Corporate</w:t>
            </w:r>
          </w:p>
        </w:tc>
        <w:tc>
          <w:tcPr>
            <w:tcW w:w="7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(7,535)</w:t>
            </w:r>
          </w:p>
        </w:tc>
        <w:tc>
          <w:tcPr>
            <w:tcW w:w="2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(4,337)</w:t>
            </w:r>
          </w:p>
        </w:tc>
        <w:tc>
          <w:tcPr>
            <w:tcW w:w="240" w:type="dxa"/>
            <w:vAlign w:val="bottom"/>
            <w:tcBorders>
              <w:bottom w:val="single" w:sz="8" w:color="CCEEFF"/>
            </w:tcBorders>
          </w:tcPr>
          <w:p>
            <w:pPr>
              <w:spacing w:after="0"/>
              <w:rPr>
                <w:sz w:val="18"/>
                <w:szCs w:val="18"/>
                <w:color w:val="auto"/>
              </w:rPr>
            </w:pPr>
          </w:p>
        </w:tc>
      </w:tr>
      <w:tr>
        <w:trPr>
          <w:trHeight w:val="217"/>
        </w:trPr>
        <w:tc>
          <w:tcPr>
            <w:tcW w:w="1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040" w:type="dxa"/>
            <w:vAlign w:val="bottom"/>
            <w:gridSpan w:val="2"/>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213,566</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167,451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18,263</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240" w:type="dxa"/>
            <w:vAlign w:val="bottom"/>
            <w:shd w:val="clear" w:color="auto" w:fill="CCEEFF"/>
          </w:tcPr>
          <w:p>
            <w:pPr>
              <w:spacing w:after="0"/>
              <w:rPr>
                <w:sz w:val="18"/>
                <w:szCs w:val="18"/>
                <w:color w:val="auto"/>
              </w:rPr>
            </w:pPr>
          </w:p>
        </w:tc>
      </w:tr>
      <w:tr>
        <w:trPr>
          <w:trHeight w:val="810"/>
        </w:trPr>
        <w:tc>
          <w:tcPr>
            <w:tcW w:w="144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631"/>
              <w:spacing w:after="0"/>
              <w:rPr>
                <w:sz w:val="20"/>
                <w:szCs w:val="20"/>
                <w:color w:val="auto"/>
              </w:rPr>
            </w:pPr>
            <w:r>
              <w:rPr>
                <w:rFonts w:ascii="Arial" w:cs="Arial" w:eastAsia="Arial" w:hAnsi="Arial"/>
                <w:sz w:val="18"/>
                <w:szCs w:val="18"/>
                <w:color w:val="auto"/>
              </w:rPr>
              <w:t>28</w:t>
            </w: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102"/>
        </w:trPr>
        <w:tc>
          <w:tcPr>
            <w:tcW w:w="14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2016 Compared to the Three Months Ended March 31, 2015</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revenues and operating expenses were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gridSpan w:val="5"/>
          </w:tcPr>
          <w:p>
            <w:pPr>
              <w:jc w:val="right"/>
              <w:ind w:right="131"/>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Variance</w:t>
            </w:r>
          </w:p>
        </w:tc>
        <w:tc>
          <w:tcPr>
            <w:tcW w:w="72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29"/>
        </w:trPr>
        <w:tc>
          <w:tcPr>
            <w:tcW w:w="366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72"/>
              <w:spacing w:after="0" w:line="129"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ind w:right="151"/>
              <w:spacing w:after="0" w:line="129"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Nevada</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38,902</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14,429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24,473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169.6 %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Eastern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99,213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102,514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(3,301)</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4"/>
              </w:rPr>
              <w:t>Total Gaming and Pari-Mutuel Commissions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169,762</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148,867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20,895</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366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30,973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239.2 %</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64,789</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33,942</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30,847</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Gross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234,551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182,809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51,742</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Promotional allowances: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(10,051)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177.4 %</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(6,598)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Promotional Allowances</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(20,985)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(15,358)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5,627</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Net Revenues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213,566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167,451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46,115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b w:val="1"/>
                <w:bCs w:val="1"/>
                <w:color w:val="auto"/>
              </w:rPr>
              <w:t>Expenses: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Gaming and Pari-Mutuel Commissions:</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Nevada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12,332</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187.2 %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Louisiana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Eastern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61,539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(2,390)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36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4"/>
              </w:rPr>
              <w:t>Total Gaming and Pari-Mutuel Commissions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97,586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3660" w:type="dxa"/>
            <w:vAlign w:val="bottom"/>
          </w:tcPr>
          <w:p>
            <w:pPr>
              <w:spacing w:after="0" w:line="170" w:lineRule="exact"/>
              <w:rPr>
                <w:sz w:val="20"/>
                <w:szCs w:val="20"/>
                <w:color w:val="auto"/>
              </w:rPr>
            </w:pPr>
            <w:r>
              <w:rPr>
                <w:rFonts w:ascii="Arial" w:cs="Arial" w:eastAsia="Arial" w:hAnsi="Arial"/>
                <w:sz w:val="18"/>
                <w:szCs w:val="18"/>
                <w:color w:val="auto"/>
              </w:rPr>
              <w:t>Non-gaming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Nevada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16,055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196.1 %</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Arial" w:cs="Arial" w:eastAsia="Arial" w:hAnsi="Arial"/>
                <w:sz w:val="18"/>
                <w:szCs w:val="18"/>
                <w:color w:val="auto"/>
              </w:rPr>
              <w:t>Louisiana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Eastern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Non-gaming</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16,978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15,953</w:t>
            </w:r>
          </w:p>
        </w:tc>
        <w:tc>
          <w:tcPr>
            <w:tcW w:w="1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Marketing and promotions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2,473</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34.5 %</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Corporate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2,744</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66.0 %</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0"/>
        </w:trPr>
        <w:tc>
          <w:tcPr>
            <w:tcW w:w="36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194,854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154,766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40,088</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25.9</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79" w:firstLine="648"/>
        <w:spacing w:after="0" w:line="235" w:lineRule="auto"/>
        <w:rPr>
          <w:sz w:val="20"/>
          <w:szCs w:val="20"/>
          <w:color w:val="auto"/>
        </w:rPr>
      </w:pPr>
      <w:r>
        <w:rPr>
          <w:rFonts w:ascii="Arial" w:cs="Arial" w:eastAsia="Arial" w:hAnsi="Arial"/>
          <w:sz w:val="16"/>
          <w:szCs w:val="16"/>
          <w:i w:val="1"/>
          <w:iCs w:val="1"/>
          <w:color w:val="auto"/>
        </w:rPr>
        <w:t xml:space="preserve">Gaming Revenues and Pari-Mutuel Commissions. </w:t>
      </w:r>
      <w:r>
        <w:rPr>
          <w:rFonts w:ascii="Arial" w:cs="Arial" w:eastAsia="Arial" w:hAnsi="Arial"/>
          <w:sz w:val="16"/>
          <w:szCs w:val="16"/>
          <w:color w:val="auto"/>
        </w:rPr>
        <w:t>Nevada gaming revenues increased $24.5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2016 compared to the same 2015 period due to incremental gaming revenues attributable to Circus Reno and Silver Legacy. Gaming revenues in Louisiana decreased $0.3 million for the three months ended March 31, 2016 compared to the same 2015 period due to a modest decline in slot revenues. The Eastern segment recorded $99.2 million of gaming revenues and pari-mutuel commissions in first quarter of 2016 resulting in a 3.2% decrease compared to the same period in 2015. This decrease was mainly due to declines in gaming revenues at Mountaineer associated with the aforementioned smoking ban that has had a negative impact on the property’s operations along with a decline in pari-mutuel commissions attributable to no live racing during the current quarter. These decreases were partially offset by improvements in gaming revenues at both Scioto Downs, despite the $1.0 million impact of the progressive liability change, and Presque Isle Downs. As a result, total gaming revenues and pari-mutuel commissions increased 14.0% for the three months ended March 31, 2016 compared to the same 2015 period.</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i w:val="1"/>
          <w:iCs w:val="1"/>
          <w:color w:val="auto"/>
        </w:rPr>
        <w:t xml:space="preserve">Non-gaming Revenues. </w:t>
      </w:r>
      <w:r>
        <w:rPr>
          <w:rFonts w:ascii="Arial" w:cs="Arial" w:eastAsia="Arial" w:hAnsi="Arial"/>
          <w:sz w:val="16"/>
          <w:szCs w:val="16"/>
          <w:color w:val="auto"/>
        </w:rPr>
        <w:t>Non-gaming revenues increased $30.8 million in first quarter of 2016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period in 2015 and was driven by incremental non-gaming revenues consisting of food, beverage, hotel, entertainment, retail and other primarily as a result of the Acquisition combined with an increase in non-gaming revenues at Eldorado Reno in the Nevada segment. The Louisiana segment reported a 2.8% decrease in non-gaming revenues in first quarter of 2016 compared to the same period in 2015. The Eastern segment posted a 1.3% increase primarily due to incremental non-gaming revenues at Scioto Downs attributable to the opening of </w:t>
      </w:r>
      <w:r>
        <w:rPr>
          <w:rFonts w:ascii="Arial" w:cs="Arial" w:eastAsia="Arial" w:hAnsi="Arial"/>
          <w:sz w:val="16"/>
          <w:szCs w:val="16"/>
          <w:i w:val="1"/>
          <w:iCs w:val="1"/>
          <w:color w:val="auto"/>
        </w:rPr>
        <w:t>The Brew Brothers</w:t>
      </w:r>
      <w:r>
        <w:rPr>
          <w:rFonts w:ascii="Arial" w:cs="Arial" w:eastAsia="Arial" w:hAnsi="Arial"/>
          <w:sz w:val="16"/>
          <w:szCs w:val="16"/>
          <w:color w:val="auto"/>
        </w:rPr>
        <w:t xml:space="preserve"> in October 2015. This growth was partially offset by declines at Mountaineer and Presque Isle Downs due to strategic changes in our promotional offers along with additional volume declines at Mountaineer associated with the smoking ban impact.</w:t>
      </w:r>
    </w:p>
    <w:p>
      <w:pPr>
        <w:spacing w:after="0" w:line="113" w:lineRule="exact"/>
        <w:rPr>
          <w:sz w:val="20"/>
          <w:szCs w:val="20"/>
          <w:color w:val="auto"/>
        </w:rPr>
      </w:pPr>
    </w:p>
    <w:p>
      <w:pPr>
        <w:ind w:right="60" w:firstLine="648"/>
        <w:spacing w:after="0" w:line="222" w:lineRule="auto"/>
        <w:rPr>
          <w:sz w:val="20"/>
          <w:szCs w:val="20"/>
          <w:color w:val="auto"/>
        </w:rPr>
      </w:pPr>
      <w:r>
        <w:rPr>
          <w:rFonts w:ascii="Arial" w:cs="Arial" w:eastAsia="Arial" w:hAnsi="Arial"/>
          <w:sz w:val="17"/>
          <w:szCs w:val="17"/>
          <w:i w:val="1"/>
          <w:iCs w:val="1"/>
          <w:color w:val="auto"/>
        </w:rPr>
        <w:t xml:space="preserve">Promotional Allowances. </w:t>
      </w:r>
      <w:r>
        <w:rPr>
          <w:rFonts w:ascii="Arial" w:cs="Arial" w:eastAsia="Arial" w:hAnsi="Arial"/>
          <w:sz w:val="17"/>
          <w:szCs w:val="17"/>
          <w:color w:val="auto"/>
        </w:rPr>
        <w:t>Promotional allowances, expressed as a percentage of gaming revenues and pari-mutuel</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commissions, increased to 12.4% for the three months ended March 31, 2016 compared to 10.3% for the three months ended March 31, 2015. Nevada promotional allowances, as a percentage of gaming revenues, were 25.8% for the three months ended March 31, 2016 compared to 25.1% in the same 2015 period. Louisiana promotional allowances, as a percentage of gaming revenues, decreased to 20.8% for the three months ended March 31, 2016 from 21.8% in the same 2015 period, and Eastern promotional allowances for the three months ended March 31, 2016 declined to 4.4% as a percentage of the segment’s gaming revenues and pari-mutuel commissions compared to 4.7% for the three months ended March 31, 2015. Reductions in promotional allowances, as a percentage of gaming revenues and pari-mutuel commissions in the Louisiana and Eastern segments were due to continued strategic revisions to our casino marketing programs in an effort to increase margins and maximize profitability.</w:t>
      </w:r>
    </w:p>
    <w:p>
      <w:pPr>
        <w:spacing w:after="0" w:line="110"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i w:val="1"/>
          <w:iCs w:val="1"/>
          <w:color w:val="auto"/>
        </w:rPr>
        <w:t>Gaming Expenses and Pari-Mutuel Commissions</w:t>
      </w:r>
      <w:r>
        <w:rPr>
          <w:rFonts w:ascii="Arial" w:cs="Arial" w:eastAsia="Arial" w:hAnsi="Arial"/>
          <w:sz w:val="16"/>
          <w:szCs w:val="16"/>
          <w:color w:val="auto"/>
        </w:rPr>
        <w:t>. Nevada gaming expenses increased $12.3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2016 compared to the same period in 2015 primarily due to incremental gaming expenses generated as a result of the Acquisition along with an increase in gaming expenses at Eldorado Reno. Louisiana gaming expenses decreased 4.8% in the first quarter of 2016 compared to the same period in 2015 despite a slight decline in gaming revenues due to efforts to reduce variable operating costs including payroll expenditures and slot participation fees. The Eastern segment recorded $61.5 million of gaming expenses and pari-mutuel commissions for the three months ended March 31, 2016 compared to $63.9 million in same 2015 period primarily due lower gaming taxes at Mountaineer in conjunction with decreased gaming revenues. Total gaming expenses and pari-mutuel commissions increased 10.2% for the three months ended March 31, 2016 compared to the same period in 2015 mainly due to incremental gaming expenses associated with the Acquisition offset by the aforementioned declines in the Louisiana and Eastern segments.</w:t>
      </w:r>
    </w:p>
    <w:p>
      <w:pPr>
        <w:spacing w:after="0" w:line="109"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i w:val="1"/>
          <w:iCs w:val="1"/>
          <w:color w:val="auto"/>
        </w:rPr>
        <w:t>Non-gaming Expenses</w:t>
      </w:r>
      <w:r>
        <w:rPr>
          <w:rFonts w:ascii="Arial" w:cs="Arial" w:eastAsia="Arial" w:hAnsi="Arial"/>
          <w:sz w:val="17"/>
          <w:szCs w:val="17"/>
          <w:color w:val="auto"/>
        </w:rPr>
        <w:t>. Non-gaming expenses increased $16.0 million for the three months ended March 31, 2016</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same period in 2015. This growth was driven by higher Nevada non-gaming expenses which increased $16.1 million due to incremental expenses resulting from the Acquisition and, to a lesser extent, an increase in food expenses at Eldorado Reno associated with the property’s increase in food revenues. Efforts to control costs resulted in improved food departmental profit margins at Eldorado Reno for the three months ended March 31, 2016 compared to the same period in 2015. Non-gaming expenses in the Louisiana and Eastern segments remained relatively flat for the three months ended March 31, 2016 compared to the same period in 2015.</w:t>
      </w:r>
    </w:p>
    <w:p>
      <w:pPr>
        <w:spacing w:after="0" w:line="108" w:lineRule="exact"/>
        <w:rPr>
          <w:sz w:val="20"/>
          <w:szCs w:val="20"/>
          <w:color w:val="auto"/>
        </w:rPr>
      </w:pPr>
    </w:p>
    <w:p>
      <w:pPr>
        <w:ind w:right="280" w:firstLine="648"/>
        <w:spacing w:after="0" w:line="249" w:lineRule="auto"/>
        <w:rPr>
          <w:sz w:val="20"/>
          <w:szCs w:val="20"/>
          <w:color w:val="auto"/>
        </w:rPr>
      </w:pPr>
      <w:r>
        <w:rPr>
          <w:rFonts w:ascii="Arial" w:cs="Arial" w:eastAsia="Arial" w:hAnsi="Arial"/>
          <w:sz w:val="16"/>
          <w:szCs w:val="16"/>
          <w:i w:val="1"/>
          <w:iCs w:val="1"/>
          <w:color w:val="auto"/>
        </w:rPr>
        <w:t xml:space="preserve">Marketing and Promotions Expenses. </w:t>
      </w:r>
      <w:r>
        <w:rPr>
          <w:rFonts w:ascii="Arial" w:cs="Arial" w:eastAsia="Arial" w:hAnsi="Arial"/>
          <w:sz w:val="16"/>
          <w:szCs w:val="16"/>
          <w:color w:val="auto"/>
        </w:rPr>
        <w:t>Consolidated marketing and promotions expense increased 34.8%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months ended March 31, 2016 compared to the same period in 2015. This increase was primarily attributable to incremental expenses associated with the Acquisition offset by a decline in the Louisiana segment due to efforts to reduce advertising and promotional costs to maximize profitability while the Eastern segment remained relatively flat.</w:t>
      </w:r>
    </w:p>
    <w:p>
      <w:pPr>
        <w:spacing w:after="0" w:line="101"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Total general and administrative expenses increased 34.5%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2016 compared to the same period in 2015 primarily due to incremental expenses resulting from the Acquisition offset by declines in the Louisiana and Eastern segments as they continued to decrease variable expenses via cost savings initiatives.</w:t>
      </w:r>
    </w:p>
    <w:p>
      <w:pPr>
        <w:spacing w:after="0" w:line="109"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i w:val="1"/>
          <w:iCs w:val="1"/>
          <w:color w:val="auto"/>
        </w:rPr>
        <w:t xml:space="preserve">Corporate Expenses. </w:t>
      </w:r>
      <w:r>
        <w:rPr>
          <w:rFonts w:ascii="Arial" w:cs="Arial" w:eastAsia="Arial" w:hAnsi="Arial"/>
          <w:sz w:val="16"/>
          <w:szCs w:val="16"/>
          <w:color w:val="auto"/>
        </w:rPr>
        <w:t>Corporate expenses totaled $6.9 million for the three months ended March 31, 2016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$4.2 million for the same period in 2015. This increase was partially due to higher payroll related expenditures at the corporate level subsequent to the Acquisition in addition to the recent executive team restructuring which reallocated property executive management to corporate in order to more fully utilize their skills across defined regions. This increase was partially offset by declines in general and administrative costs at the property level for the three months ended March 31, 2016 compared to the same period in 2015. Moreover, $1.4 million of severance costs were recorded during the three months ended March 31, 2016 along with $0.5 million of additional stock-based compensation expense as a result of severance related restricted stock units becoming fully vested during the current period.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i w:val="1"/>
          <w:iCs w:val="1"/>
          <w:color w:val="auto"/>
        </w:rPr>
        <w:t xml:space="preserve">Depreciation and Amortization Expense. </w:t>
      </w:r>
      <w:r>
        <w:rPr>
          <w:rFonts w:ascii="Arial" w:cs="Arial" w:eastAsia="Arial" w:hAnsi="Arial"/>
          <w:sz w:val="18"/>
          <w:szCs w:val="18"/>
          <w:color w:val="auto"/>
        </w:rPr>
        <w:t>Total depreciation and amortization expense increased 12.0%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2016 compared to the 2015 period mainly due to additional depreciation expense associated with acquired assets in conjunction with the Acquisition. The Nevada and Eastern segments contributed $5.5 and $8.7 million, respectively, of depreciation and amortization expense in the first quarter of 2016 compared to $1.9 million and $10.5 million in the same 2015 period, respectively.</w:t>
      </w:r>
    </w:p>
    <w:p>
      <w:pPr>
        <w:spacing w:after="0" w:line="104" w:lineRule="exact"/>
        <w:rPr>
          <w:sz w:val="20"/>
          <w:szCs w:val="20"/>
          <w:color w:val="auto"/>
        </w:rPr>
      </w:pPr>
    </w:p>
    <w:p>
      <w:pPr>
        <w:ind w:left="320" w:right="640" w:hanging="323"/>
        <w:spacing w:after="0" w:line="294" w:lineRule="auto"/>
        <w:rPr>
          <w:sz w:val="20"/>
          <w:szCs w:val="20"/>
          <w:color w:val="auto"/>
        </w:rPr>
      </w:pPr>
      <w:r>
        <w:rPr>
          <w:rFonts w:ascii="Arial" w:cs="Arial" w:eastAsia="Arial" w:hAnsi="Arial"/>
          <w:sz w:val="16"/>
          <w:szCs w:val="16"/>
          <w:b w:val="1"/>
          <w:bCs w:val="1"/>
          <w:color w:val="auto"/>
        </w:rPr>
        <w:t>Supplemental Unaudited Presentation of Consolidated Earnings before Interest, Taxes, Depreciation and Amortization (“EBITDA”) and Adjusted EBITDA for the Three Months Ended March 31, 2016 and 2015</w:t>
      </w:r>
    </w:p>
    <w:p>
      <w:pPr>
        <w:spacing w:after="0" w:line="12"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operating income (loss) before depreciation and amortization, stock based compensation, (gain) loss on the sale or disposal of property, severance expenses, equity in loss of unconsolidated affiliate, acquisition charges, S-1 expenses and other regulatory gaming assessments, including the impact of the change in regulatory reporting requirements,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12" w:lineRule="exact"/>
        <w:rPr>
          <w:sz w:val="20"/>
          <w:szCs w:val="20"/>
          <w:color w:val="auto"/>
        </w:rPr>
      </w:pPr>
    </w:p>
    <w:p>
      <w:pPr>
        <w:ind w:right="240" w:firstLine="648"/>
        <w:spacing w:after="0" w:line="224" w:lineRule="auto"/>
        <w:rPr>
          <w:sz w:val="20"/>
          <w:szCs w:val="20"/>
          <w:color w:val="auto"/>
        </w:rPr>
      </w:pPr>
      <w:r>
        <w:rPr>
          <w:rFonts w:ascii="Arial" w:cs="Arial" w:eastAsia="Arial" w:hAnsi="Arial"/>
          <w:sz w:val="18"/>
          <w:szCs w:val="18"/>
          <w:color w:val="auto"/>
        </w:rPr>
        <w:t>The following table summarizes our net revenues and Adjusted EBITDA for our operating segments for the three months ended March 31, 2016 and 2015, in addition to reconciling Adjusted EBITDA to net income (loss) in accordance with U.S. GAAP (unaudited, in thousands):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9"/>
          </w:tcPr>
          <w:p>
            <w:pPr>
              <w:jc w:val="right"/>
              <w:ind w:right="608"/>
              <w:spacing w:after="0"/>
              <w:rPr>
                <w:sz w:val="20"/>
                <w:szCs w:val="20"/>
                <w:color w:val="auto"/>
              </w:rPr>
            </w:pPr>
            <w:r>
              <w:rPr>
                <w:rFonts w:ascii="Arial" w:cs="Arial" w:eastAsia="Arial" w:hAnsi="Arial"/>
                <w:sz w:val="14"/>
                <w:szCs w:val="14"/>
                <w:b w:val="1"/>
                <w:bCs w:val="1"/>
                <w:color w:val="auto"/>
                <w:w w:val="98"/>
              </w:rPr>
              <w:t>Quarter Ended March 31, 2016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23"/>
                <w:szCs w:val="23"/>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60" w:type="dxa"/>
            <w:vAlign w:val="bottom"/>
          </w:tcPr>
          <w:p>
            <w:pPr>
              <w:spacing w:after="0"/>
              <w:rPr>
                <w:sz w:val="23"/>
                <w:szCs w:val="2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10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Compensation</w:t>
            </w:r>
            <w:r>
              <w:rPr>
                <w:rFonts w:ascii="Arial" w:cs="Arial" w:eastAsia="Arial" w:hAnsi="Arial"/>
                <w:sz w:val="7"/>
                <w:szCs w:val="7"/>
                <w:b w:val="1"/>
                <w:bCs w:val="1"/>
                <w:color w:val="auto"/>
                <w:w w:val="90"/>
              </w:rPr>
              <w:t>(2)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20"/>
                <w:szCs w:val="20"/>
                <w:color w:val="auto"/>
              </w:rPr>
            </w:pPr>
            <w:r>
              <w:rPr>
                <w:rFonts w:ascii="Arial" w:cs="Arial" w:eastAsia="Arial" w:hAnsi="Arial"/>
                <w:sz w:val="14"/>
                <w:szCs w:val="14"/>
                <w:color w:val="auto"/>
              </w:rPr>
              <w:t>Louisiana</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6,502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1,946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8,447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 xml:space="preserve">Eastern </w:t>
            </w:r>
            <w:r>
              <w:rPr>
                <w:rFonts w:ascii="Arial" w:cs="Arial" w:eastAsia="Arial" w:hAnsi="Arial"/>
                <w:sz w:val="7"/>
                <w:szCs w:val="7"/>
                <w:color w:val="auto"/>
              </w:rPr>
              <w:t>(1)</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13,731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8,684</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22,906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w:t>
            </w: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(7,535)</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(4,007)</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w:t>
            </w: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18,263</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16,204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1,454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518</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1,445</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456</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38,340</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1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9"/>
          </w:tcPr>
          <w:p>
            <w:pPr>
              <w:jc w:val="right"/>
              <w:ind w:right="608"/>
              <w:spacing w:after="0"/>
              <w:rPr>
                <w:sz w:val="20"/>
                <w:szCs w:val="20"/>
                <w:color w:val="auto"/>
              </w:rPr>
            </w:pPr>
            <w:r>
              <w:rPr>
                <w:rFonts w:ascii="Arial" w:cs="Arial" w:eastAsia="Arial" w:hAnsi="Arial"/>
                <w:sz w:val="14"/>
                <w:szCs w:val="14"/>
                <w:b w:val="1"/>
                <w:bCs w:val="1"/>
                <w:color w:val="auto"/>
                <w:w w:val="98"/>
              </w:rPr>
              <w:t>Quarter Ended March 31, 2015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4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Operating</w:t>
            </w:r>
          </w:p>
        </w:tc>
        <w:tc>
          <w:tcPr>
            <w:tcW w:w="120" w:type="dxa"/>
            <w:vAlign w:val="bottom"/>
          </w:tcPr>
          <w:p>
            <w:pPr>
              <w:spacing w:after="0"/>
              <w:rPr>
                <w:sz w:val="23"/>
                <w:szCs w:val="23"/>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Stock-Based</w:t>
            </w:r>
          </w:p>
        </w:tc>
        <w:tc>
          <w:tcPr>
            <w:tcW w:w="60" w:type="dxa"/>
            <w:vAlign w:val="bottom"/>
          </w:tcPr>
          <w:p>
            <w:pPr>
              <w:spacing w:after="0"/>
              <w:rPr>
                <w:sz w:val="23"/>
                <w:szCs w:val="23"/>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Transaction</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88"/>
              </w:rPr>
              <w:t>Severance</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
              <w:spacing w:after="0"/>
              <w:rPr>
                <w:sz w:val="20"/>
                <w:szCs w:val="20"/>
                <w:color w:val="auto"/>
              </w:rPr>
            </w:pPr>
            <w:r>
              <w:rPr>
                <w:rFonts w:ascii="Arial" w:cs="Arial" w:eastAsia="Arial" w:hAnsi="Arial"/>
                <w:sz w:val="14"/>
                <w:szCs w:val="14"/>
                <w:b w:val="1"/>
                <w:bCs w:val="1"/>
                <w:color w:val="auto"/>
                <w:w w:val="90"/>
              </w:rPr>
              <w:t>(Loss)</w:t>
            </w:r>
          </w:p>
        </w:tc>
        <w:tc>
          <w:tcPr>
            <w:tcW w:w="1000" w:type="dxa"/>
            <w:vAlign w:val="bottom"/>
            <w:gridSpan w:val="4"/>
          </w:tcPr>
          <w:p>
            <w:pPr>
              <w:ind w:left="120"/>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Compensation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48"/>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Expense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Nevada</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1,184</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5,668</w:t>
            </w:r>
          </w:p>
        </w:tc>
        <w:tc>
          <w:tcPr>
            <w:tcW w:w="8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Pr>
          <w:p>
            <w:pPr>
              <w:spacing w:after="0"/>
              <w:rPr>
                <w:sz w:val="20"/>
                <w:szCs w:val="20"/>
                <w:color w:val="auto"/>
              </w:rPr>
            </w:pPr>
            <w:r>
              <w:rPr>
                <w:rFonts w:ascii="Arial" w:cs="Arial" w:eastAsia="Arial" w:hAnsi="Arial"/>
                <w:sz w:val="14"/>
                <w:szCs w:val="14"/>
                <w:color w:val="auto"/>
              </w:rPr>
              <w:t>Louisiana</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5,199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7,118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shd w:val="clear" w:color="auto" w:fill="CCEEFF"/>
          </w:tcPr>
          <w:p>
            <w:pPr>
              <w:spacing w:after="0"/>
              <w:rPr>
                <w:sz w:val="20"/>
                <w:szCs w:val="20"/>
                <w:color w:val="auto"/>
              </w:rPr>
            </w:pPr>
            <w:r>
              <w:rPr>
                <w:rFonts w:ascii="Arial" w:cs="Arial" w:eastAsia="Arial" w:hAnsi="Arial"/>
                <w:sz w:val="14"/>
                <w:szCs w:val="14"/>
                <w:color w:val="auto"/>
              </w:rPr>
              <w:t>Eastern</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10,525</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Corporate</w:t>
            </w:r>
          </w:p>
        </w:tc>
        <w:tc>
          <w:tcPr>
            <w:tcW w:w="9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(4,337)</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4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7"/>
                <w:szCs w:val="7"/>
                <w:b w:val="1"/>
                <w:bCs w:val="1"/>
                <w:color w:val="auto"/>
              </w:rPr>
              <w:t>(3)</w:t>
            </w:r>
          </w:p>
        </w:tc>
        <w:tc>
          <w:tcPr>
            <w:tcW w:w="9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13,287</w:t>
            </w: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18,204</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590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w:t>
            </w: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497</w:t>
            </w:r>
          </w:p>
        </w:tc>
        <w:tc>
          <w:tcPr>
            <w:tcW w:w="1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32,673</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520" w:right="60" w:hanging="188"/>
        <w:spacing w:after="0" w:line="249" w:lineRule="auto"/>
        <w:rPr>
          <w:sz w:val="20"/>
          <w:szCs w:val="20"/>
          <w:color w:val="auto"/>
        </w:rPr>
      </w:pPr>
      <w:r>
        <w:rPr>
          <w:rFonts w:ascii="Arial" w:cs="Arial" w:eastAsia="Arial" w:hAnsi="Arial"/>
          <w:sz w:val="15"/>
          <w:szCs w:val="15"/>
          <w:color w:val="auto"/>
        </w:rPr>
        <w:t>(1)Effective January 1, 2016, the Ohio Lottery Commission enacted a regulatory change which resulted in the establishment of a $1.0 million progressive slot liability and a corresponding decrease in net slot win in Q1 2016. The changes are non-cash and related primarily to prior years. The net non-cash impact to Adjusted EBITDA was $0.6 million.</w:t>
      </w:r>
    </w:p>
    <w:p>
      <w:pPr>
        <w:spacing w:after="0" w:line="17" w:lineRule="exact"/>
        <w:rPr>
          <w:sz w:val="20"/>
          <w:szCs w:val="20"/>
          <w:color w:val="auto"/>
        </w:rPr>
      </w:pPr>
    </w:p>
    <w:p>
      <w:pPr>
        <w:ind w:left="520" w:hanging="188"/>
        <w:spacing w:after="0" w:line="291" w:lineRule="auto"/>
        <w:rPr>
          <w:sz w:val="20"/>
          <w:szCs w:val="20"/>
          <w:color w:val="auto"/>
        </w:rPr>
      </w:pPr>
      <w:r>
        <w:rPr>
          <w:rFonts w:ascii="Arial" w:cs="Arial" w:eastAsia="Arial" w:hAnsi="Arial"/>
          <w:sz w:val="14"/>
          <w:szCs w:val="14"/>
          <w:color w:val="auto"/>
        </w:rPr>
        <w:t>(2)Included in stock-based compensation expense for the three months ended March 31, 2016 is $0.5 million of additional stock-based compensation expense as a result of severance related restricted stock units becoming fully vested during the current period.</w:t>
      </w:r>
    </w:p>
    <w:p>
      <w:pPr>
        <w:spacing w:after="0" w:line="1" w:lineRule="exact"/>
        <w:rPr>
          <w:sz w:val="20"/>
          <w:szCs w:val="20"/>
          <w:color w:val="auto"/>
        </w:rPr>
      </w:pPr>
    </w:p>
    <w:p>
      <w:pPr>
        <w:jc w:val="both"/>
        <w:ind w:left="520" w:right="80" w:hanging="188"/>
        <w:spacing w:after="0" w:line="264" w:lineRule="auto"/>
        <w:rPr>
          <w:sz w:val="20"/>
          <w:szCs w:val="20"/>
          <w:color w:val="auto"/>
        </w:rPr>
      </w:pPr>
      <w:r>
        <w:rPr>
          <w:rFonts w:ascii="Arial" w:cs="Arial" w:eastAsia="Arial" w:hAnsi="Arial"/>
          <w:sz w:val="14"/>
          <w:szCs w:val="14"/>
          <w:color w:val="auto"/>
        </w:rPr>
        <w:t>(3)Nevada results of operations for the three months ended March 31, 2015 include the operations of Silver Legacy and Circus Reno, which were acquired by ERI on November 24, 2015, as if the acquisition occurred on January 1, 2015. Such presentation does not conform with GAAP or the Securities and Exchange Commission rules for pro forma presentation; however, we have included the combined information because we believe it provides a meaningful comparison for the periods presented.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479" w:firstLine="648"/>
        <w:spacing w:after="0" w:line="235" w:lineRule="auto"/>
        <w:rPr>
          <w:sz w:val="20"/>
          <w:szCs w:val="20"/>
          <w:color w:val="auto"/>
        </w:rPr>
      </w:pPr>
      <w:r>
        <w:rPr>
          <w:rFonts w:ascii="Arial" w:cs="Arial" w:eastAsia="Arial" w:hAnsi="Arial"/>
          <w:sz w:val="18"/>
          <w:szCs w:val="18"/>
          <w:color w:val="auto"/>
        </w:rPr>
        <w:t>The primary sources of liquidity and capital resources have been existing cash, cash flow from operations and proceeds from the issuance of debt securities.</w:t>
      </w:r>
    </w:p>
    <w:p>
      <w:pPr>
        <w:spacing w:after="0" w:line="162" w:lineRule="exact"/>
        <w:rPr>
          <w:sz w:val="20"/>
          <w:szCs w:val="20"/>
          <w:color w:val="auto"/>
        </w:rPr>
      </w:pPr>
    </w:p>
    <w:p>
      <w:pPr>
        <w:ind w:right="99" w:firstLine="648"/>
        <w:spacing w:after="0" w:line="241" w:lineRule="auto"/>
        <w:rPr>
          <w:sz w:val="20"/>
          <w:szCs w:val="20"/>
          <w:color w:val="auto"/>
        </w:rPr>
      </w:pPr>
      <w:r>
        <w:rPr>
          <w:rFonts w:ascii="Arial" w:cs="Arial" w:eastAsia="Arial" w:hAnsi="Arial"/>
          <w:sz w:val="16"/>
          <w:szCs w:val="16"/>
          <w:color w:val="auto"/>
        </w:rPr>
        <w:t>We expect that our primary capital requirements going forward will relate to the operation and maintenance of our properties and servicing our outstanding indebtedness. During the remainder of 2016, we plan to spend $39.4 million, net of reimbursements from West Virginia, on qualified capital expenditures, $27.4 million to pay interest on our outstanding indebtedness and $3.2 million for principal payments on our term loan. We expect that cash generated from operations will be sufficient to fund our operations and capital requirements and service our outstanding indebtedness for the foreseeable future; however, we cannot provide assurance that operating cash flows will be sufficient to do so.</w:t>
      </w:r>
    </w:p>
    <w:p>
      <w:pPr>
        <w:spacing w:after="0" w:line="161" w:lineRule="exact"/>
        <w:rPr>
          <w:sz w:val="20"/>
          <w:szCs w:val="20"/>
          <w:color w:val="auto"/>
        </w:rPr>
      </w:pPr>
    </w:p>
    <w:p>
      <w:pPr>
        <w:jc w:val="both"/>
        <w:ind w:right="159" w:firstLine="648"/>
        <w:spacing w:after="0" w:line="224" w:lineRule="auto"/>
        <w:rPr>
          <w:sz w:val="20"/>
          <w:szCs w:val="20"/>
          <w:color w:val="auto"/>
        </w:rPr>
      </w:pPr>
      <w:r>
        <w:rPr>
          <w:rFonts w:ascii="Arial" w:cs="Arial" w:eastAsia="Arial" w:hAnsi="Arial"/>
          <w:sz w:val="18"/>
          <w:szCs w:val="18"/>
          <w:color w:val="auto"/>
        </w:rPr>
        <w:t>ERI is a holding company and its only significant assets are ownership interests in its subsidiaries. ERI’s ability to fund its obligations depends on the cash flow of its subsidiaries and the ability of its subsidiaries to distribute or otherwise make funds available to ERI.</w:t>
      </w:r>
    </w:p>
    <w:p>
      <w:pPr>
        <w:spacing w:after="0" w:line="163" w:lineRule="exact"/>
        <w:rPr>
          <w:sz w:val="20"/>
          <w:szCs w:val="20"/>
          <w:color w:val="auto"/>
        </w:rPr>
      </w:pPr>
    </w:p>
    <w:p>
      <w:pPr>
        <w:ind w:right="299" w:firstLine="648"/>
        <w:spacing w:after="0" w:line="235" w:lineRule="auto"/>
        <w:rPr>
          <w:sz w:val="20"/>
          <w:szCs w:val="20"/>
          <w:color w:val="auto"/>
        </w:rPr>
      </w:pPr>
      <w:r>
        <w:rPr>
          <w:rFonts w:ascii="Arial" w:cs="Arial" w:eastAsia="Arial" w:hAnsi="Arial"/>
          <w:sz w:val="18"/>
          <w:szCs w:val="18"/>
          <w:color w:val="auto"/>
        </w:rPr>
        <w:t>At March 31, 2016, we had consolidated cash and cash equivalents of $53.2 million, including restricted cash of $9.1 million.</w:t>
      </w:r>
    </w:p>
    <w:p>
      <w:pPr>
        <w:spacing w:after="0" w:line="162" w:lineRule="exact"/>
        <w:rPr>
          <w:sz w:val="20"/>
          <w:szCs w:val="20"/>
          <w:color w:val="auto"/>
        </w:rPr>
      </w:pPr>
    </w:p>
    <w:p>
      <w:pPr>
        <w:ind w:right="39" w:firstLine="648"/>
        <w:spacing w:after="0" w:line="216" w:lineRule="auto"/>
        <w:rPr>
          <w:sz w:val="20"/>
          <w:szCs w:val="20"/>
          <w:color w:val="auto"/>
        </w:rPr>
      </w:pPr>
      <w:r>
        <w:rPr>
          <w:rFonts w:ascii="Arial" w:cs="Arial" w:eastAsia="Arial" w:hAnsi="Arial"/>
          <w:sz w:val="18"/>
          <w:szCs w:val="18"/>
          <w:i w:val="1"/>
          <w:iCs w:val="1"/>
          <w:color w:val="auto"/>
        </w:rPr>
        <w:t xml:space="preserve">Operating Cash Flow. </w:t>
      </w:r>
      <w:r>
        <w:rPr>
          <w:rFonts w:ascii="Arial" w:cs="Arial" w:eastAsia="Arial" w:hAnsi="Arial"/>
          <w:sz w:val="18"/>
          <w:szCs w:val="18"/>
          <w:color w:val="auto"/>
        </w:rPr>
        <w:t>For the three months ended March 31, 2016, cash flows provided by operating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$10.9 million compared to $8.5 million used in operating activities during the same prior year period. The increase in operating cash was primarily due to the increase in net income, including incremental net income associated with the Acquisition, the refinancing of our debt resulting in lower interest expense and changes in the balance sheet accounts in the normal course of business.</w:t>
      </w:r>
    </w:p>
    <w:p>
      <w:pPr>
        <w:spacing w:after="0" w:line="122" w:lineRule="exact"/>
        <w:rPr>
          <w:sz w:val="20"/>
          <w:szCs w:val="20"/>
          <w:color w:val="auto"/>
        </w:rPr>
      </w:pPr>
    </w:p>
    <w:p>
      <w:pPr>
        <w:ind w:right="199" w:firstLine="648"/>
        <w:spacing w:after="0" w:line="216" w:lineRule="auto"/>
        <w:rPr>
          <w:sz w:val="20"/>
          <w:szCs w:val="20"/>
          <w:color w:val="auto"/>
        </w:rPr>
      </w:pPr>
      <w:r>
        <w:rPr>
          <w:rFonts w:ascii="Arial" w:cs="Arial" w:eastAsia="Arial" w:hAnsi="Arial"/>
          <w:sz w:val="18"/>
          <w:szCs w:val="18"/>
          <w:i w:val="1"/>
          <w:iCs w:val="1"/>
          <w:color w:val="auto"/>
        </w:rPr>
        <w:t xml:space="preserve">Investing Cash Flow. </w:t>
      </w:r>
      <w:r>
        <w:rPr>
          <w:rFonts w:ascii="Arial" w:cs="Arial" w:eastAsia="Arial" w:hAnsi="Arial"/>
          <w:sz w:val="18"/>
          <w:szCs w:val="18"/>
          <w:color w:val="auto"/>
        </w:rPr>
        <w:t>Net cash flows used in investing activities totaled $8.7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2016 compared to $7.2 million for the same prior year period. Net cash flows used in investing activities for the three months ended March 31, 2016 primarily consisted of $10.6 million in capital expenditures for various renovation projects and equipment purchases partially offset by West Virginia reimbursement of capital expenditures totaling $1.7 million.</w:t>
      </w:r>
    </w:p>
    <w:p>
      <w:pPr>
        <w:spacing w:after="0" w:line="122" w:lineRule="exact"/>
        <w:rPr>
          <w:sz w:val="20"/>
          <w:szCs w:val="20"/>
          <w:color w:val="auto"/>
        </w:rPr>
      </w:pPr>
    </w:p>
    <w:p>
      <w:pPr>
        <w:ind w:right="99" w:firstLine="648"/>
        <w:spacing w:after="0" w:line="224" w:lineRule="auto"/>
        <w:rPr>
          <w:sz w:val="20"/>
          <w:szCs w:val="20"/>
          <w:color w:val="auto"/>
        </w:rPr>
      </w:pPr>
      <w:r>
        <w:rPr>
          <w:rFonts w:ascii="Arial" w:cs="Arial" w:eastAsia="Arial" w:hAnsi="Arial"/>
          <w:sz w:val="18"/>
          <w:szCs w:val="18"/>
          <w:i w:val="1"/>
          <w:iCs w:val="1"/>
          <w:color w:val="auto"/>
        </w:rPr>
        <w:t xml:space="preserve">Financing Cash Flow. </w:t>
      </w:r>
      <w:r>
        <w:rPr>
          <w:rFonts w:ascii="Arial" w:cs="Arial" w:eastAsia="Arial" w:hAnsi="Arial"/>
          <w:sz w:val="18"/>
          <w:szCs w:val="18"/>
          <w:color w:val="auto"/>
        </w:rPr>
        <w:t>Net cash flows used in financing activities for the three months ended March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$36.4 million and mainly consisted of net payments totaling $34.5 million on the New Revolving Credit Facility and a $1.1 million payment on the New Term Loan.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8" w:lineRule="exact"/>
        <w:rPr>
          <w:sz w:val="20"/>
          <w:szCs w:val="20"/>
          <w:color w:val="auto"/>
        </w:rPr>
      </w:pPr>
    </w:p>
    <w:p>
      <w:pPr>
        <w:ind w:right="159" w:firstLine="648"/>
        <w:spacing w:after="0" w:line="224" w:lineRule="auto"/>
        <w:rPr>
          <w:sz w:val="20"/>
          <w:szCs w:val="20"/>
          <w:color w:val="auto"/>
        </w:rPr>
      </w:pPr>
      <w:r>
        <w:rPr>
          <w:rFonts w:ascii="Arial" w:cs="Arial" w:eastAsia="Arial" w:hAnsi="Arial"/>
          <w:sz w:val="18"/>
          <w:szCs w:val="18"/>
          <w:color w:val="auto"/>
        </w:rPr>
        <w:t>For the three months ended March 31, 2016, additions to property and equipment aggregated $10.6 million, which included $2.8 million in Nevada, $1.4 million in Louisiana, $5.1 million attributable to the Eastern properties and $1.3 million at corporate.</w:t>
      </w:r>
    </w:p>
    <w:p>
      <w:pPr>
        <w:spacing w:after="0" w:line="96" w:lineRule="exact"/>
        <w:rPr>
          <w:sz w:val="20"/>
          <w:szCs w:val="20"/>
          <w:color w:val="auto"/>
        </w:rPr>
      </w:pPr>
    </w:p>
    <w:p>
      <w:pPr>
        <w:ind w:right="79" w:firstLine="648"/>
        <w:spacing w:after="0" w:line="236" w:lineRule="auto"/>
        <w:rPr>
          <w:sz w:val="20"/>
          <w:szCs w:val="20"/>
          <w:color w:val="auto"/>
        </w:rPr>
      </w:pPr>
      <w:r>
        <w:rPr>
          <w:rFonts w:ascii="Arial" w:cs="Arial" w:eastAsia="Arial" w:hAnsi="Arial"/>
          <w:sz w:val="16"/>
          <w:szCs w:val="16"/>
          <w:color w:val="auto"/>
        </w:rPr>
        <w:t>Under legislation approved by West Virginia in July 2011, Mountaineer participates in a modernization fund which provides for reimbursement from amounts paid to the West Virginia Lottery Commission in an amount equal to $1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As of March 31, 2016, Mountaineer remains eligible for $3.0 million under annual modernization fund grants that expire in varying dates through June 30, 2017. We can make no assurances Mountaineer will be able to make qualifying capital expenditure purchases sufficient to receive reimbursement of the available funds prior to their expiration nor that the modernization funds will continue to be available.</w:t>
      </w:r>
    </w:p>
    <w:p>
      <w:pPr>
        <w:spacing w:after="0" w:line="82" w:lineRule="exact"/>
        <w:rPr>
          <w:sz w:val="20"/>
          <w:szCs w:val="20"/>
          <w:color w:val="auto"/>
        </w:rPr>
      </w:pPr>
    </w:p>
    <w:p>
      <w:pPr>
        <w:ind w:right="99" w:firstLine="648"/>
        <w:spacing w:after="0" w:line="235" w:lineRule="auto"/>
        <w:rPr>
          <w:sz w:val="20"/>
          <w:szCs w:val="20"/>
          <w:color w:val="auto"/>
        </w:rPr>
      </w:pPr>
      <w:r>
        <w:rPr>
          <w:rFonts w:ascii="Arial" w:cs="Arial" w:eastAsia="Arial" w:hAnsi="Arial"/>
          <w:sz w:val="18"/>
          <w:szCs w:val="18"/>
          <w:color w:val="auto"/>
        </w:rPr>
        <w:t>We anticipate spending on capital expenditures during the remainder of 2016 to be approximately $40.5 million, or $39.4 million after anticipated reimbursements from West Virginia on qualified capital expenditures.</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Silver Legacy Joint Venture Loan and Credit Support</w:t>
      </w:r>
    </w:p>
    <w:p>
      <w:pPr>
        <w:spacing w:after="0" w:line="121"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ELLC and Galleon were each required to provide credit support by depositing $5.0 million of cash into bank accounts that were subject to a security interest in favor of the lender under the Silver Legacy credit agreement. In November 2015 in conjunction with the Acquisition, the indebtedness under the Silver Legacy credit agreement was paid in full by ERI and the credit support obligation was eliminated.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Refinancing Transaction and Senior Notes</w:t>
      </w:r>
    </w:p>
    <w:p>
      <w:pPr>
        <w:spacing w:after="0" w:line="185"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On July 23, 2015, the Company issued $375.0 million in aggregate principal amount of 7.0% senior notes due 2023 (the “Senior Notes”) pursuant to the indenture, dated as of July 23, 2015 (the “Indenture”), at an issue price equal to 100.0% of the aggregate principal amount of the Senior Notes. The Senior Notes are guaranteed by all of the Company’s direct and indirect restricted subsidiaries other than immaterial subsidiaries, CC-Reno, LLC and the Silver Legacy Joint Venture. CC-Reno, LLC and the Silver Legacy Joint Venture will become guarantors upon receipt of the requisite gaming approvals expected to occur in May 2016. The Senior Notes will mature on August 1, 2023, with interest payable semi-annually in arrears on February 1 and August 1 of each year.</w:t>
      </w:r>
    </w:p>
    <w:p>
      <w:pPr>
        <w:spacing w:after="0" w:line="122"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The Company used the net proceeds from the Senior Notes offering together with borrowings under the New Term Loan and the New Revolving Credit Facility (as defined below) to (i) purchase or otherwise redeem (a) all of the outstanding Resorts senior secured notes and (b) all of the outstanding MTR second lien notes, (ii) pay a portion of the purchase price for the Circus Reno/Silver Legacy Purchase and repay all amounts outstanding under the Silver Legacy Joint Venture credit facility, and (iii) pay fees and costs associated with such transactions. Net proceeds from the Senior Notes offering totaling $50.0 million were used for the Circus Reno/Silver Legacy Purchase on the Acquisition Date. As a result of the July 2015 refinancing, we recognized a $2.0 million net loss on the early retirement of debt.</w:t>
      </w:r>
    </w:p>
    <w:p>
      <w:pPr>
        <w:spacing w:after="0" w:line="122"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On or after August 1, 2018, the Company may redeem all or a portion of the Senior Notes upon not less than 30 nor more than 60 days’ notice, at the redemption prices (expressed as percentages of the principal amount) set forth below plus accrued and unpaid interest and additional interest, if any, on the Senior Notes redeemed, to the applicable redemption date, if redeemed during the twelve month period beginning on August 1 of the years indicated below:</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14"/>
                <w:szCs w:val="14"/>
                <w:color w:val="auto"/>
              </w:rPr>
            </w:pPr>
          </w:p>
        </w:tc>
        <w:tc>
          <w:tcPr>
            <w:tcW w:w="5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4"/>
                <w:szCs w:val="14"/>
                <w:color w:val="auto"/>
              </w:rPr>
            </w:pPr>
          </w:p>
        </w:tc>
      </w:tr>
      <w:tr>
        <w:trPr>
          <w:trHeight w:val="21"/>
        </w:trPr>
        <w:tc>
          <w:tcPr>
            <w:tcW w:w="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105.250%</w:t>
            </w:r>
          </w:p>
        </w:tc>
      </w:tr>
      <w:tr>
        <w:trPr>
          <w:trHeight w:val="216"/>
        </w:trPr>
        <w:tc>
          <w:tcPr>
            <w:tcW w:w="8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2019</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103.500%</w:t>
            </w:r>
          </w:p>
        </w:tc>
      </w:tr>
      <w:tr>
        <w:trPr>
          <w:trHeight w:val="216"/>
        </w:trPr>
        <w:tc>
          <w:tcPr>
            <w:tcW w:w="80" w:type="dxa"/>
            <w:vAlign w:val="bottom"/>
            <w:shd w:val="clear" w:color="auto" w:fill="CCEEFF"/>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101.750%</w:t>
            </w:r>
          </w:p>
        </w:tc>
      </w:tr>
      <w:tr>
        <w:trPr>
          <w:trHeight w:val="230"/>
        </w:trPr>
        <w:tc>
          <w:tcPr>
            <w:tcW w:w="8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2021 and thereafter</w:t>
            </w:r>
          </w:p>
        </w:tc>
        <w:tc>
          <w:tcPr>
            <w:tcW w:w="1760" w:type="dxa"/>
            <w:vAlign w:val="bottom"/>
            <w:gridSpan w:val="3"/>
          </w:tcPr>
          <w:p>
            <w:pPr>
              <w:jc w:val="right"/>
              <w:ind w:right="40"/>
              <w:spacing w:after="0"/>
              <w:rPr>
                <w:sz w:val="20"/>
                <w:szCs w:val="20"/>
                <w:color w:val="auto"/>
              </w:rPr>
            </w:pPr>
            <w:r>
              <w:rPr>
                <w:rFonts w:ascii="Arial" w:cs="Arial" w:eastAsia="Arial" w:hAnsi="Arial"/>
                <w:sz w:val="18"/>
                <w:szCs w:val="18"/>
                <w:color w:val="auto"/>
              </w:rPr>
              <w:t>100.000%</w:t>
            </w:r>
          </w:p>
        </w:tc>
      </w:tr>
    </w:tbl>
    <w:p>
      <w:pPr>
        <w:spacing w:after="0" w:line="174"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Prior to August 1, 2018, the Company may redeem all or a portion of the Senior Notes at a price equal to 100% of the Senior Notes redeemed plus accrued and unpaid interest to the redemption date, plus a make-whole premium. At any time prior to August 1, 2018, the Company is also entitled to redeem up to 35% of the original aggregate principal amount of the Senior Notes with proceeds of certain equity financings at a redemption price equal to 107% of the principal amount of the Senior Notes redeemed, plus accrued and unpaid interest. If the Company experiences certain change of control events (as defined in the Indenture), it must offer to repurchase the Senior Notes at 101% of their principal amount, plus accrued and unpaid interest to the applicable repurchase date. If the Company sells assets under certain circumstances and does not use the proceeds for specified purposes, the Company must offer to repurchase the Senior Notes at 100% of their principal amount, plus accrued and unpaid interest to the applicable repurchase date. The Senior Notes are subject to redemption imposed by gaming laws and regulations of applicable gaming regulatory authorities.</w:t>
      </w:r>
    </w:p>
    <w:p>
      <w:pPr>
        <w:spacing w:after="0" w:line="122"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The Indenture contains certain covenants limiting, among other things, the Company’s ability and the ability of its subsidiaries (other than its unrestricted subsidiaries) to:</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·pay dividends or distributions or make certain other restricted payments or investments;</w:t>
      </w:r>
    </w:p>
    <w:p>
      <w:pPr>
        <w:ind w:left="380" w:right="340" w:hanging="53"/>
        <w:spacing w:after="0" w:line="203" w:lineRule="auto"/>
        <w:rPr>
          <w:sz w:val="20"/>
          <w:szCs w:val="20"/>
          <w:color w:val="auto"/>
        </w:rPr>
      </w:pPr>
      <w:r>
        <w:rPr>
          <w:rFonts w:ascii="Arial" w:cs="Arial" w:eastAsia="Arial" w:hAnsi="Arial"/>
          <w:sz w:val="18"/>
          <w:szCs w:val="18"/>
          <w:color w:val="auto"/>
        </w:rPr>
        <w:t>·incur or guarantee additional indebtedness or issue disqualified stock or create subordinated indebtedness that is not subordinated to the Senior Notes or the guarantees of the Senior Notes;</w:t>
      </w:r>
    </w:p>
    <w:p>
      <w:pPr>
        <w:spacing w:after="0" w:line="1" w:lineRule="exact"/>
        <w:rPr>
          <w:sz w:val="20"/>
          <w:szCs w:val="20"/>
          <w:color w:val="auto"/>
        </w:rPr>
      </w:pPr>
    </w:p>
    <w:p>
      <w:pPr>
        <w:ind w:left="820" w:hanging="493"/>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ind w:left="600" w:hanging="273"/>
        <w:spacing w:after="0"/>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and sell assets;</w:t>
      </w:r>
    </w:p>
    <w:p>
      <w:pPr>
        <w:ind w:left="320" w:right="980"/>
        <w:spacing w:after="0" w:line="203" w:lineRule="auto"/>
        <w:rPr>
          <w:sz w:val="20"/>
          <w:szCs w:val="20"/>
          <w:color w:val="auto"/>
        </w:rPr>
      </w:pPr>
      <w:r>
        <w:rPr>
          <w:rFonts w:ascii="Arial" w:cs="Arial" w:eastAsia="Arial" w:hAnsi="Arial"/>
          <w:sz w:val="18"/>
          <w:szCs w:val="18"/>
          <w:color w:val="auto"/>
        </w:rPr>
        <w:t>·merge, consolidate, or sell, transfer or otherwise dispose of all or substantially all of the Company’s assets; · enter into certain transactions with affiliates;</w:t>
      </w:r>
    </w:p>
    <w:p>
      <w:pPr>
        <w:spacing w:after="0" w:line="1" w:lineRule="exact"/>
        <w:rPr>
          <w:sz w:val="20"/>
          <w:szCs w:val="20"/>
          <w:color w:val="auto"/>
        </w:rPr>
      </w:pPr>
    </w:p>
    <w:p>
      <w:pPr>
        <w:ind w:left="320" w:right="1820"/>
        <w:spacing w:after="0" w:line="268" w:lineRule="auto"/>
        <w:rPr>
          <w:sz w:val="20"/>
          <w:szCs w:val="20"/>
          <w:color w:val="auto"/>
        </w:rPr>
      </w:pPr>
      <w:r>
        <w:rPr>
          <w:rFonts w:ascii="Arial" w:cs="Arial" w:eastAsia="Arial" w:hAnsi="Arial"/>
          <w:sz w:val="16"/>
          <w:szCs w:val="16"/>
          <w:color w:val="auto"/>
        </w:rPr>
        <w:t>·engage in lines of business other than the Company’s core business and related businesses; and · create restrictions on dividends or other payments by restricted subsidiaries.</w:t>
      </w:r>
    </w:p>
    <w:p>
      <w:pPr>
        <w:spacing w:after="0" w:line="100"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These covenants are subject to a number of exceptions and qualifications as set forth in the Indenture. The Indenture also provides for customary events of default which, if any of them occurs, would permit or require the principal of and accrued interest on such Senior Notes to be declared due and payable. As of March 31, 2016, the Company was in compliance with all of the covenants under the Indenture relating to the Senior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Credit Facility</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On July 23, 2015, the Company entered into a new $425.0 million seven year term loan (the “New Term Loan”) and a new $150.0 million five year revolving credit facility (the “New Revolving Credit Facility” and, together with the New Term Loan, the “New Credit Facility”).</w:t>
      </w:r>
    </w:p>
    <w:p>
      <w:pPr>
        <w:spacing w:after="0" w:line="163" w:lineRule="exact"/>
        <w:rPr>
          <w:sz w:val="20"/>
          <w:szCs w:val="20"/>
          <w:color w:val="auto"/>
        </w:rPr>
      </w:pPr>
    </w:p>
    <w:p>
      <w:pPr>
        <w:ind w:right="260" w:firstLine="648"/>
        <w:spacing w:after="0" w:line="249" w:lineRule="auto"/>
        <w:rPr>
          <w:sz w:val="20"/>
          <w:szCs w:val="20"/>
          <w:color w:val="auto"/>
        </w:rPr>
      </w:pPr>
      <w:r>
        <w:rPr>
          <w:rFonts w:ascii="Arial" w:cs="Arial" w:eastAsia="Arial" w:hAnsi="Arial"/>
          <w:sz w:val="16"/>
          <w:szCs w:val="16"/>
          <w:color w:val="auto"/>
        </w:rPr>
        <w:t>As of March 31, 2016, the Company had $421.8 million outstanding on the New Term Loan and $59.0 million in borrowings outstanding under the New Revolving Credit Facility. The Company had $91.0 million of available borrowing capacity under its New Revolving Credit Facility as of March 31, 2016. At March 31, 2016, the interest rate on the New Term Loan was 4.25% and the average interest rate on the New Revolving Credit Facility was 3.95%.</w:t>
      </w:r>
    </w:p>
    <w:p>
      <w:pPr>
        <w:spacing w:after="0" w:line="155"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New Term Loan bears interest at a rate per annum of, at the Company’s option, either (x) LIBOR plus 3.25%, with a LIBOR floor of 1.0%, or (y) a base rate plus 2.25%. Borrowings under the New Revolving Credit Facility bear interest at a rate per annum of, at the Company’s option, either (x) LIBOR plus a spread ranging from 2.5% to 3.25% or (y) a base rate plus a spread ranging from 1.5% to 2.25%, in each case with the spread determined based on the Company’s total leverage ratio. Additionally, the Company pays a commitment fee on the unused portion of the New Revolving Credit Facility not being utilized in the amount of 0.50% per annum.</w:t>
      </w:r>
    </w:p>
    <w:p>
      <w:pPr>
        <w:spacing w:after="0" w:line="16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New Credit Facility is secured by substantially all of the Company’s personal property assets and substantially all personal property assets of each subsidiary that guaranties the New Credit Facility (other than certain subsidiary guarantors designated as immaterial or restricted subsidiaries) (the ‘‘New Credit Facility Guarantors’’), whether owned on the closing date of the New Credit Facility or thereafter acquired, and mortgages on the real property and improvements owned or leased us or the New Credit Facility Guarantors. The New Credit Facility is also secured by a pledge of all of the equity owned by us and the New Credit Facility Guarantors (subject to certain gaming law restrictions). The credit agreement governing the New Credit Facility contains a number of customary covenants that, among other things, restrict, subject to certain exceptions, the Company’s ability and the ability of the New Credit Facility Guarantors to incur additional indebtedness, create liens on collateral, engage in mergers, consolidations or asset dispositions, make distributions, make investments, loans or advances, engage in certain transactions with affiliates or subsidiaries or make capital expenditures.</w:t>
      </w:r>
    </w:p>
    <w:p>
      <w:pPr>
        <w:spacing w:after="0" w:line="163"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The credit agreement governing the New Credit Facility also includes requirements that the Company maintain a maximum total leverage ratio and a minimum interest coverage ratio (adjusting over time). The Company is required to maintain a maximum total leverage ratio of 6.00 to 1.00 from January 1, 2016 to December 31, 2017 and 5.00 to 1.00 thereafter. In addition, the Company is required to maintain a minimum interest coverage ratio of 2.75 to 1.00 from January 1, 2016 through December 31, 2016 and 3.00 to 1.00 thereafter. A default of the financial ratio covenants shall only become an event of default under the New Term Loan if the lenders providing the New Revolving Credit Facility take certain affirmative actions after the occurrence of a default of such financial ratio covenants.</w:t>
      </w:r>
    </w:p>
    <w:p>
      <w:pPr>
        <w:spacing w:after="0" w:line="162"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The credit agreement governing the New Credit Facility contains a number of customary events of default, including, among others, for the non-payment of principal, interest or other amounts, the inaccuracy of certain representations and warranties, the failure to perform or observe certain covenants, a cross default to other indebtedness including the Senior Notes, certain events of bankruptcy or insolvency; certain ERISA events, the invalidity of certain loan documents, certain changes of control and the loss of certain classes of licenses to conduct gaming. If any event of default occurs, the lenders under the New Credit Facility would be entitled to take various actions, including accelerating amounts due thereunder and taking all actions permitted to be taken by a secured creditor. As of March 31, 2016, the Company was in compliance with the covenants under the New Credit Facility.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ind w:right="160" w:firstLine="648"/>
        <w:spacing w:after="0" w:line="203" w:lineRule="exact"/>
        <w:rPr>
          <w:sz w:val="20"/>
          <w:szCs w:val="20"/>
          <w:color w:val="auto"/>
        </w:rPr>
      </w:pPr>
      <w:r>
        <w:rPr>
          <w:rFonts w:ascii="Arial" w:cs="Arial" w:eastAsia="Arial" w:hAnsi="Arial"/>
          <w:sz w:val="18"/>
          <w:szCs w:val="18"/>
          <w:color w:val="auto"/>
        </w:rPr>
        <w:t>There have been no material changes during the three months ended March 31, 2016 to our contractual obligations as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148"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(i) cumulative gross slot revenue since inception in relation to the combined cumulative gross slot revenue for all licensees and (ii) single year gross slot revenue (during the state’s 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$4.1 million and will be paid quarterly over a ten</w:t>
      </w:r>
      <w:r>
        <w:rPr>
          <w:rFonts w:ascii="MS PGothic" w:cs="MS PGothic" w:eastAsia="MS PGothic" w:hAnsi="MS PGothic"/>
          <w:sz w:val="16"/>
          <w:szCs w:val="16"/>
          <w:color w:val="auto"/>
        </w:rPr>
        <w:t>‑</w:t>
      </w:r>
      <w:r>
        <w:rPr>
          <w:rFonts w:ascii="Arial" w:cs="Arial" w:eastAsia="Arial" w:hAnsi="Arial"/>
          <w:sz w:val="16"/>
          <w:szCs w:val="16"/>
          <w:color w:val="auto"/>
        </w:rPr>
        <w:t>year period, which began effective January 1, 2012. For the $36.1 million that was borrowed from the General Fund, payment is scheduled to begin after all fourteen licensees are operational. Although we cannot determine when payment will begin, we have considered a similar repayment model for the General Fund borrowings and estimated that our total proportionate share of the aggregate $36.1 million to all fourteen gaming facilities will approximate between $2.0 million and $2.1 million.</w:t>
      </w:r>
    </w:p>
    <w:p>
      <w:pPr>
        <w:spacing w:after="0" w:line="163"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The recorded estimate relative to the Property Tax Reserve Fund is subject to revision based upon future changes in the revenue assumptions utilized to develop the estimate. Our estimated total obligation at March 31, 2016 was $4.1 million. The Company paid $0.1 million for the three months ended March 31, 2016.</w:t>
      </w:r>
    </w:p>
    <w:p>
      <w:pPr>
        <w:spacing w:after="0" w:line="163"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We are faced with certain contingencies involving litigation and environmental remediation and compliance. These commitments and contingencies are discussed in “Part II, Item 1. Legal Proceedings” and Note 10 to our unaudited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48" w:lineRule="exact"/>
        <w:rPr>
          <w:sz w:val="20"/>
          <w:szCs w:val="20"/>
          <w:color w:val="auto"/>
        </w:rPr>
      </w:pPr>
    </w:p>
    <w:p>
      <w:pPr>
        <w:ind w:right="200" w:firstLine="648"/>
        <w:spacing w:after="0" w:line="189" w:lineRule="exact"/>
        <w:rPr>
          <w:sz w:val="20"/>
          <w:szCs w:val="20"/>
          <w:color w:val="auto"/>
        </w:rPr>
      </w:pPr>
      <w:r>
        <w:rPr>
          <w:rFonts w:ascii="Arial" w:cs="Arial" w:eastAsia="Arial" w:hAnsi="Arial"/>
          <w:sz w:val="18"/>
          <w:szCs w:val="18"/>
          <w:color w:val="auto"/>
        </w:rPr>
        <w:t>Our critical accounting policies disclosures are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 Management believes there have been no material changes since December 31, 2015. We have not substantively changed the application of our policies and there have been no material changes in assumptions or estimation techniques used as compared to prior periods.</w:t>
      </w:r>
    </w:p>
    <w:p>
      <w:pPr>
        <w:spacing w:after="0" w:line="118"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48"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We are not party to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w:t>
      </w:r>
    </w:p>
    <w:p>
      <w:pPr>
        <w:spacing w:after="0" w:line="140"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Cautionary Statement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Information</w:t>
      </w:r>
    </w:p>
    <w:p>
      <w:pPr>
        <w:spacing w:after="0" w:line="148" w:lineRule="exact"/>
        <w:rPr>
          <w:sz w:val="20"/>
          <w:szCs w:val="20"/>
          <w:color w:val="auto"/>
        </w:rPr>
      </w:pPr>
    </w:p>
    <w:p>
      <w:pPr>
        <w:ind w:right="40" w:firstLine="648"/>
        <w:spacing w:after="0" w:line="194" w:lineRule="exact"/>
        <w:rPr>
          <w:sz w:val="20"/>
          <w:szCs w:val="20"/>
          <w:color w:val="auto"/>
        </w:rPr>
      </w:pPr>
      <w:r>
        <w:rPr>
          <w:rFonts w:ascii="Arial" w:cs="Arial" w:eastAsia="Arial" w:hAnsi="Arial"/>
          <w:sz w:val="17"/>
          <w:szCs w:val="17"/>
          <w:color w:val="auto"/>
        </w:rPr>
        <w:t>This report includes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within the meaning of Section 27A of the Securities Act of 1933, as amended, and Section 21E of the Securities Exchange Act of 1934, as amended.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include statements regarding our strategies, objectives and plans for future development or acquisitions of properties or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187" w:lineRule="exact"/>
        <w:rPr>
          <w:sz w:val="20"/>
          <w:szCs w:val="20"/>
          <w:color w:val="auto"/>
        </w:rPr>
      </w:pPr>
      <w:r>
        <w:rPr>
          <w:rFonts w:ascii="Arial" w:cs="Arial" w:eastAsia="Arial" w:hAnsi="Arial"/>
          <w:sz w:val="18"/>
          <w:szCs w:val="18"/>
          <w:color w:val="auto"/>
        </w:rPr>
        <w:t>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in this report include, among other things, statements concerning:</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projections of future results of operations or financial condition;</w:t>
      </w:r>
    </w:p>
    <w:p>
      <w:pPr>
        <w:spacing w:after="0" w:line="144" w:lineRule="exact"/>
        <w:rPr>
          <w:sz w:val="20"/>
          <w:szCs w:val="20"/>
          <w:color w:val="auto"/>
        </w:rPr>
      </w:pPr>
    </w:p>
    <w:p>
      <w:pPr>
        <w:ind w:left="700" w:right="320" w:hanging="53"/>
        <w:spacing w:after="0" w:line="235" w:lineRule="auto"/>
        <w:rPr>
          <w:sz w:val="20"/>
          <w:szCs w:val="20"/>
          <w:color w:val="auto"/>
        </w:rPr>
      </w:pPr>
      <w:r>
        <w:rPr>
          <w:rFonts w:ascii="Arial" w:cs="Arial" w:eastAsia="Arial" w:hAnsi="Arial"/>
          <w:sz w:val="18"/>
          <w:szCs w:val="18"/>
          <w:color w:val="auto"/>
        </w:rPr>
        <w:t>·expectations regarding our business and results of operations of our existing casino properties and prospects for future development;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expenses and our ability to operate efficiently;</w:t>
      </w:r>
    </w:p>
    <w:p>
      <w:pPr>
        <w:spacing w:after="0" w:line="144" w:lineRule="exact"/>
        <w:rPr>
          <w:sz w:val="20"/>
          <w:szCs w:val="20"/>
          <w:color w:val="auto"/>
        </w:rPr>
      </w:pPr>
    </w:p>
    <w:p>
      <w:pPr>
        <w:ind w:left="700" w:right="80" w:hanging="53"/>
        <w:spacing w:after="0" w:line="235" w:lineRule="auto"/>
        <w:rPr>
          <w:sz w:val="20"/>
          <w:szCs w:val="20"/>
          <w:color w:val="auto"/>
        </w:rPr>
      </w:pPr>
      <w:r>
        <w:rPr>
          <w:rFonts w:ascii="Arial" w:cs="Arial" w:eastAsia="Arial" w:hAnsi="Arial"/>
          <w:sz w:val="18"/>
          <w:szCs w:val="18"/>
          <w:color w:val="auto"/>
        </w:rPr>
        <w:t>·expectations regarding trends that will affect our market and the gaming industry generally and the impact of those trends on our business and 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ability to comply with the covenants in the agreements governing our outstanding indebtedness;</w:t>
      </w:r>
    </w:p>
    <w:p>
      <w:pPr>
        <w:spacing w:after="0" w:line="144" w:lineRule="exact"/>
        <w:rPr>
          <w:sz w:val="20"/>
          <w:szCs w:val="20"/>
          <w:color w:val="auto"/>
        </w:rPr>
      </w:pPr>
    </w:p>
    <w:p>
      <w:pPr>
        <w:ind w:left="700" w:right="980" w:hanging="53"/>
        <w:spacing w:after="0" w:line="235" w:lineRule="auto"/>
        <w:rPr>
          <w:sz w:val="20"/>
          <w:szCs w:val="20"/>
          <w:color w:val="auto"/>
        </w:rPr>
      </w:pPr>
      <w:r>
        <w:rPr>
          <w:rFonts w:ascii="Arial" w:cs="Arial" w:eastAsia="Arial" w:hAnsi="Arial"/>
          <w:sz w:val="18"/>
          <w:szCs w:val="18"/>
          <w:color w:val="auto"/>
        </w:rPr>
        <w:t>·our ability to meet our projected debt service obligations, operating expenses, and maintenance capital expenditures;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expectations regarding availability of capital resources;</w:t>
      </w:r>
    </w:p>
    <w:p>
      <w:pPr>
        <w:spacing w:after="0" w:line="144" w:lineRule="exact"/>
        <w:rPr>
          <w:sz w:val="20"/>
          <w:szCs w:val="20"/>
          <w:color w:val="auto"/>
        </w:rPr>
      </w:pPr>
    </w:p>
    <w:p>
      <w:pPr>
        <w:ind w:left="700" w:right="100" w:hanging="53"/>
        <w:spacing w:after="0" w:line="235" w:lineRule="auto"/>
        <w:rPr>
          <w:sz w:val="20"/>
          <w:szCs w:val="20"/>
          <w:color w:val="auto"/>
        </w:rPr>
      </w:pPr>
      <w:r>
        <w:rPr>
          <w:rFonts w:ascii="Arial" w:cs="Arial" w:eastAsia="Arial" w:hAnsi="Arial"/>
          <w:sz w:val="18"/>
          <w:szCs w:val="18"/>
          <w:color w:val="auto"/>
        </w:rPr>
        <w:t>·our intention to pursue development opportunities and acquisitions and obtain financing for such development and acquisitions; and</w:t>
      </w:r>
    </w:p>
    <w:p>
      <w:pPr>
        <w:spacing w:after="0" w:line="121" w:lineRule="exact"/>
        <w:rPr>
          <w:sz w:val="20"/>
          <w:szCs w:val="20"/>
          <w:color w:val="auto"/>
        </w:rPr>
      </w:pPr>
    </w:p>
    <w:p>
      <w:pPr>
        <w:ind w:left="700" w:hanging="53"/>
        <w:spacing w:after="0" w:line="235" w:lineRule="auto"/>
        <w:rPr>
          <w:sz w:val="20"/>
          <w:szCs w:val="20"/>
          <w:color w:val="auto"/>
        </w:rPr>
      </w:pPr>
      <w:r>
        <w:rPr>
          <w:rFonts w:ascii="Arial" w:cs="Arial" w:eastAsia="Arial" w:hAnsi="Arial"/>
          <w:sz w:val="18"/>
          <w:szCs w:val="18"/>
          <w:color w:val="auto"/>
        </w:rPr>
        <w:t>·the impact of regulation on our business and our ability to receive and maintain necessary approvals for our existing properties and future projects.</w:t>
      </w:r>
    </w:p>
    <w:p>
      <w:pPr>
        <w:spacing w:after="0" w:line="117" w:lineRule="exact"/>
        <w:rPr>
          <w:sz w:val="20"/>
          <w:szCs w:val="20"/>
          <w:color w:val="auto"/>
        </w:rPr>
      </w:pPr>
    </w:p>
    <w:p>
      <w:pPr>
        <w:ind w:left="660"/>
        <w:spacing w:after="0" w:line="196" w:lineRule="exact"/>
        <w:rPr>
          <w:sz w:val="20"/>
          <w:szCs w:val="20"/>
          <w:color w:val="auto"/>
        </w:rPr>
      </w:pPr>
      <w:r>
        <w:rPr>
          <w:rFonts w:ascii="Arial" w:cs="Arial" w:eastAsia="Arial" w:hAnsi="Arial"/>
          <w:sz w:val="17"/>
          <w:szCs w:val="17"/>
          <w:color w:val="auto"/>
        </w:rPr>
        <w:t>Any forward</w:t>
      </w:r>
      <w:r>
        <w:rPr>
          <w:rFonts w:ascii="MS PGothic" w:cs="MS PGothic" w:eastAsia="MS PGothic" w:hAnsi="MS PGothic"/>
          <w:sz w:val="17"/>
          <w:szCs w:val="17"/>
          <w:color w:val="auto"/>
        </w:rPr>
        <w:t>‑</w:t>
      </w:r>
      <w:r>
        <w:rPr>
          <w:rFonts w:ascii="Arial" w:cs="Arial" w:eastAsia="Arial" w:hAnsi="Arial"/>
          <w:sz w:val="17"/>
          <w:szCs w:val="17"/>
          <w:color w:val="auto"/>
        </w:rPr>
        <w:t>looking statement is based upon a number of estimates and assumptions that, while considered</w:t>
      </w:r>
    </w:p>
    <w:p>
      <w:pPr>
        <w:spacing w:after="0" w:line="229" w:lineRule="auto"/>
        <w:rPr>
          <w:sz w:val="20"/>
          <w:szCs w:val="20"/>
          <w:color w:val="auto"/>
        </w:rPr>
      </w:pPr>
      <w:r>
        <w:rPr>
          <w:rFonts w:ascii="Arial" w:cs="Arial" w:eastAsia="Arial" w:hAnsi="Arial"/>
          <w:sz w:val="16"/>
          <w:szCs w:val="16"/>
          <w:color w:val="auto"/>
        </w:rPr>
        <w:t>reasonable by us, is inherently subject to significant business, economic and competitive uncertainties and contingencies,</w:t>
      </w:r>
    </w:p>
    <w:p>
      <w:pPr>
        <w:spacing w:after="0" w:line="229" w:lineRule="auto"/>
        <w:rPr>
          <w:sz w:val="20"/>
          <w:szCs w:val="20"/>
          <w:color w:val="auto"/>
        </w:rPr>
      </w:pPr>
      <w:r>
        <w:rPr>
          <w:rFonts w:ascii="Arial" w:cs="Arial" w:eastAsia="Arial" w:hAnsi="Arial"/>
          <w:sz w:val="16"/>
          <w:szCs w:val="16"/>
          <w:color w:val="auto"/>
        </w:rPr>
        <w:t>many of which are beyond our control, and are subject to change. Actual results of operations may vary materially from any</w:t>
      </w:r>
    </w:p>
    <w:p>
      <w:pPr>
        <w:spacing w:after="0" w:line="176"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 made herein. 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should not be regarded as a representation by us or any</w:t>
      </w:r>
    </w:p>
    <w:p>
      <w:pPr>
        <w:spacing w:after="0" w:line="176" w:lineRule="exact"/>
        <w:rPr>
          <w:sz w:val="20"/>
          <w:szCs w:val="20"/>
          <w:color w:val="auto"/>
        </w:rPr>
      </w:pPr>
      <w:r>
        <w:rPr>
          <w:rFonts w:ascii="Arial" w:cs="Arial" w:eastAsia="Arial" w:hAnsi="Arial"/>
          <w:sz w:val="18"/>
          <w:szCs w:val="18"/>
          <w:color w:val="auto"/>
        </w:rPr>
        <w:t>other person that the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will be achieved. Undue reliance should not be placed on any</w:t>
      </w:r>
    </w:p>
    <w:p>
      <w:pPr>
        <w:spacing w:after="0" w:line="176" w:lineRule="exact"/>
        <w:rPr>
          <w:sz w:val="20"/>
          <w:szCs w:val="20"/>
          <w:color w:val="auto"/>
        </w:rPr>
      </w:pPr>
      <w:r>
        <w:rPr>
          <w:rFonts w:ascii="Arial" w:cs="Arial" w:eastAsia="Arial" w:hAnsi="Arial"/>
          <w:sz w:val="16"/>
          <w:szCs w:val="16"/>
          <w:color w:val="auto"/>
        </w:rPr>
        <w:t>forward</w:t>
      </w:r>
      <w:r>
        <w:rPr>
          <w:rFonts w:ascii="MS PGothic" w:cs="MS PGothic" w:eastAsia="MS PGothic" w:hAnsi="MS PGothic"/>
          <w:sz w:val="16"/>
          <w:szCs w:val="16"/>
          <w:color w:val="auto"/>
        </w:rPr>
        <w:t>‑</w:t>
      </w:r>
      <w:r>
        <w:rPr>
          <w:rFonts w:ascii="Arial" w:cs="Arial" w:eastAsia="Arial" w:hAnsi="Arial"/>
          <w:sz w:val="16"/>
          <w:szCs w:val="16"/>
          <w:color w:val="auto"/>
        </w:rPr>
        <w:t>looking statements. Some of the contingencies and uncertainties to which any forward</w:t>
      </w:r>
      <w:r>
        <w:rPr>
          <w:rFonts w:ascii="MS PGothic" w:cs="MS PGothic" w:eastAsia="MS PGothic" w:hAnsi="MS PGothic"/>
          <w:sz w:val="16"/>
          <w:szCs w:val="16"/>
          <w:color w:val="auto"/>
        </w:rPr>
        <w:t>‑</w:t>
      </w:r>
      <w:r>
        <w:rPr>
          <w:rFonts w:ascii="Arial" w:cs="Arial" w:eastAsia="Arial" w:hAnsi="Arial"/>
          <w:sz w:val="16"/>
          <w:szCs w:val="16"/>
          <w:color w:val="auto"/>
        </w:rPr>
        <w:t>looking statement contained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herein is subject include, but are not limited to, the following:</w:t>
      </w:r>
    </w:p>
    <w:p>
      <w:pPr>
        <w:spacing w:after="0" w:line="128" w:lineRule="exact"/>
        <w:rPr>
          <w:sz w:val="20"/>
          <w:szCs w:val="20"/>
          <w:color w:val="auto"/>
        </w:rPr>
      </w:pPr>
    </w:p>
    <w:p>
      <w:pPr>
        <w:ind w:left="700" w:right="100" w:hanging="53"/>
        <w:spacing w:after="0" w:line="235" w:lineRule="auto"/>
        <w:rPr>
          <w:sz w:val="20"/>
          <w:szCs w:val="20"/>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121" w:lineRule="exact"/>
        <w:rPr>
          <w:sz w:val="20"/>
          <w:szCs w:val="20"/>
          <w:color w:val="auto"/>
        </w:rPr>
      </w:pPr>
    </w:p>
    <w:p>
      <w:pPr>
        <w:ind w:left="700" w:right="300" w:hanging="53"/>
        <w:spacing w:after="0" w:line="235" w:lineRule="auto"/>
        <w:rPr>
          <w:sz w:val="20"/>
          <w:szCs w:val="20"/>
          <w:color w:val="auto"/>
        </w:rPr>
      </w:pPr>
      <w:r>
        <w:rPr>
          <w:rFonts w:ascii="Arial" w:cs="Arial" w:eastAsia="Arial" w:hAnsi="Arial"/>
          <w:sz w:val="18"/>
          <w:szCs w:val="18"/>
          <w:color w:val="auto"/>
        </w:rPr>
        <w:t>·restrictions and limitations in agreements governing our debt could significantly affect our ability to operate our business and our liquidity;</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facilities operate in very competitive environments and we face increasing competition;</w:t>
      </w:r>
    </w:p>
    <w:p>
      <w:pPr>
        <w:spacing w:after="0" w:line="144" w:lineRule="exact"/>
        <w:rPr>
          <w:sz w:val="20"/>
          <w:szCs w:val="20"/>
          <w:color w:val="auto"/>
        </w:rPr>
      </w:pPr>
    </w:p>
    <w:p>
      <w:pPr>
        <w:ind w:left="700" w:right="280" w:hanging="53"/>
        <w:spacing w:after="0" w:line="235" w:lineRule="auto"/>
        <w:rPr>
          <w:sz w:val="20"/>
          <w:szCs w:val="20"/>
          <w:color w:val="auto"/>
        </w:rPr>
      </w:pPr>
      <w:r>
        <w:rPr>
          <w:rFonts w:ascii="Arial" w:cs="Arial" w:eastAsia="Arial" w:hAnsi="Arial"/>
          <w:sz w:val="18"/>
          <w:szCs w:val="18"/>
          <w:color w:val="auto"/>
        </w:rPr>
        <w:t>·our dependence on our Nevada, Louisiana, West Virginia, Pennsylvania and Ohio casinos for substantially all of our revenues and cash flows;</w:t>
      </w:r>
    </w:p>
    <w:p>
      <w:pPr>
        <w:spacing w:after="0" w:line="121" w:lineRule="exact"/>
        <w:rPr>
          <w:sz w:val="20"/>
          <w:szCs w:val="20"/>
          <w:color w:val="auto"/>
        </w:rPr>
      </w:pPr>
    </w:p>
    <w:p>
      <w:pPr>
        <w:ind w:left="700" w:right="260" w:hanging="53"/>
        <w:spacing w:after="0" w:line="235" w:lineRule="auto"/>
        <w:rPr>
          <w:sz w:val="20"/>
          <w:szCs w:val="20"/>
          <w:color w:val="auto"/>
        </w:rPr>
      </w:pPr>
      <w:r>
        <w:rPr>
          <w:rFonts w:ascii="Arial" w:cs="Arial" w:eastAsia="Arial" w:hAnsi="Arial"/>
          <w:sz w:val="18"/>
          <w:szCs w:val="18"/>
          <w:color w:val="auto"/>
        </w:rPr>
        <w:t>·our ability to integrate the operations of Circus Reno and the Silver Legacy and realize the benefits of the Circus Reno/Silver Legacy Purchase and other future acquisitions;</w:t>
      </w:r>
    </w:p>
    <w:p>
      <w:pPr>
        <w:spacing w:after="0" w:line="121" w:lineRule="exact"/>
        <w:rPr>
          <w:sz w:val="20"/>
          <w:szCs w:val="20"/>
          <w:color w:val="auto"/>
        </w:rPr>
      </w:pPr>
    </w:p>
    <w:p>
      <w:pPr>
        <w:ind w:left="700" w:right="500" w:hanging="53"/>
        <w:spacing w:after="0" w:line="235" w:lineRule="auto"/>
        <w:rPr>
          <w:sz w:val="20"/>
          <w:szCs w:val="20"/>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121" w:lineRule="exact"/>
        <w:rPr>
          <w:sz w:val="20"/>
          <w:szCs w:val="20"/>
          <w:color w:val="auto"/>
        </w:rPr>
      </w:pPr>
    </w:p>
    <w:p>
      <w:pPr>
        <w:ind w:left="700" w:right="80" w:hanging="53"/>
        <w:spacing w:after="0" w:line="235" w:lineRule="auto"/>
        <w:rPr>
          <w:sz w:val="20"/>
          <w:szCs w:val="20"/>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changes in gaming taxes and fees in jurisdictions in which we operate;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·risks relating to pending claims or future claims that may be brought against us;</w:t>
      </w:r>
    </w:p>
    <w:p>
      <w:pPr>
        <w:spacing w:after="0" w:line="144" w:lineRule="exact"/>
        <w:rPr>
          <w:sz w:val="20"/>
          <w:szCs w:val="20"/>
          <w:color w:val="auto"/>
        </w:rPr>
      </w:pPr>
    </w:p>
    <w:p>
      <w:pPr>
        <w:ind w:left="760" w:hanging="109"/>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disruptions to our information technology and other systems and infrastructure;</w:t>
      </w:r>
    </w:p>
    <w:p>
      <w:pPr>
        <w:spacing w:after="0" w:line="144" w:lineRule="exact"/>
        <w:rPr>
          <w:sz w:val="20"/>
          <w:szCs w:val="20"/>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144" w:lineRule="exact"/>
        <w:rPr>
          <w:rFonts w:ascii="Arial" w:cs="Arial" w:eastAsia="Arial" w:hAnsi="Arial"/>
          <w:sz w:val="18"/>
          <w:szCs w:val="18"/>
          <w:color w:val="auto"/>
        </w:rPr>
      </w:pPr>
    </w:p>
    <w:p>
      <w:pPr>
        <w:ind w:left="780" w:hanging="12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144" w:lineRule="exact"/>
        <w:rPr>
          <w:rFonts w:ascii="Arial" w:cs="Arial" w:eastAsia="Arial" w:hAnsi="Arial"/>
          <w:sz w:val="18"/>
          <w:szCs w:val="18"/>
          <w:color w:val="auto"/>
        </w:rPr>
      </w:pPr>
    </w:p>
    <w:p>
      <w:pPr>
        <w:ind w:left="740" w:hanging="89"/>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war, terrorist activity, natural disasters and other catastrophic events;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intense competition to attract and retain management and key employees in the gaming industry; and</w:t>
      </w:r>
    </w:p>
    <w:p>
      <w:pPr>
        <w:spacing w:after="0" w:line="156" w:lineRule="exact"/>
        <w:rPr>
          <w:sz w:val="20"/>
          <w:szCs w:val="20"/>
          <w:color w:val="auto"/>
        </w:rPr>
      </w:pPr>
    </w:p>
    <w:p>
      <w:pPr>
        <w:ind w:left="700" w:right="240" w:hanging="53"/>
        <w:spacing w:after="0" w:line="203" w:lineRule="exact"/>
        <w:rPr>
          <w:sz w:val="20"/>
          <w:szCs w:val="20"/>
          <w:color w:val="auto"/>
        </w:rPr>
      </w:pPr>
      <w:r>
        <w:rPr>
          <w:rFonts w:ascii="Arial" w:cs="Arial" w:eastAsia="Arial" w:hAnsi="Arial"/>
          <w:sz w:val="18"/>
          <w:szCs w:val="18"/>
          <w:color w:val="auto"/>
        </w:rPr>
        <w:t>·the other factors set forth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w:t>
      </w:r>
    </w:p>
    <w:p>
      <w:pPr>
        <w:spacing w:after="0" w:line="121"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light of these and other risks, uncertainties and assumptions, the forward</w:t>
      </w:r>
      <w:r>
        <w:rPr>
          <w:rFonts w:ascii="MS PGothic" w:cs="MS PGothic" w:eastAsia="MS PGothic" w:hAnsi="MS PGothic"/>
          <w:sz w:val="18"/>
          <w:szCs w:val="18"/>
          <w:color w:val="auto"/>
        </w:rPr>
        <w:t>‑</w:t>
      </w:r>
      <w:r>
        <w:rPr>
          <w:rFonts w:ascii="Arial" w:cs="Arial" w:eastAsia="Arial" w:hAnsi="Arial"/>
          <w:sz w:val="18"/>
          <w:szCs w:val="18"/>
          <w:color w:val="auto"/>
        </w:rPr>
        <w:t>looking events discussed in this report might not occur.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speaks only as of the date on which that statement is made. We do not intend to update publicly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to reflect events or circumstances that occur after the date on which the statement is made, except as may be required by law.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8"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Market risk is the risk of loss arising from adverse changes in market rates and prices, such as interest rates, foreign currency exchange rates and commodity prices. We do not hold any market risk sensitive instruments for trading purposes. Our primary exposure to market risk is interest rate risk, specifically long</w:t>
      </w:r>
      <w:r>
        <w:rPr>
          <w:rFonts w:ascii="MS PGothic" w:cs="MS PGothic" w:eastAsia="MS PGothic" w:hAnsi="MS PGothic"/>
          <w:sz w:val="17"/>
          <w:szCs w:val="17"/>
          <w:color w:val="auto"/>
        </w:rPr>
        <w:t>‑</w:t>
      </w:r>
      <w:r>
        <w:rPr>
          <w:rFonts w:ascii="Arial" w:cs="Arial" w:eastAsia="Arial" w:hAnsi="Arial"/>
          <w:sz w:val="17"/>
          <w:szCs w:val="17"/>
          <w:color w:val="auto"/>
        </w:rPr>
        <w:t>term U.S. treasury rates and the applicable spreads in the high</w:t>
      </w:r>
      <w:r>
        <w:rPr>
          <w:rFonts w:ascii="MS PGothic" w:cs="MS PGothic" w:eastAsia="MS PGothic" w:hAnsi="MS PGothic"/>
          <w:sz w:val="17"/>
          <w:szCs w:val="17"/>
          <w:color w:val="auto"/>
        </w:rPr>
        <w:t>‑</w:t>
      </w:r>
      <w:r>
        <w:rPr>
          <w:rFonts w:ascii="Arial" w:cs="Arial" w:eastAsia="Arial" w:hAnsi="Arial"/>
          <w:sz w:val="17"/>
          <w:szCs w:val="17"/>
          <w:color w:val="auto"/>
        </w:rPr>
        <w:t>yield investment risk, short</w:t>
      </w:r>
      <w:r>
        <w:rPr>
          <w:rFonts w:ascii="MS PGothic" w:cs="MS PGothic" w:eastAsia="MS PGothic" w:hAnsi="MS PGothic"/>
          <w:sz w:val="17"/>
          <w:szCs w:val="17"/>
          <w:color w:val="auto"/>
        </w:rPr>
        <w:t>‑</w:t>
      </w:r>
      <w:r>
        <w:rPr>
          <w:rFonts w:ascii="Arial" w:cs="Arial" w:eastAsia="Arial" w:hAnsi="Arial"/>
          <w:sz w:val="17"/>
          <w:szCs w:val="17"/>
          <w:color w:val="auto"/>
        </w:rPr>
        <w:t>term and long</w:t>
      </w:r>
      <w:r>
        <w:rPr>
          <w:rFonts w:ascii="MS PGothic" w:cs="MS PGothic" w:eastAsia="MS PGothic" w:hAnsi="MS PGothic"/>
          <w:sz w:val="17"/>
          <w:szCs w:val="17"/>
          <w:color w:val="auto"/>
        </w:rPr>
        <w:t>‑</w:t>
      </w:r>
      <w:r>
        <w:rPr>
          <w:rFonts w:ascii="Arial" w:cs="Arial" w:eastAsia="Arial" w:hAnsi="Arial"/>
          <w:sz w:val="17"/>
          <w:szCs w:val="17"/>
          <w:color w:val="auto"/>
        </w:rPr>
        <w:t>term LIBOR rates, and short</w:t>
      </w:r>
      <w:r>
        <w:rPr>
          <w:rFonts w:ascii="MS PGothic" w:cs="MS PGothic" w:eastAsia="MS PGothic" w:hAnsi="MS PGothic"/>
          <w:sz w:val="17"/>
          <w:szCs w:val="17"/>
          <w:color w:val="auto"/>
        </w:rPr>
        <w:t>‑</w:t>
      </w:r>
      <w:r>
        <w:rPr>
          <w:rFonts w:ascii="Arial" w:cs="Arial" w:eastAsia="Arial" w:hAnsi="Arial"/>
          <w:sz w:val="17"/>
          <w:szCs w:val="17"/>
          <w:color w:val="auto"/>
        </w:rPr>
        <w:t>term Eurodollar rates, and their potential impact on our long</w:t>
      </w:r>
      <w:r>
        <w:rPr>
          <w:rFonts w:ascii="MS PGothic" w:cs="MS PGothic" w:eastAsia="MS PGothic" w:hAnsi="MS PGothic"/>
          <w:sz w:val="17"/>
          <w:szCs w:val="17"/>
          <w:color w:val="auto"/>
        </w:rPr>
        <w:t>‑</w:t>
      </w:r>
      <w:r>
        <w:rPr>
          <w:rFonts w:ascii="Arial" w:cs="Arial" w:eastAsia="Arial" w:hAnsi="Arial"/>
          <w:sz w:val="17"/>
          <w:szCs w:val="17"/>
          <w:color w:val="auto"/>
        </w:rPr>
        <w:t>term debt. We attempt to limit our exposure to interest rate risk by managing the mix of our long</w:t>
      </w:r>
      <w:r>
        <w:rPr>
          <w:rFonts w:ascii="MS PGothic" w:cs="MS PGothic" w:eastAsia="MS PGothic" w:hAnsi="MS PGothic"/>
          <w:sz w:val="17"/>
          <w:szCs w:val="17"/>
          <w:color w:val="auto"/>
        </w:rPr>
        <w:t>‑</w:t>
      </w:r>
      <w:r>
        <w:rPr>
          <w:rFonts w:ascii="Arial" w:cs="Arial" w:eastAsia="Arial" w:hAnsi="Arial"/>
          <w:sz w:val="17"/>
          <w:szCs w:val="17"/>
          <w:color w:val="auto"/>
        </w:rPr>
        <w:t>term fixed</w:t>
      </w:r>
      <w:r>
        <w:rPr>
          <w:rFonts w:ascii="MS PGothic" w:cs="MS PGothic" w:eastAsia="MS PGothic" w:hAnsi="MS PGothic"/>
          <w:sz w:val="17"/>
          <w:szCs w:val="17"/>
          <w:color w:val="auto"/>
        </w:rPr>
        <w:t>‑</w:t>
      </w:r>
      <w:r>
        <w:rPr>
          <w:rFonts w:ascii="Arial" w:cs="Arial" w:eastAsia="Arial" w:hAnsi="Arial"/>
          <w:sz w:val="17"/>
          <w:szCs w:val="17"/>
          <w:color w:val="auto"/>
        </w:rPr>
        <w:t>rate borrowings and short</w:t>
      </w:r>
      <w:r>
        <w:rPr>
          <w:rFonts w:ascii="MS PGothic" w:cs="MS PGothic" w:eastAsia="MS PGothic" w:hAnsi="MS PGothic"/>
          <w:sz w:val="17"/>
          <w:szCs w:val="17"/>
          <w:color w:val="auto"/>
        </w:rPr>
        <w:t>‑</w:t>
      </w:r>
      <w:r>
        <w:rPr>
          <w:rFonts w:ascii="Arial" w:cs="Arial" w:eastAsia="Arial" w:hAnsi="Arial"/>
          <w:sz w:val="17"/>
          <w:szCs w:val="17"/>
          <w:color w:val="auto"/>
        </w:rPr>
        <w:t>term borrowings under the New Credit Facility. We do not currently utilize derivative financial instruments for trading or speculative purposes. (See also “Liquidity and Capital Resources” above for additional information related to the recent refinancing of our long</w:t>
      </w:r>
      <w:r>
        <w:rPr>
          <w:rFonts w:ascii="MS PGothic" w:cs="MS PGothic" w:eastAsia="MS PGothic" w:hAnsi="MS PGothic"/>
          <w:sz w:val="17"/>
          <w:szCs w:val="17"/>
          <w:color w:val="auto"/>
        </w:rPr>
        <w:t>‑</w:t>
      </w:r>
      <w:r>
        <w:rPr>
          <w:rFonts w:ascii="Arial" w:cs="Arial" w:eastAsia="Arial" w:hAnsi="Arial"/>
          <w:sz w:val="17"/>
          <w:szCs w:val="17"/>
          <w:color w:val="auto"/>
        </w:rPr>
        <w:t>term debt.)</w:t>
      </w:r>
    </w:p>
    <w:p>
      <w:pPr>
        <w:spacing w:after="0" w:line="127" w:lineRule="exact"/>
        <w:rPr>
          <w:sz w:val="20"/>
          <w:szCs w:val="20"/>
          <w:color w:val="auto"/>
        </w:rPr>
      </w:pPr>
    </w:p>
    <w:p>
      <w:pPr>
        <w:ind w:right="20" w:firstLine="648"/>
        <w:spacing w:after="0" w:line="194" w:lineRule="exact"/>
        <w:rPr>
          <w:sz w:val="20"/>
          <w:szCs w:val="20"/>
          <w:color w:val="auto"/>
        </w:rPr>
      </w:pPr>
      <w:r>
        <w:rPr>
          <w:rFonts w:ascii="Arial" w:cs="Arial" w:eastAsia="Arial" w:hAnsi="Arial"/>
          <w:sz w:val="18"/>
          <w:szCs w:val="18"/>
          <w:color w:val="auto"/>
        </w:rPr>
        <w:t>As of March 31, 2016, our long</w:t>
      </w:r>
      <w:r>
        <w:rPr>
          <w:rFonts w:ascii="MS PGothic" w:cs="MS PGothic" w:eastAsia="MS PGothic" w:hAnsi="MS PGothic"/>
          <w:sz w:val="18"/>
          <w:szCs w:val="18"/>
          <w:color w:val="auto"/>
        </w:rPr>
        <w:t>‑</w:t>
      </w:r>
      <w:r>
        <w:rPr>
          <w:rFonts w:ascii="Arial" w:cs="Arial" w:eastAsia="Arial" w:hAnsi="Arial"/>
          <w:sz w:val="18"/>
          <w:szCs w:val="18"/>
          <w:color w:val="auto"/>
        </w:rPr>
        <w:t>term variable</w:t>
      </w:r>
      <w:r>
        <w:rPr>
          <w:rFonts w:ascii="MS PGothic" w:cs="MS PGothic" w:eastAsia="MS PGothic" w:hAnsi="MS PGothic"/>
          <w:sz w:val="18"/>
          <w:szCs w:val="18"/>
          <w:color w:val="auto"/>
        </w:rPr>
        <w:t>‑</w:t>
      </w:r>
      <w:r>
        <w:rPr>
          <w:rFonts w:ascii="Arial" w:cs="Arial" w:eastAsia="Arial" w:hAnsi="Arial"/>
          <w:sz w:val="18"/>
          <w:szCs w:val="18"/>
          <w:color w:val="auto"/>
        </w:rPr>
        <w:t>rate borrowings totaled $480.8 million comprised of $421.8 million under the New Term Loan and $59.0 million under the New Revolving Credit Facility and represented approximately 56% of our long</w:t>
      </w:r>
      <w:r>
        <w:rPr>
          <w:rFonts w:ascii="MS PGothic" w:cs="MS PGothic" w:eastAsia="MS PGothic" w:hAnsi="MS PGothic"/>
          <w:sz w:val="18"/>
          <w:szCs w:val="18"/>
          <w:color w:val="auto"/>
        </w:rPr>
        <w:t>‑</w:t>
      </w:r>
      <w:r>
        <w:rPr>
          <w:rFonts w:ascii="Arial" w:cs="Arial" w:eastAsia="Arial" w:hAnsi="Arial"/>
          <w:sz w:val="18"/>
          <w:szCs w:val="18"/>
          <w:color w:val="auto"/>
        </w:rPr>
        <w:t>term debt.</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was no material change in interest rate risk during the quarter ended March 31, 2016.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left="1320" w:hanging="669"/>
        <w:spacing w:after="0"/>
        <w:tabs>
          <w:tab w:leader="none" w:pos="1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44"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w:t>
      </w:r>
      <w:r>
        <w:rPr>
          <w:rFonts w:ascii="MS PGothic" w:cs="MS PGothic" w:eastAsia="MS PGothic" w:hAnsi="MS PGothic"/>
          <w:sz w:val="18"/>
          <w:szCs w:val="18"/>
          <w:color w:val="auto"/>
        </w:rPr>
        <w:t>‑</w:t>
      </w:r>
      <w:r>
        <w:rPr>
          <w:rFonts w:ascii="Arial" w:cs="Arial" w:eastAsia="Arial" w:hAnsi="Arial"/>
          <w:sz w:val="18"/>
          <w:szCs w:val="18"/>
          <w:color w:val="auto"/>
        </w:rPr>
        <w:t>benefit relationship of possible controls and procedures.</w:t>
      </w:r>
    </w:p>
    <w:p>
      <w:pPr>
        <w:spacing w:after="0" w:line="122" w:lineRule="exact"/>
        <w:rPr>
          <w:sz w:val="20"/>
          <w:szCs w:val="20"/>
          <w:color w:val="auto"/>
        </w:rPr>
      </w:pPr>
    </w:p>
    <w:p>
      <w:pPr>
        <w:ind w:right="160" w:firstLine="648"/>
        <w:spacing w:after="0" w:line="184" w:lineRule="exact"/>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 xml:space="preserve"> 15(e) and 15d</w:t>
      </w:r>
      <w:r>
        <w:rPr>
          <w:rFonts w:ascii="MS PGothic" w:cs="MS PGothic" w:eastAsia="MS PGothic" w:hAnsi="MS PGothic"/>
          <w:sz w:val="16"/>
          <w:szCs w:val="16"/>
          <w:color w:val="auto"/>
        </w:rPr>
        <w:t>‑</w:t>
      </w:r>
      <w:r>
        <w:rPr>
          <w:rFonts w:ascii="Arial" w:cs="Arial" w:eastAsia="Arial" w:hAnsi="Arial"/>
          <w:sz w:val="16"/>
          <w:szCs w:val="16"/>
          <w:color w:val="auto"/>
        </w:rPr>
        <w:t>15(e)) as of the end of the period covered by this</w:t>
      </w:r>
    </w:p>
    <w:p>
      <w:pPr>
        <w:spacing w:after="0" w:line="1" w:lineRule="exact"/>
        <w:rPr>
          <w:sz w:val="20"/>
          <w:szCs w:val="20"/>
          <w:color w:val="auto"/>
        </w:rPr>
      </w:pPr>
    </w:p>
    <w:p>
      <w:pPr>
        <w:spacing w:after="0" w:line="189" w:lineRule="exact"/>
        <w:rPr>
          <w:sz w:val="20"/>
          <w:szCs w:val="20"/>
          <w:color w:val="auto"/>
        </w:rPr>
      </w:pPr>
      <w:r>
        <w:rPr>
          <w:rFonts w:ascii="Arial" w:cs="Arial" w:eastAsia="Arial" w:hAnsi="Arial"/>
          <w:sz w:val="17"/>
          <w:szCs w:val="17"/>
          <w:color w:val="auto"/>
        </w:rPr>
        <w:t>Form 10</w:t>
      </w:r>
      <w:r>
        <w:rPr>
          <w:rFonts w:ascii="MS PGothic" w:cs="MS PGothic" w:eastAsia="MS PGothic" w:hAnsi="MS PGothic"/>
          <w:sz w:val="17"/>
          <w:szCs w:val="17"/>
          <w:color w:val="auto"/>
        </w:rPr>
        <w:t>‑</w:t>
      </w:r>
      <w:r>
        <w:rPr>
          <w:rFonts w:ascii="Arial" w:cs="Arial" w:eastAsia="Arial" w:hAnsi="Arial"/>
          <w:sz w:val="17"/>
          <w:szCs w:val="17"/>
          <w:color w:val="auto"/>
        </w:rPr>
        <w:t>Q Quarterly Report. They have concluded that our disclosure controls and procedures are effective to ensure that the information required to be disclosed by us in the reports that we file under the Exchange Act is recorded, processed, summarized, evaluated and reported within the time periods specified in SEC rules and forms.</w:t>
      </w:r>
    </w:p>
    <w:p>
      <w:pPr>
        <w:spacing w:after="0" w:line="162" w:lineRule="exact"/>
        <w:rPr>
          <w:sz w:val="20"/>
          <w:szCs w:val="20"/>
          <w:color w:val="auto"/>
        </w:rPr>
      </w:pPr>
    </w:p>
    <w:p>
      <w:pPr>
        <w:ind w:left="1660" w:hanging="1009"/>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144" w:lineRule="exact"/>
        <w:rPr>
          <w:sz w:val="20"/>
          <w:szCs w:val="20"/>
          <w:color w:val="auto"/>
        </w:rPr>
      </w:pPr>
    </w:p>
    <w:p>
      <w:pPr>
        <w:jc w:val="both"/>
        <w:ind w:right="160" w:firstLine="648"/>
        <w:spacing w:after="0" w:line="194" w:lineRule="exact"/>
        <w:rPr>
          <w:sz w:val="20"/>
          <w:szCs w:val="20"/>
          <w:color w:val="auto"/>
        </w:rPr>
      </w:pPr>
      <w:r>
        <w:rPr>
          <w:rFonts w:ascii="Arial" w:cs="Arial" w:eastAsia="Arial" w:hAnsi="Arial"/>
          <w:sz w:val="18"/>
          <w:szCs w:val="18"/>
          <w:color w:val="auto"/>
        </w:rPr>
        <w:t>There were no significant changes in our internal control over financial reporting identified in connection with the above evaluation that occurred during the period covered by this Form 10</w:t>
      </w:r>
      <w:r>
        <w:rPr>
          <w:rFonts w:ascii="MS PGothic" w:cs="MS PGothic" w:eastAsia="MS PGothic" w:hAnsi="MS PGothic"/>
          <w:sz w:val="18"/>
          <w:szCs w:val="18"/>
          <w:color w:val="auto"/>
        </w:rPr>
        <w:t>‑</w:t>
      </w:r>
      <w:r>
        <w:rPr>
          <w:rFonts w:ascii="Arial" w:cs="Arial" w:eastAsia="Arial" w:hAnsi="Arial"/>
          <w:sz w:val="18"/>
          <w:szCs w:val="18"/>
          <w:color w:val="auto"/>
        </w:rPr>
        <w:t>Q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jc w:val="center"/>
        <w:spacing w:after="0" w:line="203" w:lineRule="auto"/>
        <w:rPr>
          <w:sz w:val="20"/>
          <w:szCs w:val="20"/>
          <w:color w:val="auto"/>
        </w:rPr>
      </w:pPr>
      <w:r>
        <w:rPr>
          <w:rFonts w:ascii="Arial" w:cs="Arial" w:eastAsia="Arial" w:hAnsi="Arial"/>
          <w:sz w:val="18"/>
          <w:szCs w:val="18"/>
          <w:b w:val="1"/>
          <w:bCs w:val="1"/>
          <w:color w:val="auto"/>
        </w:rPr>
        <w:t>OTHER INFORMATION</w:t>
      </w: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22"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6"/>
          <w:szCs w:val="16"/>
          <w:color w:val="auto"/>
        </w:rPr>
        <w:t>Legal matters are discussed in greater detail in “Part I, Item 3. Legal Proceedings” and Note 16 to our Consolidated Financial statements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2015.</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40" w:firstLine="648"/>
        <w:spacing w:after="0" w:line="194" w:lineRule="exact"/>
        <w:rPr>
          <w:sz w:val="20"/>
          <w:szCs w:val="20"/>
          <w:color w:val="auto"/>
        </w:rPr>
      </w:pPr>
      <w:r>
        <w:rPr>
          <w:rFonts w:ascii="Arial" w:cs="Arial" w:eastAsia="Arial" w:hAnsi="Arial"/>
          <w:sz w:val="18"/>
          <w:szCs w:val="18"/>
          <w:color w:val="auto"/>
        </w:rPr>
        <w:t>A description of our risk factors can be found in “Part I, Item 1A. Risk Factors”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2015. There have been no material changes to those risk factors during the three months ended March 31, 2016.</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right"/>
              <w:ind w:right="93"/>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5920" w:type="dxa"/>
            <w:vAlign w:val="bottom"/>
            <w:vMerge w:val="restart"/>
          </w:tcPr>
          <w:p>
            <w:pPr>
              <w:jc w:val="right"/>
              <w:ind w:right="2208"/>
              <w:spacing w:after="0"/>
              <w:rPr>
                <w:sz w:val="20"/>
                <w:szCs w:val="20"/>
                <w:color w:val="auto"/>
              </w:rPr>
            </w:pPr>
            <w:r>
              <w:rPr>
                <w:rFonts w:ascii="Arial" w:cs="Arial" w:eastAsia="Arial" w:hAnsi="Arial"/>
                <w:sz w:val="14"/>
                <w:szCs w:val="14"/>
                <w:b w:val="1"/>
                <w:bCs w:val="1"/>
                <w:color w:val="auto"/>
              </w:rPr>
              <w:t>Description of Exhibit</w:t>
            </w:r>
          </w:p>
        </w:tc>
        <w:tc>
          <w:tcPr>
            <w:tcW w:w="160" w:type="dxa"/>
            <w:vAlign w:val="bottom"/>
          </w:tcPr>
          <w:p>
            <w:pPr>
              <w:spacing w:after="0"/>
              <w:rPr>
                <w:sz w:val="14"/>
                <w:szCs w:val="14"/>
                <w:color w:val="auto"/>
              </w:rPr>
            </w:pPr>
          </w:p>
        </w:tc>
        <w:tc>
          <w:tcPr>
            <w:tcW w:w="200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Method of Filing</w:t>
            </w:r>
          </w:p>
        </w:tc>
        <w:tc>
          <w:tcPr>
            <w:tcW w:w="0" w:type="dxa"/>
            <w:vAlign w:val="bottom"/>
          </w:tcPr>
          <w:p>
            <w:pPr>
              <w:spacing w:after="0"/>
              <w:rPr>
                <w:sz w:val="1"/>
                <w:szCs w:val="1"/>
                <w:color w:val="auto"/>
              </w:rPr>
            </w:pPr>
          </w:p>
        </w:tc>
      </w:tr>
      <w:tr>
        <w:trPr>
          <w:trHeight w:val="162"/>
        </w:trPr>
        <w:tc>
          <w:tcPr>
            <w:tcW w:w="8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4"/>
                <w:szCs w:val="14"/>
                <w:color w:val="auto"/>
              </w:rPr>
            </w:pPr>
          </w:p>
        </w:tc>
        <w:tc>
          <w:tcPr>
            <w:tcW w:w="592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1"/>
        </w:trPr>
        <w:tc>
          <w:tcPr>
            <w:tcW w:w="820" w:type="dxa"/>
            <w:vAlign w:val="bottom"/>
          </w:tcPr>
          <w:p>
            <w:pPr>
              <w:jc w:val="right"/>
              <w:spacing w:after="0"/>
              <w:rPr>
                <w:sz w:val="20"/>
                <w:szCs w:val="20"/>
                <w:color w:val="auto"/>
              </w:rPr>
            </w:pPr>
            <w:r>
              <w:rPr>
                <w:rFonts w:ascii="Arial" w:cs="Arial" w:eastAsia="Arial" w:hAnsi="Arial"/>
                <w:sz w:val="18"/>
                <w:szCs w:val="18"/>
                <w:color w:val="auto"/>
              </w:rPr>
              <w:t>31.1</w:t>
            </w:r>
          </w:p>
        </w:tc>
        <w:tc>
          <w:tcPr>
            <w:tcW w:w="608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6"/>
              </w:rPr>
              <w:t>Certification of Gary L. Carano pursuant to Rule 13a</w:t>
            </w:r>
            <w:r>
              <w:rPr>
                <w:rFonts w:ascii="MS PGothic" w:cs="MS PGothic" w:eastAsia="MS PGothic" w:hAnsi="MS PGothic"/>
                <w:sz w:val="18"/>
                <w:szCs w:val="18"/>
                <w:color w:val="auto"/>
                <w:w w:val="96"/>
              </w:rPr>
              <w:t>‑</w:t>
            </w:r>
            <w:r>
              <w:rPr>
                <w:rFonts w:ascii="Arial" w:cs="Arial" w:eastAsia="Arial" w:hAnsi="Arial"/>
                <w:sz w:val="18"/>
                <w:szCs w:val="18"/>
                <w:color w:val="auto"/>
                <w:w w:val="96"/>
              </w:rPr>
              <w:t>14a and Rule 15d</w:t>
            </w:r>
            <w:r>
              <w:rPr>
                <w:rFonts w:ascii="MS PGothic" w:cs="MS PGothic" w:eastAsia="MS PGothic" w:hAnsi="MS PGothic"/>
                <w:sz w:val="18"/>
                <w:szCs w:val="18"/>
                <w:color w:val="auto"/>
                <w:w w:val="96"/>
              </w:rPr>
              <w:t>‑</w:t>
            </w:r>
            <w:r>
              <w:rPr>
                <w:rFonts w:ascii="Arial" w:cs="Arial" w:eastAsia="Arial" w:hAnsi="Arial"/>
                <w:sz w:val="18"/>
                <w:szCs w:val="18"/>
                <w:color w:val="auto"/>
                <w:w w:val="96"/>
              </w:rPr>
              <w:t>14(a)</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31.2</w:t>
            </w:r>
          </w:p>
        </w:tc>
        <w:tc>
          <w:tcPr>
            <w:tcW w:w="6080" w:type="dxa"/>
            <w:vAlign w:val="bottom"/>
            <w:gridSpan w:val="2"/>
          </w:tcPr>
          <w:p>
            <w:pPr>
              <w:ind w:left="160"/>
              <w:spacing w:after="0" w:line="207" w:lineRule="exact"/>
              <w:rPr>
                <w:sz w:val="20"/>
                <w:szCs w:val="20"/>
                <w:color w:val="auto"/>
              </w:rPr>
            </w:pPr>
            <w:r>
              <w:rPr>
                <w:rFonts w:ascii="Arial" w:cs="Arial" w:eastAsia="Arial" w:hAnsi="Arial"/>
                <w:sz w:val="18"/>
                <w:szCs w:val="18"/>
                <w:color w:val="auto"/>
                <w:w w:val="94"/>
              </w:rPr>
              <w:t>Certification of Thomas R. Reeg pursuant to Rule 13a</w:t>
            </w:r>
            <w:r>
              <w:rPr>
                <w:rFonts w:ascii="MS PGothic" w:cs="MS PGothic" w:eastAsia="MS PGothic" w:hAnsi="MS PGothic"/>
                <w:sz w:val="18"/>
                <w:szCs w:val="18"/>
                <w:color w:val="auto"/>
                <w:w w:val="94"/>
              </w:rPr>
              <w:t>‑</w:t>
            </w:r>
            <w:r>
              <w:rPr>
                <w:rFonts w:ascii="Arial" w:cs="Arial" w:eastAsia="Arial" w:hAnsi="Arial"/>
                <w:sz w:val="18"/>
                <w:szCs w:val="18"/>
                <w:color w:val="auto"/>
                <w:w w:val="94"/>
              </w:rPr>
              <w:t>14a and Rule 15d</w:t>
            </w:r>
            <w:r>
              <w:rPr>
                <w:rFonts w:ascii="MS PGothic" w:cs="MS PGothic" w:eastAsia="MS PGothic" w:hAnsi="MS PGothic"/>
                <w:sz w:val="18"/>
                <w:szCs w:val="18"/>
                <w:color w:val="auto"/>
                <w:w w:val="94"/>
              </w:rPr>
              <w:t>‑</w:t>
            </w:r>
            <w:r>
              <w:rPr>
                <w:rFonts w:ascii="Arial" w:cs="Arial" w:eastAsia="Arial" w:hAnsi="Arial"/>
                <w:sz w:val="18"/>
                <w:szCs w:val="18"/>
                <w:color w:val="auto"/>
                <w:w w:val="94"/>
              </w:rPr>
              <w:t>14(a)</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w w:val="99"/>
              </w:rPr>
              <w:t>Certification of Gary L. Carano in accordance with 18 U.S.C. Section 1350</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32.2</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w w:val="97"/>
              </w:rPr>
              <w:t>Certification of Thomas R. Reeg in accordance with 18 U.S.C. Section 1350</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Instance Document</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Schema Document</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392"/>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6080" w:type="dxa"/>
            <w:vAlign w:val="bottom"/>
            <w:gridSpan w:val="2"/>
          </w:tcPr>
          <w:p>
            <w:pPr>
              <w:ind w:left="160"/>
              <w:spacing w:after="0"/>
              <w:rPr>
                <w:sz w:val="20"/>
                <w:szCs w:val="20"/>
                <w:color w:val="auto"/>
              </w:rPr>
            </w:pPr>
            <w:r>
              <w:rPr>
                <w:rFonts w:ascii="Arial" w:cs="Arial" w:eastAsia="Arial" w:hAnsi="Arial"/>
                <w:sz w:val="18"/>
                <w:szCs w:val="18"/>
                <w:color w:val="auto"/>
              </w:rPr>
              <w:t>XBRL Taxonomy Extension Presentation Linkbase Document</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824"/>
        </w:trPr>
        <w:tc>
          <w:tcPr>
            <w:tcW w:w="820" w:type="dxa"/>
            <w:vAlign w:val="bottom"/>
          </w:tcPr>
          <w:p>
            <w:pPr>
              <w:spacing w:after="0"/>
              <w:rPr>
                <w:sz w:val="24"/>
                <w:szCs w:val="24"/>
                <w:color w:val="auto"/>
              </w:rPr>
            </w:pPr>
          </w:p>
        </w:tc>
        <w:tc>
          <w:tcPr>
            <w:tcW w:w="6080" w:type="dxa"/>
            <w:vAlign w:val="bottom"/>
            <w:gridSpan w:val="2"/>
          </w:tcPr>
          <w:p>
            <w:pPr>
              <w:jc w:val="right"/>
              <w:ind w:right="2208"/>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9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39" w:firstLine="648"/>
        <w:spacing w:after="0" w:line="235"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ELDORADO RESORTS, INC.</w:t>
      </w:r>
    </w:p>
    <w:p>
      <w:pPr>
        <w:spacing w:after="0" w:line="324" w:lineRule="exact"/>
        <w:rPr>
          <w:sz w:val="20"/>
          <w:szCs w:val="20"/>
          <w:color w:val="auto"/>
        </w:rPr>
      </w:pPr>
    </w:p>
    <w:p>
      <w:pPr>
        <w:ind w:left="6160" w:right="1539" w:hanging="6270"/>
        <w:spacing w:after="0" w:line="248" w:lineRule="auto"/>
        <w:tabs>
          <w:tab w:leader="none" w:pos="614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6"/>
          <w:szCs w:val="16"/>
          <w:color w:val="auto"/>
        </w:rPr>
        <w:t>/s/ Gary L. Carano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-111760</wp:posOffset>
            </wp:positionV>
            <wp:extent cx="28301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7"/>
          <w:szCs w:val="17"/>
          <w:i w:val="1"/>
          <w:iCs w:val="1"/>
          <w:color w:val="auto"/>
        </w:rPr>
        <w:t>Chief Executive Officer and Chairman of the Board</w:t>
      </w:r>
    </w:p>
    <w:p>
      <w:pPr>
        <w:spacing w:after="0" w:line="315" w:lineRule="exact"/>
        <w:rPr>
          <w:sz w:val="20"/>
          <w:szCs w:val="20"/>
          <w:color w:val="auto"/>
        </w:rPr>
      </w:pPr>
    </w:p>
    <w:p>
      <w:pPr>
        <w:ind w:left="6120" w:right="1499" w:hanging="6230"/>
        <w:spacing w:after="0" w:line="264" w:lineRule="auto"/>
        <w:tabs>
          <w:tab w:leader="none" w:pos="6100" w:val="left"/>
        </w:tabs>
        <w:rPr>
          <w:sz w:val="20"/>
          <w:szCs w:val="20"/>
          <w:color w:val="auto"/>
        </w:rPr>
      </w:pPr>
      <w:r>
        <w:rPr>
          <w:rFonts w:ascii="Arial" w:cs="Arial" w:eastAsia="Arial" w:hAnsi="Arial"/>
          <w:sz w:val="18"/>
          <w:szCs w:val="18"/>
          <w:color w:val="auto"/>
        </w:rPr>
        <w:t>Date: May 10, 2016</w:t>
      </w:r>
      <w:r>
        <w:rPr>
          <w:sz w:val="20"/>
          <w:szCs w:val="20"/>
          <w:color w:val="auto"/>
        </w:rPr>
        <w:tab/>
      </w:r>
      <w:r>
        <w:rPr>
          <w:rFonts w:ascii="Arial" w:cs="Arial" w:eastAsia="Arial" w:hAnsi="Arial"/>
          <w:sz w:val="15"/>
          <w:szCs w:val="15"/>
          <w:color w:val="auto"/>
        </w:rPr>
        <w:t>/s/ Thomas R. Reeg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-111125</wp:posOffset>
            </wp:positionV>
            <wp:extent cx="28301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jc w:val="center"/>
        <w:ind w:left="4620"/>
        <w:spacing w:after="0" w:line="204" w:lineRule="auto"/>
        <w:rPr>
          <w:sz w:val="20"/>
          <w:szCs w:val="20"/>
          <w:color w:val="auto"/>
        </w:rPr>
      </w:pPr>
      <w:r>
        <w:rPr>
          <w:rFonts w:ascii="Arial" w:cs="Arial" w:eastAsia="Arial" w:hAnsi="Arial"/>
          <w:sz w:val="18"/>
          <w:szCs w:val="18"/>
          <w:i w:val="1"/>
          <w:iCs w:val="1"/>
          <w:color w:val="auto"/>
        </w:rPr>
        <w:t>President and Chief Financial Officer</w:t>
      </w:r>
    </w:p>
    <w:p>
      <w:pPr>
        <w:spacing w:after="0" w:line="1"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17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185" w:lineRule="exact"/>
        <w:rPr>
          <w:sz w:val="20"/>
          <w:szCs w:val="20"/>
          <w:color w:val="auto"/>
        </w:rPr>
      </w:pPr>
    </w:p>
    <w:p>
      <w:pPr>
        <w:ind w:left="520" w:hanging="517"/>
        <w:spacing w:after="0" w:line="207" w:lineRule="exact"/>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84" w:lineRule="exact"/>
        <w:rPr>
          <w:rFonts w:ascii="Arial" w:cs="Arial" w:eastAsia="Arial" w:hAnsi="Arial"/>
          <w:sz w:val="18"/>
          <w:szCs w:val="18"/>
          <w:color w:val="auto"/>
        </w:rPr>
      </w:pPr>
    </w:p>
    <w:p>
      <w:pPr>
        <w:jc w:val="both"/>
        <w:ind w:left="440" w:right="80" w:hanging="437"/>
        <w:spacing w:after="0" w:line="22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right="40" w:hanging="437"/>
        <w:spacing w:after="0" w:line="22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jc w:val="both"/>
        <w:ind w:left="440" w:right="200" w:hanging="437"/>
        <w:spacing w:after="0" w:line="194" w:lineRule="exact"/>
        <w:tabs>
          <w:tab w:leader="none" w:pos="4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161" w:lineRule="exact"/>
        <w:rPr>
          <w:rFonts w:ascii="Arial" w:cs="Arial" w:eastAsia="Arial" w:hAnsi="Arial"/>
          <w:sz w:val="17"/>
          <w:szCs w:val="17"/>
          <w:color w:val="auto"/>
        </w:rPr>
      </w:pPr>
    </w:p>
    <w:p>
      <w:pPr>
        <w:ind w:left="1100" w:right="180" w:hanging="449"/>
        <w:spacing w:after="0" w:line="219"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120" w:hanging="469"/>
        <w:spacing w:after="0" w:line="219"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jc w:val="both"/>
        <w:ind w:left="1100" w:right="180" w:hanging="449"/>
        <w:spacing w:after="0" w:line="224"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120" w:right="280" w:hanging="469"/>
        <w:spacing w:after="0" w:line="224"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40" w:right="260" w:hanging="437"/>
        <w:spacing w:after="0" w:line="224"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8"/>
          <w:szCs w:val="18"/>
          <w:color w:val="auto"/>
        </w:rPr>
      </w:pPr>
    </w:p>
    <w:p>
      <w:pPr>
        <w:ind w:left="1100" w:right="240" w:hanging="449"/>
        <w:spacing w:after="0" w:line="224" w:lineRule="auto"/>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120" w:right="100" w:hanging="469"/>
        <w:spacing w:after="0" w:line="235"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8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620"/>
        <w:spacing w:after="0" w:line="232" w:lineRule="auto"/>
        <w:rPr>
          <w:sz w:val="20"/>
          <w:szCs w:val="20"/>
          <w:color w:val="auto"/>
        </w:rPr>
      </w:pPr>
      <w:r>
        <w:rPr>
          <w:rFonts w:ascii="Arial" w:cs="Arial" w:eastAsia="Arial" w:hAnsi="Arial"/>
          <w:sz w:val="18"/>
          <w:szCs w:val="18"/>
          <w:color w:val="auto"/>
        </w:rPr>
        <w:t>Gary L. Carano</w:t>
      </w:r>
    </w:p>
    <w:p>
      <w:pPr>
        <w:spacing w:after="0" w:line="1"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561975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173"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CERTIFICATION PURSUANT TO RULE 13a</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 AND 15d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14(a)</w:t>
      </w: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 Thomas R. Reeg, certify that:</w:t>
      </w:r>
    </w:p>
    <w:p>
      <w:pPr>
        <w:spacing w:after="0" w:line="185" w:lineRule="exact"/>
        <w:rPr>
          <w:sz w:val="20"/>
          <w:szCs w:val="20"/>
          <w:color w:val="auto"/>
        </w:rPr>
      </w:pPr>
    </w:p>
    <w:p>
      <w:pPr>
        <w:ind w:left="680" w:hanging="677"/>
        <w:spacing w:after="0" w:line="207" w:lineRule="exact"/>
        <w:tabs>
          <w:tab w:leader="none" w:pos="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Eldorado Resorts, Inc.;</w:t>
      </w:r>
    </w:p>
    <w:p>
      <w:pPr>
        <w:spacing w:after="0" w:line="184" w:lineRule="exact"/>
        <w:rPr>
          <w:rFonts w:ascii="Arial" w:cs="Arial" w:eastAsia="Arial" w:hAnsi="Arial"/>
          <w:sz w:val="18"/>
          <w:szCs w:val="18"/>
          <w:color w:val="auto"/>
        </w:rPr>
      </w:pPr>
    </w:p>
    <w:p>
      <w:pPr>
        <w:ind w:left="660" w:right="380" w:hanging="657"/>
        <w:spacing w:after="0" w:line="224"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80" w:hanging="657"/>
        <w:spacing w:after="0" w:line="224"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660" w:right="260" w:hanging="657"/>
        <w:spacing w:after="0" w:line="194" w:lineRule="exact"/>
        <w:tabs>
          <w:tab w:leader="none" w:pos="6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and internal control over financial reporting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15(f)) for the registrant and have:</w:t>
      </w:r>
    </w:p>
    <w:p>
      <w:pPr>
        <w:spacing w:after="0" w:line="163" w:lineRule="exact"/>
        <w:rPr>
          <w:rFonts w:ascii="Arial" w:cs="Arial" w:eastAsia="Arial" w:hAnsi="Arial"/>
          <w:sz w:val="16"/>
          <w:szCs w:val="16"/>
          <w:color w:val="auto"/>
        </w:rPr>
      </w:pPr>
    </w:p>
    <w:p>
      <w:pPr>
        <w:ind w:left="1300" w:right="80" w:hanging="649"/>
        <w:spacing w:after="0" w:line="219" w:lineRule="auto"/>
        <w:tabs>
          <w:tab w:leader="none" w:pos="13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1300" w:right="80" w:hanging="649"/>
        <w:spacing w:after="0" w:line="219" w:lineRule="auto"/>
        <w:tabs>
          <w:tab w:leader="none" w:pos="13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40" w:hanging="657"/>
        <w:spacing w:after="0" w:line="224" w:lineRule="auto"/>
        <w:tabs>
          <w:tab w:leader="none" w:pos="6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3" w:lineRule="exact"/>
        <w:rPr>
          <w:rFonts w:ascii="Arial" w:cs="Arial" w:eastAsia="Arial" w:hAnsi="Arial"/>
          <w:sz w:val="18"/>
          <w:szCs w:val="18"/>
          <w:color w:val="auto"/>
        </w:rPr>
      </w:pPr>
    </w:p>
    <w:p>
      <w:pPr>
        <w:ind w:left="1300" w:right="40" w:hanging="649"/>
        <w:spacing w:after="0" w:line="224" w:lineRule="auto"/>
        <w:tabs>
          <w:tab w:leader="none" w:pos="13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180" w:hanging="649"/>
        <w:spacing w:after="0" w:line="235" w:lineRule="auto"/>
        <w:tabs>
          <w:tab w:leader="none" w:pos="134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7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Thomas R. Reeg</w:t>
      </w:r>
    </w:p>
    <w:p>
      <w:pPr>
        <w:ind w:left="4540"/>
        <w:spacing w:after="0" w:line="219" w:lineRule="auto"/>
        <w:rPr>
          <w:sz w:val="20"/>
          <w:szCs w:val="20"/>
          <w:color w:val="auto"/>
        </w:rPr>
      </w:pPr>
      <w:r>
        <w:rPr>
          <w:rFonts w:ascii="Arial" w:cs="Arial" w:eastAsia="Arial" w:hAnsi="Arial"/>
          <w:sz w:val="18"/>
          <w:szCs w:val="18"/>
          <w:i w:val="1"/>
          <w:iCs w:val="1"/>
          <w:color w:val="auto"/>
        </w:rPr>
        <w:t>President and Chief Financial Officer</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561975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283" w:right="141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of</w:t>
      </w:r>
    </w:p>
    <w:p>
      <w:pPr>
        <w:jc w:val="center"/>
        <w:spacing w:after="0" w:line="204" w:lineRule="auto"/>
        <w:rPr>
          <w:sz w:val="20"/>
          <w:szCs w:val="20"/>
          <w:color w:val="auto"/>
        </w:rPr>
      </w:pPr>
      <w:r>
        <w:rPr>
          <w:rFonts w:ascii="Arial" w:cs="Arial" w:eastAsia="Arial" w:hAnsi="Arial"/>
          <w:sz w:val="18"/>
          <w:szCs w:val="18"/>
          <w:b w:val="1"/>
          <w:bCs w:val="1"/>
          <w:color w:val="auto"/>
        </w:rPr>
        <w:t>Gary L. Carano</w:t>
      </w: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169" w:lineRule="exact"/>
        <w:rPr>
          <w:sz w:val="20"/>
          <w:szCs w:val="20"/>
          <w:color w:val="auto"/>
        </w:rPr>
      </w:pPr>
    </w:p>
    <w:p>
      <w:pPr>
        <w:jc w:val="both"/>
        <w:ind w:right="60" w:firstLine="648"/>
        <w:spacing w:after="0" w:line="194" w:lineRule="exact"/>
        <w:rPr>
          <w:sz w:val="20"/>
          <w:szCs w:val="20"/>
          <w:color w:val="auto"/>
        </w:rPr>
      </w:pPr>
      <w:r>
        <w:rPr>
          <w:rFonts w:ascii="Arial" w:cs="Arial" w:eastAsia="Arial" w:hAnsi="Arial"/>
          <w:sz w:val="18"/>
          <w:szCs w:val="18"/>
          <w:color w:val="auto"/>
        </w:rPr>
        <w:t>I, Gary L. Carano, Chief Executive Officer and Chairman of the Board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3" w:lineRule="exact"/>
        <w:rPr>
          <w:sz w:val="20"/>
          <w:szCs w:val="20"/>
          <w:color w:val="auto"/>
        </w:rPr>
      </w:pPr>
    </w:p>
    <w:p>
      <w:pPr>
        <w:jc w:val="both"/>
        <w:ind w:left="1100" w:right="340" w:hanging="449"/>
        <w:spacing w:after="0" w:line="194" w:lineRule="exact"/>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March 31, 2016 (the “Periodic Report”) fully complies with the requirements of Section 13(a) or 15(d) of the Securities Exchange Act of 1934 (15 U.S.C. 78m or 78o(d)); and</w:t>
      </w:r>
    </w:p>
    <w:p>
      <w:pPr>
        <w:spacing w:after="0" w:line="163" w:lineRule="exact"/>
        <w:rPr>
          <w:rFonts w:ascii="Arial" w:cs="Arial" w:eastAsia="Arial" w:hAnsi="Arial"/>
          <w:sz w:val="18"/>
          <w:szCs w:val="18"/>
          <w:color w:val="auto"/>
        </w:rPr>
      </w:pPr>
    </w:p>
    <w:p>
      <w:pPr>
        <w:ind w:left="1100" w:right="500" w:hanging="449"/>
        <w:spacing w:after="0" w:line="235"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Gary L. Carano</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of</w:t>
      </w:r>
    </w:p>
    <w:p>
      <w:pPr>
        <w:jc w:val="center"/>
        <w:spacing w:after="0" w:line="204" w:lineRule="auto"/>
        <w:rPr>
          <w:sz w:val="20"/>
          <w:szCs w:val="20"/>
          <w:color w:val="auto"/>
        </w:rPr>
      </w:pPr>
      <w:r>
        <w:rPr>
          <w:rFonts w:ascii="Arial" w:cs="Arial" w:eastAsia="Arial" w:hAnsi="Arial"/>
          <w:sz w:val="18"/>
          <w:szCs w:val="18"/>
          <w:b w:val="1"/>
          <w:bCs w:val="1"/>
          <w:color w:val="auto"/>
        </w:rPr>
        <w:t>Thomas R. Reeg</w:t>
      </w:r>
    </w:p>
    <w:p>
      <w:pPr>
        <w:jc w:val="center"/>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169" w:lineRule="exact"/>
        <w:rPr>
          <w:sz w:val="20"/>
          <w:szCs w:val="20"/>
          <w:color w:val="auto"/>
        </w:rPr>
      </w:pPr>
    </w:p>
    <w:p>
      <w:pPr>
        <w:jc w:val="both"/>
        <w:ind w:right="260" w:firstLine="648"/>
        <w:spacing w:after="0" w:line="194" w:lineRule="exact"/>
        <w:rPr>
          <w:sz w:val="20"/>
          <w:szCs w:val="20"/>
          <w:color w:val="auto"/>
        </w:rPr>
      </w:pPr>
      <w:r>
        <w:rPr>
          <w:rFonts w:ascii="Arial" w:cs="Arial" w:eastAsia="Arial" w:hAnsi="Arial"/>
          <w:sz w:val="18"/>
          <w:szCs w:val="18"/>
          <w:color w:val="auto"/>
        </w:rPr>
        <w:t>I, Thomas R. Reeg, President and Chief Financial Officer of Eldorado Resorts, Inc. (the “Company”), do hereby certify in accordance with 18 U.S.C. 1350, as adopted pursuant to Section 906 of the Sarbanes</w:t>
      </w:r>
      <w:r>
        <w:rPr>
          <w:rFonts w:ascii="MS PGothic" w:cs="MS PGothic" w:eastAsia="MS PGothic" w:hAnsi="MS PGothic"/>
          <w:sz w:val="18"/>
          <w:szCs w:val="18"/>
          <w:color w:val="auto"/>
        </w:rPr>
        <w:t>‑</w:t>
      </w:r>
      <w:r>
        <w:rPr>
          <w:rFonts w:ascii="Arial" w:cs="Arial" w:eastAsia="Arial" w:hAnsi="Arial"/>
          <w:sz w:val="18"/>
          <w:szCs w:val="18"/>
          <w:color w:val="auto"/>
        </w:rPr>
        <w:t>Oxley Act of 2002, that, to my knowledge:</w:t>
      </w:r>
    </w:p>
    <w:p>
      <w:pPr>
        <w:spacing w:after="0" w:line="163" w:lineRule="exact"/>
        <w:rPr>
          <w:sz w:val="20"/>
          <w:szCs w:val="20"/>
          <w:color w:val="auto"/>
        </w:rPr>
      </w:pPr>
    </w:p>
    <w:p>
      <w:pPr>
        <w:jc w:val="both"/>
        <w:ind w:left="1100" w:right="340" w:hanging="449"/>
        <w:spacing w:after="0" w:line="194" w:lineRule="exact"/>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of the Company for the period ended March 31, 2016 (the “Periodic Report”) fully complies with the requirements of Section 13(a) or 15(d) of the Securities Exchange Act of 1934 (15 U.S.C. 78m or 78o(d)); and</w:t>
      </w:r>
    </w:p>
    <w:p>
      <w:pPr>
        <w:spacing w:after="0" w:line="163" w:lineRule="exact"/>
        <w:rPr>
          <w:rFonts w:ascii="Arial" w:cs="Arial" w:eastAsia="Arial" w:hAnsi="Arial"/>
          <w:sz w:val="18"/>
          <w:szCs w:val="18"/>
          <w:color w:val="auto"/>
        </w:rPr>
      </w:pPr>
    </w:p>
    <w:p>
      <w:pPr>
        <w:ind w:left="1100" w:right="500" w:hanging="449"/>
        <w:spacing w:after="0" w:line="235"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2016</w:t>
      </w:r>
    </w:p>
    <w:p>
      <w:pPr>
        <w:spacing w:after="0" w:line="18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6350</wp:posOffset>
            </wp:positionV>
            <wp:extent cx="28727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32" w:lineRule="auto"/>
        <w:rPr>
          <w:sz w:val="20"/>
          <w:szCs w:val="20"/>
          <w:color w:val="auto"/>
        </w:rPr>
      </w:pPr>
      <w:r>
        <w:rPr>
          <w:rFonts w:ascii="Arial" w:cs="Arial" w:eastAsia="Arial" w:hAnsi="Arial"/>
          <w:sz w:val="18"/>
          <w:szCs w:val="18"/>
          <w:color w:val="auto"/>
        </w:rPr>
        <w:t>Thomas R. Reeg</w:t>
      </w:r>
    </w:p>
    <w:p>
      <w:pPr>
        <w:spacing w:after="0" w:line="1"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424815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520"/>
    </w:lvl>
  </w:abstractNum>
  <w:abstractNum w:abstractNumId="4">
    <w:nsid w:val="DED7263"/>
    <w:multiLevelType w:val="hybridMultilevel"/>
    <w:lvl w:ilvl="0">
      <w:lvlJc w:val="left"/>
      <w:lvlText w:val="(%1)"/>
      <w:numFmt w:val="decimal"/>
      <w:start w:val="66"/>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2"/>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2020-01-20T11:53:23Z</dcterms:created>
  <dcterms:modified xsi:type="dcterms:W3CDTF">2020-01-20T11:53:23Z</dcterms:modified>
</cp:coreProperties>
</file>