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jc w:val="center"/>
        <w:ind w:right="-19"/>
        <w:spacing w:after="0" w:line="213"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46" w:lineRule="exact"/>
        <w:rPr>
          <w:sz w:val="24"/>
          <w:szCs w:val="24"/>
          <w:color w:val="auto"/>
        </w:rPr>
      </w:pPr>
    </w:p>
    <w:p>
      <w:pPr>
        <w:jc w:val="center"/>
        <w:ind w:right="-19"/>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940" w:hanging="544"/>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4"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2015</w:t>
      </w:r>
    </w:p>
    <w:p>
      <w:pPr>
        <w:spacing w:after="0" w:line="38" w:lineRule="exact"/>
        <w:rPr>
          <w:rFonts w:ascii="MS PGothic" w:cs="MS PGothic" w:eastAsia="MS PGothic" w:hAnsi="MS PGothic"/>
          <w:sz w:val="18"/>
          <w:szCs w:val="18"/>
          <w:color w:val="auto"/>
        </w:rPr>
      </w:pPr>
    </w:p>
    <w:p>
      <w:pPr>
        <w:ind w:left="50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940" w:hanging="544"/>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220" w:type="dxa"/>
            <w:vAlign w:val="bottom"/>
            <w:gridSpan w:val="3"/>
          </w:tcPr>
          <w:p>
            <w:pPr>
              <w:ind w:left="420"/>
              <w:spacing w:after="0"/>
              <w:rPr>
                <w:sz w:val="20"/>
                <w:szCs w:val="20"/>
                <w:color w:val="auto"/>
              </w:rPr>
            </w:pPr>
            <w:r>
              <w:rPr>
                <w:rFonts w:ascii="Arial" w:cs="Arial" w:eastAsia="Arial" w:hAnsi="Arial"/>
                <w:sz w:val="16"/>
                <w:szCs w:val="16"/>
                <w:b w:val="1"/>
                <w:bCs w:val="1"/>
                <w:color w:val="auto"/>
                <w:w w:val="96"/>
              </w:rPr>
              <w:t>For the transition period</w:t>
            </w:r>
          </w:p>
        </w:tc>
        <w:tc>
          <w:tcPr>
            <w:tcW w:w="2840" w:type="dxa"/>
            <w:vAlign w:val="bottom"/>
          </w:tcPr>
          <w:p>
            <w:pPr>
              <w:ind w:left="560"/>
              <w:spacing w:after="0"/>
              <w:rPr>
                <w:sz w:val="20"/>
                <w:szCs w:val="20"/>
                <w:color w:val="auto"/>
              </w:rPr>
            </w:pPr>
            <w:r>
              <w:rPr>
                <w:rFonts w:ascii="Arial" w:cs="Arial" w:eastAsia="Arial" w:hAnsi="Arial"/>
                <w:sz w:val="16"/>
                <w:szCs w:val="16"/>
                <w:b w:val="1"/>
                <w:bCs w:val="1"/>
                <w:color w:val="auto"/>
              </w:rPr>
              <w:t>to</w:t>
            </w:r>
          </w:p>
        </w:tc>
      </w:tr>
      <w:tr>
        <w:trPr>
          <w:trHeight w:val="270"/>
        </w:trPr>
        <w:tc>
          <w:tcPr>
            <w:tcW w:w="3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300" w:type="dxa"/>
            <w:vAlign w:val="bottom"/>
            <w:gridSpan w:val="3"/>
          </w:tcPr>
          <w:p>
            <w:pPr>
              <w:jc w:val="center"/>
              <w:ind w:right="1839"/>
              <w:spacing w:after="0" w:line="184" w:lineRule="exact"/>
              <w:rPr>
                <w:sz w:val="20"/>
                <w:szCs w:val="20"/>
                <w:color w:val="auto"/>
              </w:rPr>
            </w:pPr>
            <w:r>
              <w:rPr>
                <w:rFonts w:ascii="Arial" w:cs="Arial" w:eastAsia="Arial" w:hAnsi="Arial"/>
                <w:sz w:val="16"/>
                <w:szCs w:val="16"/>
                <w:b w:val="1"/>
                <w:bCs w:val="1"/>
                <w:color w:val="auto"/>
                <w:w w:val="91"/>
              </w:rPr>
              <w:t>Commission File No. 001</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36629</w:t>
            </w:r>
          </w:p>
        </w:tc>
      </w:tr>
      <w:tr>
        <w:trPr>
          <w:trHeight w:val="307"/>
        </w:trPr>
        <w:tc>
          <w:tcPr>
            <w:tcW w:w="3260" w:type="dxa"/>
            <w:vAlign w:val="bottom"/>
          </w:tcPr>
          <w:p>
            <w:pPr>
              <w:spacing w:after="0"/>
              <w:rPr>
                <w:sz w:val="24"/>
                <w:szCs w:val="24"/>
                <w:color w:val="auto"/>
              </w:rPr>
            </w:pPr>
          </w:p>
        </w:tc>
        <w:tc>
          <w:tcPr>
            <w:tcW w:w="5060" w:type="dxa"/>
            <w:vAlign w:val="bottom"/>
            <w:gridSpan w:val="4"/>
          </w:tcPr>
          <w:p>
            <w:pPr>
              <w:jc w:val="center"/>
              <w:ind w:right="1079"/>
              <w:spacing w:after="0"/>
              <w:rPr>
                <w:sz w:val="20"/>
                <w:szCs w:val="20"/>
                <w:color w:val="auto"/>
              </w:rPr>
            </w:pPr>
            <w:r>
              <w:rPr>
                <w:rFonts w:ascii="Arial" w:cs="Arial" w:eastAsia="Arial" w:hAnsi="Arial"/>
                <w:sz w:val="25"/>
                <w:szCs w:val="25"/>
                <w:b w:val="1"/>
                <w:bCs w:val="1"/>
                <w:color w:val="auto"/>
                <w:w w:val="99"/>
              </w:rPr>
              <w:t>ELDORADO RESORTS, INC.</w:t>
            </w:r>
          </w:p>
        </w:tc>
      </w:tr>
      <w:tr>
        <w:trPr>
          <w:trHeight w:val="206"/>
        </w:trPr>
        <w:tc>
          <w:tcPr>
            <w:tcW w:w="3260" w:type="dxa"/>
            <w:vAlign w:val="bottom"/>
          </w:tcPr>
          <w:p>
            <w:pPr>
              <w:spacing w:after="0"/>
              <w:rPr>
                <w:sz w:val="17"/>
                <w:szCs w:val="17"/>
                <w:color w:val="auto"/>
              </w:rPr>
            </w:pPr>
          </w:p>
        </w:tc>
        <w:tc>
          <w:tcPr>
            <w:tcW w:w="5060" w:type="dxa"/>
            <w:vAlign w:val="bottom"/>
            <w:gridSpan w:val="4"/>
          </w:tcPr>
          <w:p>
            <w:pPr>
              <w:jc w:val="center"/>
              <w:ind w:right="107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26"/>
        </w:trPr>
        <w:tc>
          <w:tcPr>
            <w:tcW w:w="3260" w:type="dxa"/>
            <w:vAlign w:val="bottom"/>
          </w:tcPr>
          <w:p>
            <w:pPr>
              <w:ind w:left="1840"/>
              <w:spacing w:after="0"/>
              <w:rPr>
                <w:sz w:val="20"/>
                <w:szCs w:val="20"/>
                <w:color w:val="auto"/>
              </w:rPr>
            </w:pPr>
            <w:r>
              <w:rPr>
                <w:rFonts w:ascii="Arial" w:cs="Arial" w:eastAsia="Arial" w:hAnsi="Arial"/>
                <w:sz w:val="16"/>
                <w:szCs w:val="16"/>
                <w:b w:val="1"/>
                <w:bCs w:val="1"/>
                <w:color w:val="auto"/>
              </w:rPr>
              <w:t>Nevada</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40" w:type="dxa"/>
            <w:vAlign w:val="bottom"/>
          </w:tcPr>
          <w:p>
            <w:pPr>
              <w:jc w:val="center"/>
              <w:ind w:right="1219"/>
              <w:spacing w:after="0" w:line="184" w:lineRule="exact"/>
              <w:rPr>
                <w:sz w:val="20"/>
                <w:szCs w:val="20"/>
                <w:color w:val="auto"/>
              </w:rPr>
            </w:pPr>
            <w:r>
              <w:rPr>
                <w:rFonts w:ascii="Arial" w:cs="Arial" w:eastAsia="Arial" w:hAnsi="Arial"/>
                <w:sz w:val="16"/>
                <w:szCs w:val="16"/>
                <w:b w:val="1"/>
                <w:bCs w:val="1"/>
                <w:color w:val="auto"/>
                <w:w w:val="91"/>
              </w:rPr>
              <w:t>46</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3657681</w:t>
            </w:r>
          </w:p>
        </w:tc>
      </w:tr>
      <w:tr>
        <w:trPr>
          <w:trHeight w:val="162"/>
        </w:trPr>
        <w:tc>
          <w:tcPr>
            <w:tcW w:w="3260" w:type="dxa"/>
            <w:vAlign w:val="bottom"/>
          </w:tcPr>
          <w:p>
            <w:pPr>
              <w:jc w:val="center"/>
              <w:ind w:left="1019"/>
              <w:spacing w:after="0" w:line="162" w:lineRule="exact"/>
              <w:rPr>
                <w:sz w:val="20"/>
                <w:szCs w:val="20"/>
                <w:color w:val="auto"/>
              </w:rPr>
            </w:pPr>
            <w:r>
              <w:rPr>
                <w:rFonts w:ascii="Arial" w:cs="Arial" w:eastAsia="Arial" w:hAnsi="Arial"/>
                <w:sz w:val="16"/>
                <w:szCs w:val="16"/>
                <w:color w:val="auto"/>
                <w:w w:val="93"/>
              </w:rPr>
              <w:t>(State or other jurisdiction of</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tcPr>
          <w:p>
            <w:pPr>
              <w:jc w:val="center"/>
              <w:ind w:right="1219"/>
              <w:spacing w:after="0" w:line="162" w:lineRule="exact"/>
              <w:rPr>
                <w:sz w:val="20"/>
                <w:szCs w:val="20"/>
                <w:color w:val="auto"/>
              </w:rPr>
            </w:pPr>
            <w:r>
              <w:rPr>
                <w:rFonts w:ascii="Arial" w:cs="Arial" w:eastAsia="Arial" w:hAnsi="Arial"/>
                <w:sz w:val="16"/>
                <w:szCs w:val="16"/>
                <w:color w:val="auto"/>
                <w:w w:val="93"/>
              </w:rPr>
              <w:t>(I.R.S. Employer</w:t>
            </w:r>
          </w:p>
        </w:tc>
      </w:tr>
      <w:tr>
        <w:trPr>
          <w:trHeight w:val="206"/>
        </w:trPr>
        <w:tc>
          <w:tcPr>
            <w:tcW w:w="3260" w:type="dxa"/>
            <w:vAlign w:val="bottom"/>
          </w:tcPr>
          <w:p>
            <w:pPr>
              <w:jc w:val="center"/>
              <w:ind w:left="1019"/>
              <w:spacing w:after="0"/>
              <w:rPr>
                <w:sz w:val="20"/>
                <w:szCs w:val="20"/>
                <w:color w:val="auto"/>
              </w:rPr>
            </w:pPr>
            <w:r>
              <w:rPr>
                <w:rFonts w:ascii="Arial" w:cs="Arial" w:eastAsia="Arial" w:hAnsi="Arial"/>
                <w:sz w:val="16"/>
                <w:szCs w:val="16"/>
                <w:color w:val="auto"/>
                <w:w w:val="94"/>
              </w:rPr>
              <w:t>incorporation or organization)</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40" w:type="dxa"/>
            <w:vAlign w:val="bottom"/>
          </w:tcPr>
          <w:p>
            <w:pPr>
              <w:jc w:val="center"/>
              <w:ind w:right="1219"/>
              <w:spacing w:after="0"/>
              <w:rPr>
                <w:sz w:val="20"/>
                <w:szCs w:val="20"/>
                <w:color w:val="auto"/>
              </w:rPr>
            </w:pPr>
            <w:r>
              <w:rPr>
                <w:rFonts w:ascii="Arial" w:cs="Arial" w:eastAsia="Arial" w:hAnsi="Arial"/>
                <w:sz w:val="16"/>
                <w:szCs w:val="16"/>
                <w:color w:val="auto"/>
                <w:w w:val="97"/>
              </w:rPr>
              <w:t>Identification No.)</w:t>
            </w:r>
          </w:p>
        </w:tc>
      </w:tr>
      <w:tr>
        <w:trPr>
          <w:trHeight w:val="222"/>
        </w:trPr>
        <w:tc>
          <w:tcPr>
            <w:tcW w:w="3260" w:type="dxa"/>
            <w:vAlign w:val="bottom"/>
          </w:tcPr>
          <w:p>
            <w:pPr>
              <w:spacing w:after="0"/>
              <w:rPr>
                <w:sz w:val="19"/>
                <w:szCs w:val="19"/>
                <w:color w:val="auto"/>
              </w:rPr>
            </w:pPr>
          </w:p>
        </w:tc>
        <w:tc>
          <w:tcPr>
            <w:tcW w:w="5060" w:type="dxa"/>
            <w:vAlign w:val="bottom"/>
            <w:gridSpan w:val="4"/>
          </w:tcPr>
          <w:p>
            <w:pPr>
              <w:jc w:val="center"/>
              <w:ind w:right="1079"/>
              <w:spacing w:after="0"/>
              <w:rPr>
                <w:sz w:val="20"/>
                <w:szCs w:val="20"/>
                <w:color w:val="auto"/>
              </w:rPr>
            </w:pPr>
            <w:r>
              <w:rPr>
                <w:rFonts w:ascii="Arial" w:cs="Arial" w:eastAsia="Arial" w:hAnsi="Arial"/>
                <w:sz w:val="16"/>
                <w:szCs w:val="16"/>
                <w:b w:val="1"/>
                <w:bCs w:val="1"/>
                <w:color w:val="auto"/>
                <w:w w:val="91"/>
              </w:rPr>
              <w:t>100 West Liberty Street, Suite 1150</w:t>
            </w:r>
          </w:p>
        </w:tc>
      </w:tr>
      <w:tr>
        <w:trPr>
          <w:trHeight w:val="166"/>
        </w:trPr>
        <w:tc>
          <w:tcPr>
            <w:tcW w:w="3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20" w:type="dxa"/>
            <w:vAlign w:val="bottom"/>
            <w:gridSpan w:val="2"/>
          </w:tcPr>
          <w:p>
            <w:pPr>
              <w:jc w:val="center"/>
              <w:ind w:right="2219"/>
              <w:spacing w:after="0" w:line="166" w:lineRule="exact"/>
              <w:rPr>
                <w:sz w:val="20"/>
                <w:szCs w:val="20"/>
                <w:color w:val="auto"/>
              </w:rPr>
            </w:pPr>
            <w:r>
              <w:rPr>
                <w:rFonts w:ascii="Arial" w:cs="Arial" w:eastAsia="Arial" w:hAnsi="Arial"/>
                <w:sz w:val="16"/>
                <w:szCs w:val="16"/>
                <w:b w:val="1"/>
                <w:bCs w:val="1"/>
                <w:color w:val="auto"/>
                <w:w w:val="91"/>
              </w:rPr>
              <w:t>Reno, Nevada 89501</w:t>
            </w:r>
          </w:p>
        </w:tc>
      </w:tr>
      <w:tr>
        <w:trPr>
          <w:trHeight w:val="206"/>
        </w:trPr>
        <w:tc>
          <w:tcPr>
            <w:tcW w:w="3260" w:type="dxa"/>
            <w:vAlign w:val="bottom"/>
          </w:tcPr>
          <w:p>
            <w:pPr>
              <w:spacing w:after="0"/>
              <w:rPr>
                <w:sz w:val="17"/>
                <w:szCs w:val="17"/>
                <w:color w:val="auto"/>
              </w:rPr>
            </w:pPr>
          </w:p>
        </w:tc>
        <w:tc>
          <w:tcPr>
            <w:tcW w:w="5060" w:type="dxa"/>
            <w:vAlign w:val="bottom"/>
            <w:gridSpan w:val="4"/>
          </w:tcPr>
          <w:p>
            <w:pPr>
              <w:jc w:val="center"/>
              <w:ind w:right="1079"/>
              <w:spacing w:after="0"/>
              <w:rPr>
                <w:sz w:val="20"/>
                <w:szCs w:val="20"/>
                <w:color w:val="auto"/>
              </w:rPr>
            </w:pPr>
            <w:r>
              <w:rPr>
                <w:rFonts w:ascii="Arial" w:cs="Arial" w:eastAsia="Arial" w:hAnsi="Arial"/>
                <w:sz w:val="16"/>
                <w:szCs w:val="16"/>
                <w:color w:val="auto"/>
                <w:w w:val="94"/>
              </w:rPr>
              <w:t>(Address of principal executive offices)</w:t>
            </w:r>
          </w:p>
        </w:tc>
      </w:tr>
      <w:tr>
        <w:trPr>
          <w:trHeight w:val="226"/>
        </w:trPr>
        <w:tc>
          <w:tcPr>
            <w:tcW w:w="3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300" w:type="dxa"/>
            <w:vAlign w:val="bottom"/>
            <w:gridSpan w:val="3"/>
          </w:tcPr>
          <w:p>
            <w:pPr>
              <w:jc w:val="center"/>
              <w:ind w:right="1839"/>
              <w:spacing w:after="0" w:line="184" w:lineRule="exact"/>
              <w:rPr>
                <w:sz w:val="20"/>
                <w:szCs w:val="20"/>
                <w:color w:val="auto"/>
              </w:rPr>
            </w:pPr>
            <w:r>
              <w:rPr>
                <w:rFonts w:ascii="Arial" w:cs="Arial" w:eastAsia="Arial" w:hAnsi="Arial"/>
                <w:sz w:val="16"/>
                <w:szCs w:val="16"/>
                <w:b w:val="1"/>
                <w:bCs w:val="1"/>
                <w:color w:val="auto"/>
                <w:w w:val="91"/>
              </w:rPr>
              <w:t>Telephone: (775) 328</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0100</w:t>
            </w:r>
          </w:p>
        </w:tc>
      </w:tr>
      <w:tr>
        <w:trPr>
          <w:trHeight w:val="206"/>
        </w:trPr>
        <w:tc>
          <w:tcPr>
            <w:tcW w:w="3260" w:type="dxa"/>
            <w:vAlign w:val="bottom"/>
          </w:tcPr>
          <w:p>
            <w:pPr>
              <w:spacing w:after="0"/>
              <w:rPr>
                <w:sz w:val="17"/>
                <w:szCs w:val="17"/>
                <w:color w:val="auto"/>
              </w:rPr>
            </w:pPr>
          </w:p>
        </w:tc>
        <w:tc>
          <w:tcPr>
            <w:tcW w:w="5060" w:type="dxa"/>
            <w:vAlign w:val="bottom"/>
            <w:gridSpan w:val="4"/>
          </w:tcPr>
          <w:p>
            <w:pPr>
              <w:jc w:val="center"/>
              <w:ind w:right="105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70"/>
        </w:trPr>
        <w:tc>
          <w:tcPr>
            <w:tcW w:w="3260" w:type="dxa"/>
            <w:vAlign w:val="bottom"/>
          </w:tcPr>
          <w:p>
            <w:pPr>
              <w:spacing w:after="0"/>
              <w:rPr>
                <w:sz w:val="23"/>
                <w:szCs w:val="23"/>
                <w:color w:val="auto"/>
              </w:rPr>
            </w:pPr>
          </w:p>
        </w:tc>
        <w:tc>
          <w:tcPr>
            <w:tcW w:w="5060" w:type="dxa"/>
            <w:vAlign w:val="bottom"/>
            <w:gridSpan w:val="4"/>
          </w:tcPr>
          <w:p>
            <w:pPr>
              <w:jc w:val="center"/>
              <w:ind w:right="1079"/>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49"/>
        </w:trPr>
        <w:tc>
          <w:tcPr>
            <w:tcW w:w="32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b w:val="1"/>
                <w:bCs w:val="1"/>
                <w:color w:val="auto"/>
                <w:w w:val="88"/>
              </w:rPr>
              <w:t>Title of each class</w:t>
            </w:r>
          </w:p>
        </w:tc>
        <w:tc>
          <w:tcPr>
            <w:tcW w:w="7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0"/>
        </w:trPr>
        <w:tc>
          <w:tcPr>
            <w:tcW w:w="3260" w:type="dxa"/>
            <w:vAlign w:val="bottom"/>
          </w:tcPr>
          <w:p>
            <w:pPr>
              <w:jc w:val="center"/>
              <w:ind w:left="679"/>
              <w:spacing w:after="0"/>
              <w:rPr>
                <w:sz w:val="20"/>
                <w:szCs w:val="20"/>
                <w:color w:val="auto"/>
              </w:rPr>
            </w:pPr>
            <w:r>
              <w:rPr>
                <w:rFonts w:ascii="Arial" w:cs="Arial" w:eastAsia="Arial" w:hAnsi="Arial"/>
                <w:sz w:val="16"/>
                <w:szCs w:val="16"/>
                <w:color w:val="auto"/>
                <w:w w:val="91"/>
              </w:rPr>
              <w:t>Common Stock, $.00001, par value</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40" w:type="dxa"/>
            <w:vAlign w:val="bottom"/>
          </w:tcPr>
          <w:p>
            <w:pPr>
              <w:jc w:val="center"/>
              <w:ind w:right="999"/>
              <w:spacing w:after="0"/>
              <w:rPr>
                <w:sz w:val="20"/>
                <w:szCs w:val="20"/>
                <w:color w:val="auto"/>
              </w:rPr>
            </w:pPr>
            <w:r>
              <w:rPr>
                <w:rFonts w:ascii="Arial" w:cs="Arial" w:eastAsia="Arial" w:hAnsi="Arial"/>
                <w:sz w:val="16"/>
                <w:szCs w:val="16"/>
                <w:color w:val="auto"/>
                <w:w w:val="96"/>
              </w:rPr>
              <w:t>NASDAQ Stock Market</w:t>
            </w:r>
          </w:p>
        </w:tc>
      </w:tr>
    </w:tbl>
    <w:p>
      <w:pPr>
        <w:spacing w:after="0" w:line="40"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56" w:lineRule="exact"/>
        <w:rPr>
          <w:sz w:val="24"/>
          <w:szCs w:val="24"/>
          <w:color w:val="auto"/>
        </w:rPr>
      </w:pPr>
    </w:p>
    <w:p>
      <w:pPr>
        <w:ind w:left="660" w:right="1020"/>
        <w:spacing w:after="0" w:line="26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left="20" w:right="100" w:firstLine="648"/>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20" w:right="300" w:firstLine="648"/>
        <w:spacing w:after="0" w:line="183"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6"/>
          <w:szCs w:val="16"/>
          <w:color w:val="auto"/>
        </w:rPr>
        <w:t>‑</w:t>
      </w:r>
      <w:r>
        <w:rPr>
          <w:rFonts w:ascii="Arial" w:cs="Arial" w:eastAsia="Arial" w:hAnsi="Arial"/>
          <w:sz w:val="16"/>
          <w:szCs w:val="16"/>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20" w:right="100" w:firstLine="648"/>
        <w:spacing w:after="0" w:line="183"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(§299.405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or a smaller reporting company.</w:t>
      </w:r>
    </w:p>
    <w:p>
      <w:pPr>
        <w:spacing w:after="0" w:line="15"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See the definitions of “large accelerated filer,” “accelerated filer,” and “smaller reporting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0400"/>
          </w:cols>
          <w:pgMar w:left="740" w:top="220" w:right="759" w:bottom="1440" w:gutter="0" w:footer="0" w:header="0"/>
        </w:sectPr>
      </w:pPr>
    </w:p>
    <w:p>
      <w:pPr>
        <w:spacing w:after="0" w:line="42" w:lineRule="exact"/>
        <w:rPr>
          <w:sz w:val="24"/>
          <w:szCs w:val="24"/>
          <w:color w:val="auto"/>
        </w:rPr>
      </w:pPr>
    </w:p>
    <w:p>
      <w:pPr>
        <w:ind w:left="2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spacing w:after="0" w:line="187" w:lineRule="exact"/>
        <w:rPr>
          <w:sz w:val="20"/>
          <w:szCs w:val="20"/>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33" w:lineRule="exact"/>
        <w:rPr>
          <w:sz w:val="24"/>
          <w:szCs w:val="24"/>
          <w:color w:val="auto"/>
        </w:rPr>
      </w:pPr>
    </w:p>
    <w:p>
      <w:pPr>
        <w:sectPr>
          <w:pgSz w:w="11900" w:h="16838" w:orient="portrait"/>
          <w:cols w:equalWidth="0" w:num="4">
            <w:col w:w="1920" w:space="500"/>
            <w:col w:w="1280" w:space="400"/>
            <w:col w:w="1800" w:space="300"/>
            <w:col w:w="4200"/>
          </w:cols>
          <w:pgMar w:left="740" w:top="220" w:right="75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left="20" w:right="40" w:firstLine="648"/>
        <w:spacing w:after="0"/>
        <w:rPr>
          <w:sz w:val="20"/>
          <w:szCs w:val="20"/>
          <w:color w:val="auto"/>
        </w:rPr>
      </w:pPr>
      <w:r>
        <w:rPr>
          <w:rFonts w:ascii="Arial" w:cs="Arial" w:eastAsia="Arial" w:hAnsi="Arial"/>
          <w:sz w:val="16"/>
          <w:szCs w:val="16"/>
          <w:color w:val="auto"/>
        </w:rPr>
        <w:t>The aggregate market value of the common stock held by non-affiliates of the Registrant was $230.1 million at June 30, 2015 based upon the closing price for the shares of ERI’s common stock as reported by The Nasdaq Stock Market.</w:t>
      </w:r>
    </w:p>
    <w:p>
      <w:pPr>
        <w:spacing w:after="0" w:line="6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March 2, 2016, there were 46,850,583 outstanding shares of the Registrant’s Common Stock.</w:t>
      </w:r>
    </w:p>
    <w:p>
      <w:pPr>
        <w:spacing w:after="0" w:line="82"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left="20" w:firstLine="648"/>
        <w:spacing w:after="0" w:line="230" w:lineRule="auto"/>
        <w:rPr>
          <w:sz w:val="20"/>
          <w:szCs w:val="20"/>
          <w:color w:val="auto"/>
        </w:rPr>
      </w:pPr>
      <w:r>
        <w:rPr>
          <w:rFonts w:ascii="Arial" w:cs="Arial" w:eastAsia="Arial" w:hAnsi="Arial"/>
          <w:sz w:val="16"/>
          <w:szCs w:val="16"/>
          <w:color w:val="auto"/>
        </w:rPr>
        <w:t>Portions of the Registrant’s definitive proxy statement to be filed with the Commission pursuant to Regulation 14A in connection with the Registrant’s 2016 Annual Meeting of Stockholders (the “Proxy Statement”) are incorporated by reference into Part III of this report. Such Proxy Statement will be filed with the Commission not later than 120 days after the conclusion of the Registrant’s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220"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00" w:type="dxa"/>
            <w:vAlign w:val="bottom"/>
            <w:gridSpan w:val="11"/>
          </w:tcPr>
          <w:p>
            <w:pPr>
              <w:jc w:val="center"/>
              <w:ind w:right="1960"/>
              <w:spacing w:after="0"/>
              <w:rPr>
                <w:sz w:val="20"/>
                <w:szCs w:val="20"/>
                <w:color w:val="auto"/>
              </w:rPr>
            </w:pPr>
            <w:r>
              <w:rPr>
                <w:rFonts w:ascii="Arial" w:cs="Arial" w:eastAsia="Arial" w:hAnsi="Arial"/>
                <w:sz w:val="18"/>
                <w:szCs w:val="18"/>
                <w:b w:val="1"/>
                <w:bCs w:val="1"/>
                <w:color w:val="auto"/>
                <w:w w:val="98"/>
              </w:rPr>
              <w:t>ELDORADO RESORTS, INC.</w:t>
            </w:r>
          </w:p>
        </w:tc>
      </w:tr>
      <w:tr>
        <w:trPr>
          <w:trHeight w:val="176"/>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60" w:type="dxa"/>
            <w:vAlign w:val="bottom"/>
            <w:gridSpan w:val="18"/>
          </w:tcPr>
          <w:p>
            <w:pPr>
              <w:jc w:val="center"/>
              <w:ind w:right="580"/>
              <w:spacing w:after="0" w:line="176" w:lineRule="exact"/>
              <w:rPr>
                <w:sz w:val="20"/>
                <w:szCs w:val="20"/>
                <w:color w:val="auto"/>
              </w:rPr>
            </w:pPr>
            <w:r>
              <w:rPr>
                <w:rFonts w:ascii="Arial" w:cs="Arial" w:eastAsia="Arial" w:hAnsi="Arial"/>
                <w:sz w:val="18"/>
                <w:szCs w:val="18"/>
                <w:b w:val="1"/>
                <w:bCs w:val="1"/>
                <w:color w:val="auto"/>
                <w:w w:val="98"/>
              </w:rPr>
              <w:t>ANNUAL REPORT FOR THE YEAR ENDED DECEMBER 31, 2015</w:t>
            </w:r>
          </w:p>
        </w:tc>
      </w:t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11"/>
          </w:tcPr>
          <w:p>
            <w:pPr>
              <w:jc w:val="center"/>
              <w:ind w:right="1940"/>
              <w:spacing w:after="0"/>
              <w:rPr>
                <w:sz w:val="20"/>
                <w:szCs w:val="20"/>
                <w:color w:val="auto"/>
              </w:rPr>
            </w:pPr>
            <w:r>
              <w:rPr>
                <w:rFonts w:ascii="Arial" w:cs="Arial" w:eastAsia="Arial" w:hAnsi="Arial"/>
                <w:sz w:val="18"/>
                <w:szCs w:val="18"/>
                <w:b w:val="1"/>
                <w:bCs w:val="1"/>
                <w:color w:val="auto"/>
                <w:w w:val="98"/>
              </w:rPr>
              <w:t>TABLE OF CONTENTS</w:t>
            </w:r>
          </w:p>
        </w:tc>
      </w:tr>
      <w:tr>
        <w:trPr>
          <w:trHeight w:val="630"/>
        </w:trPr>
        <w:tc>
          <w:tcPr>
            <w:tcW w:w="460" w:type="dxa"/>
            <w:vAlign w:val="bottom"/>
            <w:tcBorders>
              <w:bottom w:val="single" w:sz="8" w:color="0000EE"/>
            </w:tcBorders>
          </w:tcPr>
          <w:p>
            <w:pPr>
              <w:spacing w:after="0"/>
              <w:rPr>
                <w:rFonts w:ascii="Arial" w:cs="Arial" w:eastAsia="Arial" w:hAnsi="Arial"/>
                <w:sz w:val="18"/>
                <w:szCs w:val="18"/>
                <w:b w:val="1"/>
                <w:bCs w:val="1"/>
                <w:color w:val="0000EE"/>
                <w:w w:val="97"/>
              </w:rPr>
            </w:pPr>
            <w:hyperlink w:anchor="page3">
              <w:r>
                <w:rPr>
                  <w:rFonts w:ascii="Arial" w:cs="Arial" w:eastAsia="Arial" w:hAnsi="Arial"/>
                  <w:sz w:val="18"/>
                  <w:szCs w:val="18"/>
                  <w:b w:val="1"/>
                  <w:bCs w:val="1"/>
                  <w:color w:val="0000EE"/>
                  <w:w w:val="97"/>
                </w:rPr>
                <w:t>Part I</w:t>
              </w:r>
            </w:hyperlink>
          </w:p>
        </w:tc>
        <w:tc>
          <w:tcPr>
            <w:tcW w:w="42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3">
              <w:r>
                <w:rPr>
                  <w:rFonts w:ascii="Arial" w:cs="Arial" w:eastAsia="Arial" w:hAnsi="Arial"/>
                  <w:sz w:val="18"/>
                  <w:szCs w:val="18"/>
                  <w:b w:val="1"/>
                  <w:bCs w:val="1"/>
                  <w:color w:val="0000EE"/>
                  <w:w w:val="84"/>
                </w:rPr>
                <w:t>Item 1.</w:t>
              </w:r>
            </w:hyperlink>
          </w:p>
        </w:tc>
        <w:tc>
          <w:tcPr>
            <w:tcW w:w="360" w:type="dxa"/>
            <w:vAlign w:val="bottom"/>
            <w:gridSpan w:val="3"/>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80" w:type="dxa"/>
            <w:vAlign w:val="bottom"/>
            <w:gridSpan w:val="5"/>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1A</w:t>
              </w:r>
            </w:hyperlink>
          </w:p>
        </w:tc>
        <w:tc>
          <w:tcPr>
            <w:tcW w:w="6900" w:type="dxa"/>
            <w:vAlign w:val="bottom"/>
            <w:gridSpan w:val="22"/>
          </w:tcPr>
          <w:p>
            <w:pPr>
              <w:ind w:left="60"/>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Risk Factors</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Item 1B</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Unresolved Staff Comments</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27">
              <w:r>
                <w:rPr>
                  <w:rFonts w:ascii="Arial" w:cs="Arial" w:eastAsia="Arial" w:hAnsi="Arial"/>
                  <w:sz w:val="18"/>
                  <w:szCs w:val="18"/>
                  <w:b w:val="1"/>
                  <w:bCs w:val="1"/>
                  <w:color w:val="0000EE"/>
                  <w:w w:val="84"/>
                </w:rPr>
                <w:t>Item 2.</w:t>
              </w:r>
            </w:hyperlink>
          </w:p>
        </w:tc>
        <w:tc>
          <w:tcPr>
            <w:tcW w:w="1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Properties</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27">
              <w:r>
                <w:rPr>
                  <w:rFonts w:ascii="Arial" w:cs="Arial" w:eastAsia="Arial" w:hAnsi="Arial"/>
                  <w:sz w:val="18"/>
                  <w:szCs w:val="18"/>
                  <w:b w:val="1"/>
                  <w:bCs w:val="1"/>
                  <w:color w:val="0000EE"/>
                  <w:w w:val="84"/>
                </w:rPr>
                <w:t>Item 3.</w:t>
              </w:r>
            </w:hyperlink>
          </w:p>
        </w:tc>
        <w:tc>
          <w:tcPr>
            <w:tcW w:w="360" w:type="dxa"/>
            <w:vAlign w:val="bottom"/>
            <w:gridSpan w:val="3"/>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Legal Proceedings</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28">
              <w:r>
                <w:rPr>
                  <w:rFonts w:ascii="Arial" w:cs="Arial" w:eastAsia="Arial" w:hAnsi="Arial"/>
                  <w:sz w:val="18"/>
                  <w:szCs w:val="18"/>
                  <w:b w:val="1"/>
                  <w:bCs w:val="1"/>
                  <w:color w:val="0000EE"/>
                  <w:w w:val="84"/>
                </w:rPr>
                <w:t>Item 4.</w:t>
              </w:r>
            </w:hyperlink>
          </w:p>
        </w:tc>
        <w:tc>
          <w:tcPr>
            <w:tcW w:w="360" w:type="dxa"/>
            <w:vAlign w:val="bottom"/>
            <w:gridSpan w:val="3"/>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Mine Safety Disclosures</w:t>
              </w:r>
            </w:hyperlink>
          </w:p>
        </w:tc>
      </w:tr>
      <w:tr>
        <w:trPr>
          <w:trHeight w:val="223"/>
        </w:trPr>
        <w:tc>
          <w:tcPr>
            <w:tcW w:w="520" w:type="dxa"/>
            <w:vAlign w:val="bottom"/>
            <w:tcBorders>
              <w:top w:val="single" w:sz="8" w:color="0000EE"/>
            </w:tcBorders>
            <w:gridSpan w:val="2"/>
          </w:tcPr>
          <w:p>
            <w:pPr>
              <w:spacing w:after="0"/>
              <w:rPr>
                <w:rFonts w:ascii="Arial" w:cs="Arial" w:eastAsia="Arial" w:hAnsi="Arial"/>
                <w:sz w:val="18"/>
                <w:szCs w:val="18"/>
                <w:b w:val="1"/>
                <w:bCs w:val="1"/>
                <w:color w:val="0000EE"/>
                <w:w w:val="95"/>
              </w:rPr>
            </w:pPr>
            <w:hyperlink w:anchor="page29">
              <w:r>
                <w:rPr>
                  <w:rFonts w:ascii="Arial" w:cs="Arial" w:eastAsia="Arial" w:hAnsi="Arial"/>
                  <w:sz w:val="18"/>
                  <w:szCs w:val="18"/>
                  <w:b w:val="1"/>
                  <w:bCs w:val="1"/>
                  <w:color w:val="0000EE"/>
                  <w:w w:val="95"/>
                </w:rPr>
                <w:t>Part II</w:t>
              </w:r>
            </w:hyperlink>
          </w:p>
        </w:tc>
        <w:tc>
          <w:tcPr>
            <w:tcW w:w="36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80" w:type="dxa"/>
            <w:vAlign w:val="bottom"/>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5.</w:t>
              </w:r>
            </w:hyperlink>
          </w:p>
        </w:tc>
        <w:tc>
          <w:tcPr>
            <w:tcW w:w="6900" w:type="dxa"/>
            <w:vAlign w:val="bottom"/>
            <w:gridSpan w:val="22"/>
          </w:tcPr>
          <w:p>
            <w:pPr>
              <w:ind w:left="60"/>
              <w:spacing w:after="0"/>
              <w:rPr>
                <w:rFonts w:ascii="Arial" w:cs="Arial" w:eastAsia="Arial" w:hAnsi="Arial"/>
                <w:sz w:val="18"/>
                <w:szCs w:val="18"/>
                <w:b w:val="1"/>
                <w:bCs w:val="1"/>
                <w:color w:val="0000EE"/>
                <w:w w:val="94"/>
              </w:rPr>
            </w:pPr>
            <w:hyperlink w:anchor="page29">
              <w:r>
                <w:rPr>
                  <w:rFonts w:ascii="Arial" w:cs="Arial" w:eastAsia="Arial" w:hAnsi="Arial"/>
                  <w:sz w:val="18"/>
                  <w:szCs w:val="18"/>
                  <w:b w:val="1"/>
                  <w:bCs w:val="1"/>
                  <w:color w:val="0000EE"/>
                  <w:w w:val="94"/>
                </w:rPr>
                <w:t>Market for Registrants’ Common Equity and Related Stockholder Matters and Issuer</w:t>
              </w:r>
            </w:hyperlink>
          </w:p>
        </w:tc>
      </w:tr>
      <w:tr>
        <w:trPr>
          <w:trHeight w:val="169"/>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340" w:type="dxa"/>
            <w:vAlign w:val="bottom"/>
            <w:tcBorders>
              <w:top w:val="single" w:sz="8" w:color="0000EE"/>
            </w:tcBorders>
            <w:gridSpan w:val="18"/>
          </w:tcPr>
          <w:p>
            <w:pPr>
              <w:spacing w:after="0" w:line="170"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Purchases of Equity Securities</w:t>
              </w:r>
            </w:hyperlink>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30">
              <w:r>
                <w:rPr>
                  <w:rFonts w:ascii="Arial" w:cs="Arial" w:eastAsia="Arial" w:hAnsi="Arial"/>
                  <w:sz w:val="18"/>
                  <w:szCs w:val="18"/>
                  <w:b w:val="1"/>
                  <w:bCs w:val="1"/>
                  <w:color w:val="0000EE"/>
                  <w:w w:val="84"/>
                </w:rPr>
                <w:t>Item 6.</w:t>
              </w:r>
            </w:hyperlink>
          </w:p>
        </w:tc>
        <w:tc>
          <w:tcPr>
            <w:tcW w:w="360" w:type="dxa"/>
            <w:vAlign w:val="bottom"/>
            <w:gridSpan w:val="3"/>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Selected Financial Data</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34">
              <w:r>
                <w:rPr>
                  <w:rFonts w:ascii="Arial" w:cs="Arial" w:eastAsia="Arial" w:hAnsi="Arial"/>
                  <w:sz w:val="18"/>
                  <w:szCs w:val="18"/>
                  <w:b w:val="1"/>
                  <w:bCs w:val="1"/>
                  <w:color w:val="0000EE"/>
                  <w:w w:val="84"/>
                </w:rPr>
                <w:t>Item 7.</w:t>
              </w:r>
            </w:hyperlink>
          </w:p>
        </w:tc>
        <w:tc>
          <w:tcPr>
            <w:tcW w:w="360" w:type="dxa"/>
            <w:vAlign w:val="bottom"/>
            <w:gridSpan w:val="3"/>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Management’s Discussion and Analysis of Financial Condition and Results of Operations</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80" w:type="dxa"/>
            <w:vAlign w:val="bottom"/>
            <w:gridSpan w:val="5"/>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Item 7A</w:t>
              </w:r>
            </w:hyperlink>
          </w:p>
        </w:tc>
        <w:tc>
          <w:tcPr>
            <w:tcW w:w="6900" w:type="dxa"/>
            <w:vAlign w:val="bottom"/>
            <w:gridSpan w:val="22"/>
          </w:tcPr>
          <w:p>
            <w:pPr>
              <w:ind w:left="60"/>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Quantitative and Qualitative Disclosures About Market Risk</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56">
              <w:r>
                <w:rPr>
                  <w:rFonts w:ascii="Arial" w:cs="Arial" w:eastAsia="Arial" w:hAnsi="Arial"/>
                  <w:sz w:val="18"/>
                  <w:szCs w:val="18"/>
                  <w:b w:val="1"/>
                  <w:bCs w:val="1"/>
                  <w:color w:val="0000EE"/>
                  <w:w w:val="84"/>
                </w:rPr>
                <w:t>Item 8.</w:t>
              </w:r>
            </w:hyperlink>
          </w:p>
        </w:tc>
        <w:tc>
          <w:tcPr>
            <w:tcW w:w="10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Financial Statements and Supplementary Data</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223"/>
        </w:trPr>
        <w:tc>
          <w:tcPr>
            <w:tcW w:w="520" w:type="dxa"/>
            <w:vAlign w:val="bottom"/>
            <w:gridSpan w:val="2"/>
          </w:tcPr>
          <w:p>
            <w:pPr>
              <w:spacing w:after="0"/>
              <w:rPr>
                <w:rFonts w:ascii="Arial" w:cs="Arial" w:eastAsia="Arial" w:hAnsi="Arial"/>
                <w:sz w:val="18"/>
                <w:szCs w:val="18"/>
                <w:b w:val="1"/>
                <w:bCs w:val="1"/>
                <w:color w:val="0000EE"/>
                <w:w w:val="84"/>
              </w:rPr>
            </w:pPr>
            <w:hyperlink w:anchor="page56">
              <w:r>
                <w:rPr>
                  <w:rFonts w:ascii="Arial" w:cs="Arial" w:eastAsia="Arial" w:hAnsi="Arial"/>
                  <w:sz w:val="18"/>
                  <w:szCs w:val="18"/>
                  <w:b w:val="1"/>
                  <w:bCs w:val="1"/>
                  <w:color w:val="0000EE"/>
                  <w:w w:val="84"/>
                </w:rPr>
                <w:t>Item 9.</w:t>
              </w:r>
            </w:hyperlink>
          </w:p>
        </w:tc>
        <w:tc>
          <w:tcPr>
            <w:tcW w:w="360" w:type="dxa"/>
            <w:vAlign w:val="bottom"/>
            <w:gridSpan w:val="3"/>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w w:val="88"/>
              </w:rPr>
            </w:pPr>
            <w:hyperlink w:anchor="page56">
              <w:r>
                <w:rPr>
                  <w:rFonts w:ascii="Arial" w:cs="Arial" w:eastAsia="Arial" w:hAnsi="Arial"/>
                  <w:sz w:val="18"/>
                  <w:szCs w:val="18"/>
                  <w:b w:val="1"/>
                  <w:bCs w:val="1"/>
                  <w:color w:val="0000EE"/>
                  <w:w w:val="88"/>
                </w:rPr>
                <w:t>Changes in and Disagreements with Accountants on Accounting and Financial Disclosure</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r>
      <w:tr>
        <w:trPr>
          <w:trHeight w:val="223"/>
        </w:trPr>
        <w:tc>
          <w:tcPr>
            <w:tcW w:w="880" w:type="dxa"/>
            <w:vAlign w:val="bottom"/>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Item 9A</w:t>
              </w:r>
            </w:hyperlink>
          </w:p>
        </w:tc>
        <w:tc>
          <w:tcPr>
            <w:tcW w:w="6900" w:type="dxa"/>
            <w:vAlign w:val="bottom"/>
            <w:gridSpan w:val="22"/>
          </w:tcPr>
          <w:p>
            <w:pPr>
              <w:ind w:left="6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Controls and Procedures</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9"/>
              </w:rPr>
            </w:pPr>
            <w:hyperlink w:anchor="page59">
              <w:r>
                <w:rPr>
                  <w:rFonts w:ascii="Arial" w:cs="Arial" w:eastAsia="Arial" w:hAnsi="Arial"/>
                  <w:sz w:val="18"/>
                  <w:szCs w:val="18"/>
                  <w:b w:val="1"/>
                  <w:bCs w:val="1"/>
                  <w:color w:val="0000EE"/>
                  <w:w w:val="89"/>
                </w:rPr>
                <w:t>Item 9B</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Other Information</w:t>
              </w:r>
            </w:hyperlink>
          </w:p>
        </w:tc>
      </w:tr>
      <w:tr>
        <w:trPr>
          <w:trHeight w:val="223"/>
        </w:trPr>
        <w:tc>
          <w:tcPr>
            <w:tcW w:w="6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880" w:type="dxa"/>
            <w:vAlign w:val="bottom"/>
            <w:gridSpan w:val="5"/>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Item 10.</w:t>
              </w:r>
            </w:hyperlink>
          </w:p>
        </w:tc>
        <w:tc>
          <w:tcPr>
            <w:tcW w:w="6900" w:type="dxa"/>
            <w:vAlign w:val="bottom"/>
            <w:gridSpan w:val="22"/>
          </w:tcPr>
          <w:p>
            <w:pPr>
              <w:ind w:left="6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Directors, Executive Officers and Corporate Governance</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right w:val="single" w:sz="8" w:color="0000EE"/>
            </w:tcBorders>
            <w:gridSpan w:val="9"/>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6"/>
              </w:rPr>
            </w:pPr>
            <w:hyperlink w:anchor="page60">
              <w:r>
                <w:rPr>
                  <w:rFonts w:ascii="Arial" w:cs="Arial" w:eastAsia="Arial" w:hAnsi="Arial"/>
                  <w:sz w:val="18"/>
                  <w:szCs w:val="18"/>
                  <w:b w:val="1"/>
                  <w:bCs w:val="1"/>
                  <w:color w:val="0000EE"/>
                  <w:w w:val="86"/>
                </w:rPr>
                <w:t>Item 11.</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Executive Compensation</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Borders>
              <w:right w:val="single" w:sz="8" w:color="0000EE"/>
            </w:tcBorders>
            <w:gridSpan w:val="9"/>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6"/>
              </w:rPr>
            </w:pPr>
            <w:hyperlink w:anchor="page60">
              <w:r>
                <w:rPr>
                  <w:rFonts w:ascii="Arial" w:cs="Arial" w:eastAsia="Arial" w:hAnsi="Arial"/>
                  <w:sz w:val="18"/>
                  <w:szCs w:val="18"/>
                  <w:b w:val="1"/>
                  <w:bCs w:val="1"/>
                  <w:color w:val="0000EE"/>
                  <w:w w:val="86"/>
                </w:rPr>
                <w:t>Item 12.</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Security Ownership of Certain Beneficial Owners and Management and Related</w:t>
              </w:r>
            </w:hyperlink>
          </w:p>
        </w:tc>
      </w:tr>
      <w:tr>
        <w:trPr>
          <w:trHeight w:val="169"/>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64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b w:val="1"/>
                <w:bCs w:val="1"/>
                <w:color w:val="0000EE"/>
                <w:w w:val="92"/>
              </w:rPr>
            </w:pPr>
            <w:hyperlink w:anchor="page60">
              <w:r>
                <w:rPr>
                  <w:rFonts w:ascii="Arial" w:cs="Arial" w:eastAsia="Arial" w:hAnsi="Arial"/>
                  <w:sz w:val="18"/>
                  <w:szCs w:val="18"/>
                  <w:b w:val="1"/>
                  <w:bCs w:val="1"/>
                  <w:color w:val="0000EE"/>
                  <w:w w:val="92"/>
                </w:rPr>
                <w:t>Stockholder Matters</w:t>
              </w:r>
            </w:hyperlink>
          </w:p>
        </w:tc>
        <w:tc>
          <w:tcPr>
            <w:tcW w:w="4260" w:type="dxa"/>
            <w:vAlign w:val="bottom"/>
            <w:tcBorders>
              <w:top w:val="single" w:sz="8" w:color="0000EE"/>
            </w:tcBorders>
            <w:gridSpan w:val="9"/>
          </w:tcPr>
          <w:p>
            <w:pPr>
              <w:spacing w:after="0"/>
              <w:rPr>
                <w:sz w:val="14"/>
                <w:szCs w:val="14"/>
                <w:color w:val="auto"/>
              </w:rPr>
            </w:pPr>
          </w:p>
        </w:tc>
        <w:tc>
          <w:tcPr>
            <w:tcW w:w="680" w:type="dxa"/>
            <w:vAlign w:val="bottom"/>
            <w:gridSpan w:val="3"/>
          </w:tcPr>
          <w:p>
            <w:pPr>
              <w:spacing w:after="0"/>
              <w:rPr>
                <w:sz w:val="14"/>
                <w:szCs w:val="14"/>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6"/>
              </w:rPr>
            </w:pPr>
            <w:hyperlink w:anchor="page60">
              <w:r>
                <w:rPr>
                  <w:rFonts w:ascii="Arial" w:cs="Arial" w:eastAsia="Arial" w:hAnsi="Arial"/>
                  <w:sz w:val="18"/>
                  <w:szCs w:val="18"/>
                  <w:b w:val="1"/>
                  <w:bCs w:val="1"/>
                  <w:color w:val="0000EE"/>
                  <w:w w:val="86"/>
                </w:rPr>
                <w:t>Item 13.</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Certain Relationships and Related Transactions, and Director Independence</w:t>
              </w:r>
            </w:hyperlink>
          </w:p>
        </w:tc>
      </w:tr>
      <w:tr>
        <w:trPr>
          <w:trHeight w:val="20"/>
        </w:trPr>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1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6"/>
              </w:rPr>
            </w:pPr>
            <w:hyperlink w:anchor="page60">
              <w:r>
                <w:rPr>
                  <w:rFonts w:ascii="Arial" w:cs="Arial" w:eastAsia="Arial" w:hAnsi="Arial"/>
                  <w:sz w:val="18"/>
                  <w:szCs w:val="18"/>
                  <w:b w:val="1"/>
                  <w:bCs w:val="1"/>
                  <w:color w:val="0000EE"/>
                  <w:w w:val="86"/>
                </w:rPr>
                <w:t>Item 14.</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Principal Accounting Fees and Services</w:t>
              </w:r>
            </w:hyperlink>
          </w:p>
        </w:tc>
      </w:tr>
      <w:tr>
        <w:trPr>
          <w:trHeight w:val="223"/>
        </w:trPr>
        <w:tc>
          <w:tcPr>
            <w:tcW w:w="62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IV</w:t>
              </w:r>
            </w:hyperlink>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20" w:type="dxa"/>
            <w:vAlign w:val="bottom"/>
            <w:gridSpan w:val="14"/>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r>
      <w:tr>
        <w:trPr>
          <w:trHeight w:val="223"/>
        </w:trPr>
        <w:tc>
          <w:tcPr>
            <w:tcW w:w="620" w:type="dxa"/>
            <w:vAlign w:val="bottom"/>
            <w:gridSpan w:val="4"/>
          </w:tcPr>
          <w:p>
            <w:pPr>
              <w:spacing w:after="0"/>
              <w:rPr>
                <w:rFonts w:ascii="Arial" w:cs="Arial" w:eastAsia="Arial" w:hAnsi="Arial"/>
                <w:sz w:val="18"/>
                <w:szCs w:val="18"/>
                <w:b w:val="1"/>
                <w:bCs w:val="1"/>
                <w:color w:val="0000EE"/>
                <w:w w:val="86"/>
              </w:rPr>
            </w:pPr>
            <w:hyperlink w:anchor="page61">
              <w:r>
                <w:rPr>
                  <w:rFonts w:ascii="Arial" w:cs="Arial" w:eastAsia="Arial" w:hAnsi="Arial"/>
                  <w:sz w:val="18"/>
                  <w:szCs w:val="18"/>
                  <w:b w:val="1"/>
                  <w:bCs w:val="1"/>
                  <w:color w:val="0000EE"/>
                  <w:w w:val="86"/>
                </w:rPr>
                <w:t>Item 15.</w:t>
              </w:r>
            </w:hyperlink>
          </w:p>
        </w:tc>
        <w:tc>
          <w:tcPr>
            <w:tcW w:w="260" w:type="dxa"/>
            <w:vAlign w:val="bottom"/>
          </w:tcPr>
          <w:p>
            <w:pPr>
              <w:spacing w:after="0"/>
              <w:rPr>
                <w:sz w:val="19"/>
                <w:szCs w:val="19"/>
                <w:color w:val="auto"/>
              </w:rPr>
            </w:pPr>
          </w:p>
        </w:tc>
        <w:tc>
          <w:tcPr>
            <w:tcW w:w="6900" w:type="dxa"/>
            <w:vAlign w:val="bottom"/>
            <w:gridSpan w:val="22"/>
          </w:tcPr>
          <w:p>
            <w:pPr>
              <w:ind w:left="6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Exhibits and Financial Statement Schedules</w:t>
              </w:r>
            </w:hyperlink>
          </w:p>
        </w:tc>
      </w:tr>
      <w:tr>
        <w:trPr>
          <w:trHeight w:val="20"/>
        </w:trPr>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rPr>
              <w:t>EXHIBITS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SIGNATURES</w:t>
        </w:r>
      </w:hyperlink>
    </w:p>
    <w:p>
      <w:pPr>
        <w:spacing w:after="0" w:line="36" w:lineRule="exact"/>
        <w:rPr>
          <w:sz w:val="20"/>
          <w:szCs w:val="20"/>
          <w:color w:val="auto"/>
        </w:rPr>
      </w:pPr>
    </w:p>
    <w:p>
      <w:pPr>
        <w:ind w:left="80"/>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u w:val="single" w:color="auto"/>
            <w:color w:val="0000EE"/>
          </w:rPr>
          <w:t>INDEX TO CONSOLIDATED FINANCIAL STATEMENTS OF ELDORADO RESORTS, INC</w:t>
        </w:r>
      </w:hyperlink>
      <w:r>
        <w:rPr>
          <w:rFonts w:ascii="Arial" w:cs="Arial" w:eastAsia="Arial" w:hAnsi="Arial"/>
          <w:sz w:val="18"/>
          <w:szCs w:val="18"/>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Page</w:t>
      </w:r>
    </w:p>
    <w:p>
      <w:pPr>
        <w:spacing w:after="0" w:line="75" w:lineRule="exact"/>
        <w:rPr>
          <w:sz w:val="20"/>
          <w:szCs w:val="20"/>
          <w:color w:val="auto"/>
        </w:rPr>
      </w:pPr>
    </w:p>
    <w:p>
      <w:pPr>
        <w:jc w:val="right"/>
        <w:ind w:right="19"/>
        <w:spacing w:after="0"/>
        <w:rPr>
          <w:sz w:val="20"/>
          <w:szCs w:val="20"/>
          <w:color w:val="auto"/>
        </w:rPr>
      </w:pPr>
      <w:r>
        <w:rPr>
          <w:rFonts w:ascii="Arial" w:cs="Arial" w:eastAsia="Arial" w:hAnsi="Arial"/>
          <w:sz w:val="18"/>
          <w:szCs w:val="18"/>
          <w:b w:val="1"/>
          <w:bCs w:val="1"/>
          <w:color w:val="auto"/>
        </w:rPr>
        <w:t>1</w:t>
      </w:r>
    </w:p>
    <w:p>
      <w:pPr>
        <w:spacing w:after="0" w:line="36" w:lineRule="exact"/>
        <w:rPr>
          <w:sz w:val="20"/>
          <w:szCs w:val="20"/>
          <w:color w:val="auto"/>
        </w:rPr>
      </w:pPr>
    </w:p>
    <w:p>
      <w:pPr>
        <w:jc w:val="right"/>
        <w:ind w:right="19"/>
        <w:spacing w:after="0"/>
        <w:rPr>
          <w:sz w:val="20"/>
          <w:szCs w:val="20"/>
          <w:color w:val="auto"/>
        </w:rPr>
      </w:pPr>
      <w:r>
        <w:rPr>
          <w:rFonts w:ascii="Arial" w:cs="Arial" w:eastAsia="Arial" w:hAnsi="Arial"/>
          <w:sz w:val="18"/>
          <w:szCs w:val="18"/>
          <w:b w:val="1"/>
          <w:bCs w:val="1"/>
          <w:color w:val="auto"/>
        </w:rPr>
        <w:t>1</w:t>
      </w:r>
    </w:p>
    <w:p>
      <w:pPr>
        <w:spacing w:after="0" w:line="36" w:lineRule="exact"/>
        <w:rPr>
          <w:sz w:val="20"/>
          <w:szCs w:val="20"/>
          <w:color w:val="auto"/>
        </w:rPr>
      </w:pPr>
    </w:p>
    <w:p>
      <w:pPr>
        <w:jc w:val="right"/>
        <w:ind w:right="19"/>
        <w:spacing w:after="0"/>
        <w:rPr>
          <w:sz w:val="20"/>
          <w:szCs w:val="20"/>
          <w:color w:val="auto"/>
        </w:rPr>
      </w:pPr>
      <w:r>
        <w:rPr>
          <w:rFonts w:ascii="Arial" w:cs="Arial" w:eastAsia="Arial" w:hAnsi="Arial"/>
          <w:sz w:val="18"/>
          <w:szCs w:val="18"/>
          <w:b w:val="1"/>
          <w:bCs w:val="1"/>
          <w:color w:val="auto"/>
        </w:rPr>
        <w:t>14</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25</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25</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25</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26</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27</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27</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28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32</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53</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54</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54</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54</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57</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58</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58</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59</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59</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63</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64</w:t>
      </w:r>
    </w:p>
    <w:p>
      <w:pPr>
        <w:sectPr>
          <w:pgSz w:w="11900" w:h="16838" w:orient="portrait"/>
          <w:cols w:equalWidth="0" w:num="2">
            <w:col w:w="7880" w:space="720"/>
            <w:col w:w="439"/>
          </w:cols>
          <w:pgMar w:left="1420" w:top="111"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ind w:right="760" w:firstLine="648"/>
        <w:spacing w:after="0" w:line="235" w:lineRule="auto"/>
        <w:rPr>
          <w:sz w:val="20"/>
          <w:szCs w:val="20"/>
          <w:color w:val="auto"/>
        </w:rPr>
      </w:pPr>
      <w:r>
        <w:rPr>
          <w:rFonts w:ascii="Arial" w:cs="Arial" w:eastAsia="Arial" w:hAnsi="Arial"/>
          <w:sz w:val="18"/>
          <w:szCs w:val="18"/>
          <w:i w:val="1"/>
          <w:iCs w:val="1"/>
          <w:color w:val="auto"/>
        </w:rPr>
        <w:t>Eldorado Resorts, Inc. is referred to as the “Company,” “ERI,” or the “Registrant,” and together with its subsidiaries may also be referred to as “we,” “us” or “our.”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are a gaming and hospitality company that owns and operates gaming facilities located in Ohio, Louisiana, Nevada, Pennsylvania and West Virginia. Our primary source of revenue is generated by our gaming operations, but we use our hotels, restaurants, bars, entertainment, racing, retail shops and other services to attract customers to our properties. ERI is dedicated to providing exceptional guest service, a dynamic gaming product, award-winning dining, exciting entertainment and premier accommodations. We were founded in 1973 in Reno, Nevada as a family business by the Carano family and continue to maintain our commitment to customer service, high-quality dining and outstanding amenities. We believe that our extraordinary level of personal service and the variety, quality and attractive pricing of our food and beverage outlets are important factors in attracting customers to our properties and building customer loyalty.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and operate the following properties:</w:t>
      </w:r>
    </w:p>
    <w:p>
      <w:pPr>
        <w:spacing w:after="0" w:line="77" w:lineRule="exact"/>
        <w:rPr>
          <w:sz w:val="20"/>
          <w:szCs w:val="20"/>
          <w:color w:val="auto"/>
        </w:rPr>
      </w:pPr>
    </w:p>
    <w:p>
      <w:pPr>
        <w:ind w:left="980" w:right="100" w:hanging="329"/>
        <w:spacing w:after="0" w:line="203" w:lineRule="exact"/>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Resort Casino Reno (“Eldorado Reno”)—A 814</w:t>
      </w:r>
      <w:r>
        <w:rPr>
          <w:rFonts w:ascii="MS PGothic" w:cs="MS PGothic" w:eastAsia="MS PGothic" w:hAnsi="MS PGothic"/>
          <w:sz w:val="18"/>
          <w:szCs w:val="18"/>
          <w:color w:val="auto"/>
        </w:rPr>
        <w:t>‑</w:t>
      </w:r>
      <w:r>
        <w:rPr>
          <w:rFonts w:ascii="Arial" w:cs="Arial" w:eastAsia="Arial" w:hAnsi="Arial"/>
          <w:sz w:val="18"/>
          <w:szCs w:val="18"/>
          <w:color w:val="auto"/>
        </w:rPr>
        <w:t>room hotel, casino and entertainment facility located in downtown Reno, Nevada;</w:t>
      </w:r>
    </w:p>
    <w:p>
      <w:pPr>
        <w:spacing w:after="0" w:line="161" w:lineRule="exact"/>
        <w:rPr>
          <w:rFonts w:ascii="Arial" w:cs="Arial" w:eastAsia="Arial" w:hAnsi="Arial"/>
          <w:sz w:val="18"/>
          <w:szCs w:val="18"/>
          <w:color w:val="auto"/>
        </w:rPr>
      </w:pPr>
    </w:p>
    <w:p>
      <w:pPr>
        <w:ind w:left="980" w:right="360" w:hanging="329"/>
        <w:spacing w:after="0" w:line="203" w:lineRule="exact"/>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1,711</w:t>
      </w:r>
      <w:r>
        <w:rPr>
          <w:rFonts w:ascii="MS PGothic" w:cs="MS PGothic" w:eastAsia="MS PGothic" w:hAnsi="MS PGothic"/>
          <w:sz w:val="18"/>
          <w:szCs w:val="18"/>
          <w:color w:val="auto"/>
        </w:rPr>
        <w:t>‑</w:t>
      </w:r>
      <w:r>
        <w:rPr>
          <w:rFonts w:ascii="Arial" w:cs="Arial" w:eastAsia="Arial" w:hAnsi="Arial"/>
          <w:sz w:val="18"/>
          <w:szCs w:val="18"/>
          <w:color w:val="auto"/>
        </w:rPr>
        <w:t>room themed hotel and casino located adjacent to Eldorado Reno and Circus Reno;</w:t>
      </w:r>
    </w:p>
    <w:p>
      <w:pPr>
        <w:spacing w:after="0" w:line="161" w:lineRule="exact"/>
        <w:rPr>
          <w:rFonts w:ascii="Arial" w:cs="Arial" w:eastAsia="Arial" w:hAnsi="Arial"/>
          <w:sz w:val="18"/>
          <w:szCs w:val="18"/>
          <w:color w:val="auto"/>
        </w:rPr>
      </w:pPr>
    </w:p>
    <w:p>
      <w:pPr>
        <w:ind w:left="980" w:right="200" w:hanging="329"/>
        <w:spacing w:after="0" w:line="235"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 skywalk to Eldorado Reno and Silver Legacy;</w:t>
      </w:r>
    </w:p>
    <w:p>
      <w:pPr>
        <w:spacing w:after="0" w:line="161" w:lineRule="exact"/>
        <w:rPr>
          <w:rFonts w:ascii="Arial" w:cs="Arial" w:eastAsia="Arial" w:hAnsi="Arial"/>
          <w:sz w:val="18"/>
          <w:szCs w:val="18"/>
          <w:color w:val="auto"/>
        </w:rPr>
      </w:pPr>
    </w:p>
    <w:p>
      <w:pPr>
        <w:ind w:left="980" w:right="300" w:hanging="329"/>
        <w:spacing w:after="0" w:line="203" w:lineRule="exact"/>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Resort Casino Shreveport (“Eldorado Shreveport”)—A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situated on the Red River in Shreveport, Louisiana;</w:t>
      </w:r>
    </w:p>
    <w:p>
      <w:pPr>
        <w:spacing w:after="0" w:line="161" w:lineRule="exact"/>
        <w:rPr>
          <w:rFonts w:ascii="Arial" w:cs="Arial" w:eastAsia="Arial" w:hAnsi="Arial"/>
          <w:sz w:val="18"/>
          <w:szCs w:val="18"/>
          <w:color w:val="auto"/>
        </w:rPr>
      </w:pPr>
    </w:p>
    <w:p>
      <w:pPr>
        <w:ind w:left="980" w:right="620" w:hanging="329"/>
        <w:spacing w:after="0" w:line="194" w:lineRule="exact"/>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354</w:t>
      </w:r>
      <w:r>
        <w:rPr>
          <w:rFonts w:ascii="MS PGothic" w:cs="MS PGothic" w:eastAsia="MS PGothic" w:hAnsi="MS PGothic"/>
          <w:sz w:val="18"/>
          <w:szCs w:val="18"/>
          <w:color w:val="auto"/>
        </w:rPr>
        <w:t>‑</w:t>
      </w:r>
      <w:r>
        <w:rPr>
          <w:rFonts w:ascii="Arial" w:cs="Arial" w:eastAsia="Arial" w:hAnsi="Arial"/>
          <w:sz w:val="18"/>
          <w:szCs w:val="18"/>
          <w:color w:val="auto"/>
        </w:rPr>
        <w:t>room resort with a casino and live thoroughbred horse racing located on the Ohio River at the northern tip of West Virginia’s northwestern panhandle;</w:t>
      </w:r>
    </w:p>
    <w:p>
      <w:pPr>
        <w:spacing w:after="0" w:line="163" w:lineRule="exact"/>
        <w:rPr>
          <w:rFonts w:ascii="Arial" w:cs="Arial" w:eastAsia="Arial" w:hAnsi="Arial"/>
          <w:sz w:val="18"/>
          <w:szCs w:val="18"/>
          <w:color w:val="auto"/>
        </w:rPr>
      </w:pPr>
    </w:p>
    <w:p>
      <w:pPr>
        <w:ind w:left="980" w:right="280" w:hanging="329"/>
        <w:spacing w:after="0" w:line="235"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slot machines, table games and poker located in Erie, Pennsylvania; and</w:t>
      </w:r>
    </w:p>
    <w:p>
      <w:pPr>
        <w:spacing w:after="0" w:line="161" w:lineRule="exact"/>
        <w:rPr>
          <w:rFonts w:ascii="Arial" w:cs="Arial" w:eastAsia="Arial" w:hAnsi="Arial"/>
          <w:sz w:val="18"/>
          <w:szCs w:val="18"/>
          <w:color w:val="auto"/>
        </w:rPr>
      </w:pPr>
    </w:p>
    <w:p>
      <w:pPr>
        <w:ind w:left="980" w:right="280" w:hanging="329"/>
        <w:spacing w:after="0" w:line="235"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approximately 2,140 video lottery terminals (“VLT”) located 15 minutes from downtown Columbus, Ohio.</w:t>
      </w:r>
    </w:p>
    <w:p>
      <w:pPr>
        <w:spacing w:after="0" w:line="162" w:lineRule="exact"/>
        <w:rPr>
          <w:sz w:val="20"/>
          <w:szCs w:val="20"/>
          <w:color w:val="auto"/>
        </w:rPr>
      </w:pPr>
    </w:p>
    <w:p>
      <w:pPr>
        <w:ind w:right="520" w:firstLine="648"/>
        <w:spacing w:after="0" w:line="224" w:lineRule="auto"/>
        <w:rPr>
          <w:sz w:val="20"/>
          <w:szCs w:val="20"/>
          <w:color w:val="auto"/>
        </w:rPr>
      </w:pPr>
      <w:r>
        <w:rPr>
          <w:rFonts w:ascii="Arial" w:cs="Arial" w:eastAsia="Arial" w:hAnsi="Arial"/>
          <w:sz w:val="18"/>
          <w:szCs w:val="18"/>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89"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ERI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September 19, 2014 (the “Merger Date”), MTR Gaming and HoldCo each became a wholly owned subsidiary of ERI and, as a result of such transactions, Resorts became an indirect wholly owned subsidiary of ERI.</w:t>
      </w:r>
    </w:p>
    <w:p>
      <w:pPr>
        <w:spacing w:after="0" w:line="162" w:lineRule="exact"/>
        <w:rPr>
          <w:sz w:val="20"/>
          <w:szCs w:val="20"/>
          <w:color w:val="auto"/>
        </w:rPr>
      </w:pPr>
    </w:p>
    <w:p>
      <w:pPr>
        <w:ind w:right="20" w:firstLine="608"/>
        <w:spacing w:after="0" w:line="181" w:lineRule="exact"/>
        <w:rPr>
          <w:sz w:val="20"/>
          <w:szCs w:val="20"/>
          <w:color w:val="auto"/>
        </w:rPr>
      </w:pPr>
      <w:r>
        <w:rPr>
          <w:rFonts w:ascii="Arial" w:cs="Arial" w:eastAsia="Arial" w:hAnsi="Arial"/>
          <w:sz w:val="17"/>
          <w:szCs w:val="17"/>
          <w:color w:val="auto"/>
        </w:rPr>
        <w:t>Prior to November 24, 2015 (the “Acquisition Date”), Resorts owned a 48.1% interest in the joint venture (the “Silver Legacy Joint Venture”) which owns Silver Legacy. On November 24, 2015, Resorts consummated the acquisition of all of the assets and properties of Circus Circus Reno and the 50% membership interest in the Silver Legacy Joint Venture owned by Galleon, Inc. (collectively, the “Circus Reno/Silver Legacy Purchase” or the “Acquisition”) pursuant to a Purchase and Sale Agreement, dated July 7, 2015 (the “Purchase Agreement”), entered into with Circus Circus Casinos, Inc. and Galleon, Inc., each an affiliate of MGM Resorts International, with respect to the acquisition. On the Acquisition Date, Eldorado Resorts LLC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Strengths and Strategy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service and high quality amenities</w:t>
      </w:r>
    </w:p>
    <w:p>
      <w:pPr>
        <w:spacing w:after="0" w:line="63"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One of the cornerstones of our business strategy is to provide our customers with an extraordinary level of personal service. Our senior management is actively involved in the daily operations of our properties, frequently interacting with gaming, hotel and restaurant patrons to ensure that they are receiving the highest level of personal attention. Management believes that personal service is an integral part of fostering customer loyalty and generating repeat business. We continually monitor our casino operations to react to changing market conditions and customer demands. We target both premium-play and value-conscious gaming patrons with differentiated offerings at our state-of-the-art casinos, which feature the latest in game technology, innovative bonus options, dynamic signage and customer-convenient features.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portfolio across markets and customer segments</w:t>
      </w:r>
    </w:p>
    <w:p>
      <w:pPr>
        <w:spacing w:after="0" w:line="50"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are geographically diversified across the United States, with no single property accounting for more than 18% of our net revenues, on a combined basis, for the year ended December 31, 2015. Our customer pool draws from a diversified base of both local and out-of-town patrons. For example, approximately 20% of our customer base at Eldorado Reno is local, while 80% visit from out-of-town and utilize our hotel, restaurants and other amenities for a full-service gaming experience. We have also initiated changes to our marketing strategy to reach more potential customers through targeted direct mailings and electronic marketing. Lastly, we do not expect any material new competition in the foreseeable future as no new significant gaming operations have opened within the past two years in any of our primary markets with the sole exception of Hollywood Mahoning Casino in Youngstown, Ohio, which opened in September 2014. We believe we have assembled a platform on which we can continue to grow and provide a differentiated customer experience.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with deep gaming industry experience and strong local relationships</w:t>
      </w:r>
    </w:p>
    <w:p>
      <w:pPr>
        <w:spacing w:after="0" w:line="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We have an experienced management team that includes, among others, Gary Carano, our Chief Executive Officer and the Chairman of the Board, who has more than thirty years of experience in the gaming and hotel industry. Previously, Mr. Carano served as President and Chief Operating Officer of Eldorado Resorts LLC, where he was the driving force behind the Company's development and operations in Nevada and Louisiana. In addition to Gary Carano, our senior executives have significant experience in the gaming and finance industries. Our extensive management experience and unwavering commitment to our team members, guests and equity holders have been the primary drivers of our strategic goals and success. We take pride in our reinvestment in our properties and the communities we support along with emphasizing our family-style approach in an effort to build loyalty among our team members and guests. We will continue to focus on the future growth and diversification of our company while maintaining our core values and striving for operational excellence.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8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As of December 31, 2015, we owned and operated approximately 486,600 square feet of casino space with 10,300 slot machines and VLTs, 300 table and poker games, 45 restaurants and 4,900 hotel rooms.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financial reporting purposes, we aggregate our properties into three reportable business segments: (i) Nevada,</w:t>
      </w:r>
    </w:p>
    <w:p>
      <w:pPr>
        <w:spacing w:after="0" w:line="8" w:lineRule="exact"/>
        <w:rPr>
          <w:sz w:val="20"/>
          <w:szCs w:val="20"/>
          <w:color w:val="auto"/>
        </w:rPr>
      </w:pPr>
    </w:p>
    <w:p>
      <w:pPr>
        <w:ind w:right="200" w:firstLine="3"/>
        <w:spacing w:after="0" w:line="218"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Louisiana and (iii) Eastern. For further financial information related to our segments as of and for the three years ended December 31, 2015, see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statements presented in Part IV, Item 15. Financial Statement Schedules.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properties as of and for the year ended</w:t>
      </w:r>
    </w:p>
    <w:p>
      <w:pPr>
        <w:spacing w:after="0"/>
        <w:rPr>
          <w:sz w:val="20"/>
          <w:szCs w:val="20"/>
          <w:color w:val="auto"/>
        </w:rPr>
      </w:pPr>
      <w:r>
        <w:rPr>
          <w:rFonts w:ascii="Arial" w:cs="Arial" w:eastAsia="Arial" w:hAnsi="Arial"/>
          <w:sz w:val="18"/>
          <w:szCs w:val="18"/>
          <w:color w:val="auto"/>
        </w:rPr>
        <w:t>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Casino</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Table</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and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Opened</w:t>
            </w: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Space</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Slot</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Poker</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Hotel</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Hotel</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91"/>
              </w:rPr>
              <w:t>or Acquired</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95"/>
              </w:rPr>
              <w:t>(Sq. ft.)</w:t>
            </w:r>
          </w:p>
        </w:tc>
        <w:tc>
          <w:tcPr>
            <w:tcW w:w="7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90"/>
              </w:rPr>
              <w:t>Machines</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VLTs</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9"/>
              </w:rPr>
              <w:t>Games</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8"/>
              </w:rPr>
              <w:t>Rooms</w:t>
            </w: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2"/>
              </w:rPr>
              <w:t>Occupancy(2)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Rate(2)</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8"/>
                <w:szCs w:val="18"/>
                <w:b w:val="1"/>
                <w:bCs w:val="1"/>
                <w:color w:val="auto"/>
              </w:rPr>
              <w:t>Nevada</w:t>
            </w: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Eldorado Reno</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76,500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80.8 % $ 75.65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Silver Legacy(1)(2)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1995</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89,200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1,711</w:t>
            </w:r>
          </w:p>
        </w:tc>
        <w:tc>
          <w:tcPr>
            <w:tcW w:w="1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60.5 % $ 88.12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Circus Reno(2)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1,571</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53.7 % $ 65.90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color w:val="auto"/>
              </w:rPr>
              <w:t>Louisiana</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Eldorado Shreveport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28,200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91.4 % $ 63.71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b w:val="1"/>
                <w:bCs w:val="1"/>
                <w:color w:val="auto"/>
              </w:rPr>
              <w:t>Eastern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Mountaineer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93,300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79.6 % $ 47.24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Presque Isle Downs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61,400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Scioto Downs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2,143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140" w:hanging="394"/>
        <w:spacing w:after="0" w:line="236" w:lineRule="auto"/>
        <w:tabs>
          <w:tab w:leader="none" w:pos="436" w:val="left"/>
        </w:tabs>
        <w:numPr>
          <w:ilvl w:val="0"/>
          <w:numId w:val="5"/>
        </w:numPr>
        <w:rPr>
          <w:rFonts w:ascii="Arial" w:cs="Arial" w:eastAsia="Arial" w:hAnsi="Arial"/>
          <w:sz w:val="14"/>
          <w:szCs w:val="14"/>
          <w:color w:val="auto"/>
        </w:rPr>
      </w:pPr>
      <w:r>
        <w:rPr>
          <w:rFonts w:ascii="Arial" w:cs="Arial" w:eastAsia="Arial" w:hAnsi="Arial"/>
          <w:sz w:val="14"/>
          <w:szCs w:val="14"/>
          <w:color w:val="auto"/>
        </w:rPr>
        <w:t>Silver Legacy opened in 1995 and was a 50/50 joint venture between Resorts and MGM Resorts International until we acquired the remaining 50% interest in 2015.</w:t>
      </w:r>
    </w:p>
    <w:p>
      <w:pPr>
        <w:ind w:left="440" w:hanging="329"/>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Hotel occupancy and ADR statistics are for the full twelve month period for Silver Legacy and Circus Reno.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189"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Eldorado Reno, Silver Legacy and Circus Reno properties, (the “Reno Tri-Properties”) are connected in a “seamless” manner by enclosed, climate controlled corridors. These enclosed corridors serve as entertainment bridge ways between the three properties and house slot machines, restaurants and retail shops. The Reno Tri-Properties comprise the heart of the Reno market’s prime gaming area and room base, providing the most extensive and the broadest variety of gaming, entertainment, lodging and dining amenities in the Reno area, with an aggregate of 4,096 rooms, 23 restaurants and enough parking to accommodate approximately 6,100 vehicles, and as of December 31, 2015, approximately 3,400 slot machines and 150 table and poker games. We believe that the centralized location and critical mass of these three properties, together with the ease of access between the facilities, provide significant advantages over other freestanding hotel/casinos in the Reno market.</w:t>
      </w:r>
    </w:p>
    <w:p>
      <w:pPr>
        <w:spacing w:after="0" w:line="162"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8"/>
          <w:szCs w:val="18"/>
          <w:color w:val="auto"/>
        </w:rPr>
        <w:t>A city</w:t>
      </w:r>
      <w:r>
        <w:rPr>
          <w:rFonts w:ascii="MS PGothic" w:cs="MS PGothic" w:eastAsia="MS PGothic" w:hAnsi="MS PGothic"/>
          <w:sz w:val="18"/>
          <w:szCs w:val="18"/>
          <w:color w:val="auto"/>
        </w:rPr>
        <w:t>‑</w:t>
      </w:r>
      <w:r>
        <w:rPr>
          <w:rFonts w:ascii="Arial" w:cs="Arial" w:eastAsia="Arial" w:hAnsi="Arial"/>
          <w:sz w:val="18"/>
          <w:szCs w:val="18"/>
          <w:color w:val="auto"/>
        </w:rPr>
        <w:t>owned 50,000 square</w:t>
      </w:r>
      <w:r>
        <w:rPr>
          <w:rFonts w:ascii="MS PGothic" w:cs="MS PGothic" w:eastAsia="MS PGothic" w:hAnsi="MS PGothic"/>
          <w:sz w:val="18"/>
          <w:szCs w:val="18"/>
          <w:color w:val="auto"/>
        </w:rPr>
        <w:t>‑</w:t>
      </w:r>
      <w:r>
        <w:rPr>
          <w:rFonts w:ascii="Arial" w:cs="Arial" w:eastAsia="Arial" w:hAnsi="Arial"/>
          <w:sz w:val="18"/>
          <w:szCs w:val="18"/>
          <w:color w:val="auto"/>
        </w:rPr>
        <w:t>foot ballroom containing approximately 35,000 square feet of convention space is operated and managed by Silver Legacy, together with Eldorado Reno and Circus Reno, and complements the existing Reno Events Center. It provides an elegant venue for large dinner functions and convention meeting space along with concert seating for approximately 3,000 attendees.</w:t>
      </w:r>
    </w:p>
    <w:p>
      <w:pPr>
        <w:spacing w:after="0" w:line="163"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Reno is the second largest metropolitan area in Nevada, with a population of approximately 450,000 according to the most recently available census data, and is located at the base of the Sierra Nevada Mountains along Interstate 80, approximately 135 miles east of Sacramento, California and 225 miles east of San Francisco, California. Reno is a destination market that attracts year</w:t>
      </w:r>
      <w:r>
        <w:rPr>
          <w:rFonts w:ascii="MS PGothic" w:cs="MS PGothic" w:eastAsia="MS PGothic" w:hAnsi="MS PGothic"/>
          <w:sz w:val="17"/>
          <w:szCs w:val="17"/>
          <w:color w:val="auto"/>
        </w:rPr>
        <w:t>‑</w:t>
      </w:r>
      <w:r>
        <w:rPr>
          <w:rFonts w:ascii="Arial" w:cs="Arial" w:eastAsia="Arial" w:hAnsi="Arial"/>
          <w:sz w:val="17"/>
          <w:szCs w:val="17"/>
          <w:color w:val="auto"/>
        </w:rPr>
        <w:t>round visitation by offering gaming, numerous summer and winter recreational activities and popular special events such as national bowling tournaments. Management believes that approximately two</w:t>
      </w:r>
      <w:r>
        <w:rPr>
          <w:rFonts w:ascii="MS PGothic" w:cs="MS PGothic" w:eastAsia="MS PGothic" w:hAnsi="MS PGothic"/>
          <w:sz w:val="17"/>
          <w:szCs w:val="17"/>
          <w:color w:val="auto"/>
        </w:rPr>
        <w:t>‑</w:t>
      </w:r>
      <w:r>
        <w:rPr>
          <w:rFonts w:ascii="Arial" w:cs="Arial" w:eastAsia="Arial" w:hAnsi="Arial"/>
          <w:sz w:val="17"/>
          <w:szCs w:val="17"/>
          <w:color w:val="auto"/>
        </w:rPr>
        <w:t>thirds of visitors to the Reno market arrive by some form of ground transportation. Popular special events include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National Championship Air Races, a PGA tour event, Street Vibrations, a motorcycle event, and Hot August Nights, a vintage car event.</w:t>
      </w:r>
    </w:p>
    <w:p>
      <w:pPr>
        <w:spacing w:after="0" w:line="162" w:lineRule="exact"/>
        <w:rPr>
          <w:sz w:val="20"/>
          <w:szCs w:val="20"/>
          <w:color w:val="auto"/>
        </w:rPr>
      </w:pPr>
    </w:p>
    <w:p>
      <w:pPr>
        <w:ind w:right="280" w:firstLine="648"/>
        <w:spacing w:after="0" w:line="189" w:lineRule="exact"/>
        <w:rPr>
          <w:sz w:val="20"/>
          <w:szCs w:val="20"/>
          <w:color w:val="auto"/>
        </w:rPr>
      </w:pPr>
      <w:r>
        <w:rPr>
          <w:rFonts w:ascii="Arial" w:cs="Arial" w:eastAsia="Arial" w:hAnsi="Arial"/>
          <w:sz w:val="17"/>
          <w:szCs w:val="17"/>
          <w:color w:val="auto"/>
        </w:rPr>
        <w:t>According to the Reno</w:t>
      </w:r>
      <w:r>
        <w:rPr>
          <w:rFonts w:ascii="MS PGothic" w:cs="MS PGothic" w:eastAsia="MS PGothic" w:hAnsi="MS PGothic"/>
          <w:sz w:val="17"/>
          <w:szCs w:val="17"/>
          <w:color w:val="auto"/>
        </w:rPr>
        <w:t>‑</w:t>
      </w:r>
      <w:r>
        <w:rPr>
          <w:rFonts w:ascii="Arial" w:cs="Arial" w:eastAsia="Arial" w:hAnsi="Arial"/>
          <w:sz w:val="17"/>
          <w:szCs w:val="17"/>
          <w:color w:val="auto"/>
        </w:rPr>
        <w:t>Sparks Convention &amp; Visitors Authority (the “Visitors Authority”), the greater Reno area attracted approximately 4.7 million and 4.6 million visitors during the years 2015 and 2014, respectively. Based on information reported by the Nevada State Gaming Control Board, gaming revenues for the Reno/Sparks gaming markets were $694.0 million, $671.6 million and $670.1 million in 2015, 2014 and 2013, respectively.</w:t>
      </w:r>
    </w:p>
    <w:p>
      <w:pPr>
        <w:spacing w:after="0" w:line="163"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The National Bowling Stadium, located one block from the Reno Tri-Properties, is one of the largest bowling complexes in North America and has been selected to host multi</w:t>
      </w:r>
      <w:r>
        <w:rPr>
          <w:rFonts w:ascii="MS PGothic" w:cs="MS PGothic" w:eastAsia="MS PGothic" w:hAnsi="MS PGothic"/>
          <w:sz w:val="16"/>
          <w:szCs w:val="16"/>
          <w:color w:val="auto"/>
        </w:rPr>
        <w:t>‑</w:t>
      </w:r>
      <w:r>
        <w:rPr>
          <w:rFonts w:ascii="Arial" w:cs="Arial" w:eastAsia="Arial" w:hAnsi="Arial"/>
          <w:sz w:val="16"/>
          <w:szCs w:val="16"/>
          <w:color w:val="auto"/>
        </w:rPr>
        <w:t>month tournaments in Reno every year through 2018 except for 2017. It has also been selected to host ten United States Bowling Congress (“USBC”) tournaments from 2019 through 2026. During this period, two of the ten USBC Tournaments may be held in the same year. Historically, these multi</w:t>
      </w:r>
      <w:r>
        <w:rPr>
          <w:rFonts w:ascii="MS PGothic" w:cs="MS PGothic" w:eastAsia="MS PGothic" w:hAnsi="MS PGothic"/>
          <w:sz w:val="16"/>
          <w:szCs w:val="16"/>
          <w:color w:val="auto"/>
        </w:rPr>
        <w:t>‑</w:t>
      </w:r>
      <w:r>
        <w:rPr>
          <w:rFonts w:ascii="Arial" w:cs="Arial" w:eastAsia="Arial" w:hAnsi="Arial"/>
          <w:sz w:val="16"/>
          <w:szCs w:val="16"/>
          <w:color w:val="auto"/>
        </w:rPr>
        <w:t>month bowling tournaments have attracted a significant number of visitors to the Reno market and have benefited business in the downtown area. The USBC Tournaments brought approximately 73,000 bowlers to the Reno area during the 2013 tournament period which began on March 1st and continued through July 7th. Both tournaments returned to Reno in 2014 and brought approximately 62,000 bowlers to the Reno area during the 2014 tournament period which began on</w:t>
      </w:r>
    </w:p>
    <w:p>
      <w:pPr>
        <w:spacing w:after="0" w:line="4" w:lineRule="exact"/>
        <w:rPr>
          <w:sz w:val="20"/>
          <w:szCs w:val="20"/>
          <w:color w:val="auto"/>
        </w:rPr>
      </w:pPr>
    </w:p>
    <w:p>
      <w:pPr>
        <w:ind w:right="200"/>
        <w:spacing w:after="0" w:line="218" w:lineRule="auto"/>
        <w:rPr>
          <w:sz w:val="20"/>
          <w:szCs w:val="20"/>
          <w:color w:val="auto"/>
        </w:rPr>
      </w:pPr>
      <w:r>
        <w:rPr>
          <w:rFonts w:ascii="Arial" w:cs="Arial" w:eastAsia="Arial" w:hAnsi="Arial"/>
          <w:sz w:val="18"/>
          <w:szCs w:val="18"/>
          <w:color w:val="auto"/>
        </w:rPr>
        <w:t>February 28th and continued through July 12th. The USBC Tournament attracted approximately 15,600 women bowlers to the Reno market from March to July in 2015. Both tournaments return to Reno in 2016 and are expected to attract approximately 38,000 bowlers beginning in March and continuing through July 10th.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Eldorado Reno</w:t>
      </w:r>
    </w:p>
    <w:p>
      <w:pPr>
        <w:spacing w:after="0" w:line="185" w:lineRule="exact"/>
        <w:rPr>
          <w:sz w:val="20"/>
          <w:szCs w:val="20"/>
          <w:color w:val="auto"/>
        </w:rPr>
      </w:pPr>
    </w:p>
    <w:p>
      <w:pPr>
        <w:jc w:val="both"/>
        <w:ind w:right="80" w:firstLine="648"/>
        <w:spacing w:after="0" w:line="187" w:lineRule="exact"/>
        <w:rPr>
          <w:sz w:val="20"/>
          <w:szCs w:val="20"/>
          <w:color w:val="auto"/>
        </w:rPr>
      </w:pPr>
      <w:r>
        <w:rPr>
          <w:rFonts w:ascii="Arial" w:cs="Arial" w:eastAsia="Arial" w:hAnsi="Arial"/>
          <w:sz w:val="18"/>
          <w:szCs w:val="18"/>
          <w:color w:val="auto"/>
        </w:rPr>
        <w:t>We own and operate the Eldorado Reno, an 814</w:t>
      </w:r>
      <w:r>
        <w:rPr>
          <w:rFonts w:ascii="MS PGothic" w:cs="MS PGothic" w:eastAsia="MS PGothic" w:hAnsi="MS PGothic"/>
          <w:sz w:val="18"/>
          <w:szCs w:val="18"/>
          <w:color w:val="auto"/>
        </w:rPr>
        <w:t>‑</w:t>
      </w:r>
      <w:r>
        <w:rPr>
          <w:rFonts w:ascii="Arial" w:cs="Arial" w:eastAsia="Arial" w:hAnsi="Arial"/>
          <w:sz w:val="18"/>
          <w:szCs w:val="18"/>
          <w:color w:val="auto"/>
        </w:rPr>
        <w:t>room premier hotel, casino and entertainment facility. The interior of the hotel is designed to create a European ambiance where hotel guests enjoy panoramic views of Reno’s skyline and the majestic Sierra Nevada mountain range. Management believes the attention to detail, décor and architecture have created an identifiable and innovative presence in the Reno market for Eldorado Reno. Eldorado Reno is centrally located in downtown Reno, Nevada.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Eldorado Reno currently offers:</w:t>
      </w:r>
    </w:p>
    <w:p>
      <w:pPr>
        <w:spacing w:after="0" w:line="185" w:lineRule="exact"/>
        <w:rPr>
          <w:sz w:val="20"/>
          <w:szCs w:val="20"/>
          <w:color w:val="auto"/>
        </w:rPr>
      </w:pPr>
    </w:p>
    <w:p>
      <w:pPr>
        <w:ind w:left="980" w:right="240" w:hanging="329"/>
        <w:spacing w:after="0" w:line="235"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76,500 square feet of gaming space, with approximately 1,200 slot machines and 57 table and poker games;</w:t>
      </w:r>
    </w:p>
    <w:p>
      <w:pPr>
        <w:spacing w:after="0" w:line="161" w:lineRule="exact"/>
        <w:rPr>
          <w:rFonts w:ascii="Arial" w:cs="Arial" w:eastAsia="Arial" w:hAnsi="Arial"/>
          <w:sz w:val="18"/>
          <w:szCs w:val="18"/>
          <w:color w:val="auto"/>
        </w:rPr>
      </w:pPr>
    </w:p>
    <w:p>
      <w:pPr>
        <w:ind w:left="980" w:right="400" w:hanging="329"/>
        <w:spacing w:after="0" w:line="203" w:lineRule="exact"/>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814 finely</w:t>
      </w:r>
      <w:r>
        <w:rPr>
          <w:rFonts w:ascii="MS PGothic" w:cs="MS PGothic" w:eastAsia="MS PGothic" w:hAnsi="MS PGothic"/>
          <w:sz w:val="18"/>
          <w:szCs w:val="18"/>
          <w:color w:val="auto"/>
        </w:rPr>
        <w:t>‑</w:t>
      </w:r>
      <w:r>
        <w:rPr>
          <w:rFonts w:ascii="Arial" w:cs="Arial" w:eastAsia="Arial" w:hAnsi="Arial"/>
          <w:sz w:val="18"/>
          <w:szCs w:val="18"/>
          <w:color w:val="auto"/>
        </w:rPr>
        <w:t>appointed guest rooms, including 134 suites, which include “Eldorado Player’s Spa Suites” with bedside spas and one or two bedroom suites;</w:t>
      </w:r>
    </w:p>
    <w:p>
      <w:pPr>
        <w:spacing w:after="0" w:line="161" w:lineRule="exact"/>
        <w:rPr>
          <w:rFonts w:ascii="Arial" w:cs="Arial" w:eastAsia="Arial" w:hAnsi="Arial"/>
          <w:sz w:val="18"/>
          <w:szCs w:val="18"/>
          <w:color w:val="auto"/>
        </w:rPr>
      </w:pPr>
    </w:p>
    <w:p>
      <w:pPr>
        <w:ind w:left="980" w:right="20" w:hanging="329"/>
        <w:spacing w:after="0" w:line="203" w:lineRule="exact"/>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Nine restaurants featuring nationally</w:t>
      </w:r>
      <w:r>
        <w:rPr>
          <w:rFonts w:ascii="MS PGothic" w:cs="MS PGothic" w:eastAsia="MS PGothic" w:hAnsi="MS PGothic"/>
          <w:sz w:val="18"/>
          <w:szCs w:val="18"/>
          <w:color w:val="auto"/>
        </w:rPr>
        <w:t>‑</w:t>
      </w:r>
      <w:r>
        <w:rPr>
          <w:rFonts w:ascii="Arial" w:cs="Arial" w:eastAsia="Arial" w:hAnsi="Arial"/>
          <w:sz w:val="18"/>
          <w:szCs w:val="18"/>
          <w:color w:val="auto"/>
        </w:rPr>
        <w:t>recognized cuisine which ranges from buffet to gourmet, with an aggregate seating capacity of more than 1,400;</w:t>
      </w:r>
    </w:p>
    <w:p>
      <w:pPr>
        <w:spacing w:after="0" w:line="161" w:lineRule="exact"/>
        <w:rPr>
          <w:rFonts w:ascii="Arial" w:cs="Arial" w:eastAsia="Arial" w:hAnsi="Arial"/>
          <w:sz w:val="18"/>
          <w:szCs w:val="18"/>
          <w:color w:val="auto"/>
        </w:rPr>
      </w:pPr>
    </w:p>
    <w:p>
      <w:pPr>
        <w:ind w:left="980" w:right="400" w:hanging="329"/>
        <w:spacing w:after="0" w:line="194" w:lineRule="exact"/>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560</w:t>
      </w:r>
      <w:r>
        <w:rPr>
          <w:rFonts w:ascii="MS PGothic" w:cs="MS PGothic" w:eastAsia="MS PGothic" w:hAnsi="MS PGothic"/>
          <w:sz w:val="18"/>
          <w:szCs w:val="18"/>
          <w:color w:val="auto"/>
        </w:rPr>
        <w:t>‑</w:t>
      </w:r>
      <w:r>
        <w:rPr>
          <w:rFonts w:ascii="Arial" w:cs="Arial" w:eastAsia="Arial" w:hAnsi="Arial"/>
          <w:sz w:val="18"/>
          <w:szCs w:val="18"/>
          <w:color w:val="auto"/>
        </w:rPr>
        <w:t>seat showroom, a VIP lounge, three retail shops, a versatile 12,010 square foot convention center and an outdoor plaza located diagonal to Eldorado Reno which hosts a variety of special events; and</w:t>
      </w:r>
    </w:p>
    <w:p>
      <w:pPr>
        <w:spacing w:after="0" w:line="163" w:lineRule="exact"/>
        <w:rPr>
          <w:rFonts w:ascii="Arial" w:cs="Arial" w:eastAsia="Arial" w:hAnsi="Arial"/>
          <w:sz w:val="18"/>
          <w:szCs w:val="18"/>
          <w:color w:val="auto"/>
        </w:rPr>
      </w:pPr>
    </w:p>
    <w:p>
      <w:pPr>
        <w:ind w:left="980" w:right="200" w:hanging="329"/>
        <w:spacing w:after="0" w:line="203" w:lineRule="exact"/>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Parking facilities for over 1,100 vehicles, including an approximately 640</w:t>
      </w:r>
      <w:r>
        <w:rPr>
          <w:rFonts w:ascii="MS PGothic" w:cs="MS PGothic" w:eastAsia="MS PGothic" w:hAnsi="MS PGothic"/>
          <w:sz w:val="18"/>
          <w:szCs w:val="18"/>
          <w:color w:val="auto"/>
        </w:rPr>
        <w:t>‑</w:t>
      </w:r>
      <w:r>
        <w:rPr>
          <w:rFonts w:ascii="Arial" w:cs="Arial" w:eastAsia="Arial" w:hAnsi="Arial"/>
          <w:sz w:val="18"/>
          <w:szCs w:val="18"/>
          <w:color w:val="auto"/>
        </w:rPr>
        <w:t>space self</w:t>
      </w:r>
      <w:r>
        <w:rPr>
          <w:rFonts w:ascii="MS PGothic" w:cs="MS PGothic" w:eastAsia="MS PGothic" w:hAnsi="MS PGothic"/>
          <w:sz w:val="18"/>
          <w:szCs w:val="18"/>
          <w:color w:val="auto"/>
        </w:rPr>
        <w:t>‑</w:t>
      </w:r>
      <w:r>
        <w:rPr>
          <w:rFonts w:ascii="Arial" w:cs="Arial" w:eastAsia="Arial" w:hAnsi="Arial"/>
          <w:sz w:val="18"/>
          <w:szCs w:val="18"/>
          <w:color w:val="auto"/>
        </w:rPr>
        <w:t>park garage, a 120</w:t>
      </w:r>
      <w:r>
        <w:rPr>
          <w:rFonts w:ascii="MS PGothic" w:cs="MS PGothic" w:eastAsia="MS PGothic" w:hAnsi="MS PGothic"/>
          <w:sz w:val="18"/>
          <w:szCs w:val="18"/>
          <w:color w:val="auto"/>
        </w:rPr>
        <w:t>‑</w:t>
      </w:r>
      <w:r>
        <w:rPr>
          <w:rFonts w:ascii="Arial" w:cs="Arial" w:eastAsia="Arial" w:hAnsi="Arial"/>
          <w:sz w:val="18"/>
          <w:szCs w:val="18"/>
          <w:color w:val="auto"/>
        </w:rPr>
        <w:t>space surface parking lot and a 350</w:t>
      </w:r>
      <w:r>
        <w:rPr>
          <w:rFonts w:ascii="MS PGothic" w:cs="MS PGothic" w:eastAsia="MS PGothic" w:hAnsi="MS PGothic"/>
          <w:sz w:val="18"/>
          <w:szCs w:val="18"/>
          <w:color w:val="auto"/>
        </w:rPr>
        <w:t>‑</w:t>
      </w:r>
      <w:r>
        <w:rPr>
          <w:rFonts w:ascii="Arial" w:cs="Arial" w:eastAsia="Arial" w:hAnsi="Arial"/>
          <w:sz w:val="18"/>
          <w:szCs w:val="18"/>
          <w:color w:val="auto"/>
        </w:rPr>
        <w:t>space valet parking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Silver Legacy</w:t>
      </w:r>
    </w:p>
    <w:p>
      <w:pPr>
        <w:spacing w:after="0" w:line="18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Silver Legacy, formerly a joint venture between Resorts and MGM Resorts International (the “Silver Legacy Joint Venture”) in which we acquired the remaining 50% interest on November 24, 2015, opened in July 1995. Silver Legacy is the tallest building in northern Nevada consisting of 37-, 34- and 31-floor tiers. Silver Legacy’s opulent interior showcases a casino built around Sam Fairchild’s 120-foot tall mining rig, which appears to mine for silver. The rig is situated beneath a 180-foot diameter dome, which is a distinctive landmark on the Reno skyline. The interior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surface of the dome features dynamic sound and laser light shows, providing visitors with a unique experience when they are in the casino. The Silver Legacy is centrally located in downtown Reno, Nevada.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Silver Legacy features:</w:t>
      </w:r>
    </w:p>
    <w:p>
      <w:pPr>
        <w:spacing w:after="0" w:line="185" w:lineRule="exact"/>
        <w:rPr>
          <w:sz w:val="20"/>
          <w:szCs w:val="20"/>
          <w:color w:val="auto"/>
        </w:rPr>
      </w:pPr>
    </w:p>
    <w:p>
      <w:pPr>
        <w:ind w:left="980" w:right="520" w:hanging="329"/>
        <w:spacing w:after="0" w:line="235"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89,200 square feet of gaming space, with approximately 1,300 slot machines and 63 table games;</w:t>
      </w:r>
    </w:p>
    <w:p>
      <w:pPr>
        <w:spacing w:after="0" w:line="161" w:lineRule="exact"/>
        <w:rPr>
          <w:rFonts w:ascii="Arial" w:cs="Arial" w:eastAsia="Arial" w:hAnsi="Arial"/>
          <w:sz w:val="18"/>
          <w:szCs w:val="18"/>
          <w:color w:val="auto"/>
        </w:rPr>
      </w:pPr>
    </w:p>
    <w:p>
      <w:pPr>
        <w:ind w:left="980" w:hanging="329"/>
        <w:spacing w:after="0" w:line="203" w:lineRule="exact"/>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1,711 finely</w:t>
      </w:r>
      <w:r>
        <w:rPr>
          <w:rFonts w:ascii="MS PGothic" w:cs="MS PGothic" w:eastAsia="MS PGothic" w:hAnsi="MS PGothic"/>
          <w:sz w:val="18"/>
          <w:szCs w:val="18"/>
          <w:color w:val="auto"/>
        </w:rPr>
        <w:t>‑</w:t>
      </w:r>
      <w:r>
        <w:rPr>
          <w:rFonts w:ascii="Arial" w:cs="Arial" w:eastAsia="Arial" w:hAnsi="Arial"/>
          <w:sz w:val="18"/>
          <w:szCs w:val="18"/>
          <w:color w:val="auto"/>
        </w:rPr>
        <w:t>appointed guest rooms, including 141 player spa suites, eight penthouse suites and seven hospitality suites;</w:t>
      </w:r>
    </w:p>
    <w:p>
      <w:pPr>
        <w:spacing w:after="0" w:line="161" w:lineRule="exact"/>
        <w:rPr>
          <w:rFonts w:ascii="Arial" w:cs="Arial" w:eastAsia="Arial" w:hAnsi="Arial"/>
          <w:sz w:val="18"/>
          <w:szCs w:val="18"/>
          <w:color w:val="auto"/>
        </w:rPr>
      </w:pPr>
    </w:p>
    <w:p>
      <w:pPr>
        <w:ind w:left="980" w:right="120" w:hanging="329"/>
        <w:spacing w:after="0" w:line="235"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Eight restaurants, which have an aggregate seating capacity of more than 1,000, offering award winning dining cuisine; and</w:t>
      </w:r>
    </w:p>
    <w:p>
      <w:pPr>
        <w:spacing w:after="0" w:line="161" w:lineRule="exact"/>
        <w:rPr>
          <w:rFonts w:ascii="Arial" w:cs="Arial" w:eastAsia="Arial" w:hAnsi="Arial"/>
          <w:sz w:val="18"/>
          <w:szCs w:val="18"/>
          <w:color w:val="auto"/>
        </w:rPr>
      </w:pPr>
    </w:p>
    <w:p>
      <w:pPr>
        <w:ind w:left="980" w:right="500" w:hanging="329"/>
        <w:spacing w:after="0" w:line="235"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shops, exercise and spa facilities, a beauty salon and an outdoor swimming pool and sundeck and a parking garage which can accommodate approximately 1,800 vehicles.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Circus Reno</w:t>
      </w:r>
    </w:p>
    <w:p>
      <w:pPr>
        <w:spacing w:after="0" w:line="185"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Circus Reno, which we acquired on November 24, 2015, is an iconic, circus</w:t>
      </w:r>
      <w:r>
        <w:rPr>
          <w:rFonts w:ascii="MS PGothic" w:cs="MS PGothic" w:eastAsia="MS PGothic" w:hAnsi="MS PGothic"/>
          <w:sz w:val="18"/>
          <w:szCs w:val="18"/>
          <w:color w:val="auto"/>
        </w:rPr>
        <w:t>‑</w:t>
      </w:r>
      <w:r>
        <w:rPr>
          <w:rFonts w:ascii="Arial" w:cs="Arial" w:eastAsia="Arial" w:hAnsi="Arial"/>
          <w:sz w:val="18"/>
          <w:szCs w:val="18"/>
          <w:color w:val="auto"/>
        </w:rPr>
        <w:t>themed hotel</w:t>
      </w:r>
      <w:r>
        <w:rPr>
          <w:rFonts w:ascii="MS PGothic" w:cs="MS PGothic" w:eastAsia="MS PGothic" w:hAnsi="MS PGothic"/>
          <w:sz w:val="18"/>
          <w:szCs w:val="18"/>
          <w:color w:val="auto"/>
        </w:rPr>
        <w:t>‑</w:t>
      </w:r>
      <w:r>
        <w:rPr>
          <w:rFonts w:ascii="Arial" w:cs="Arial" w:eastAsia="Arial" w:hAnsi="Arial"/>
          <w:sz w:val="18"/>
          <w:szCs w:val="18"/>
          <w:color w:val="auto"/>
        </w:rPr>
        <w:t>casino and entertainment complex with two hotel towers. It is conveniently located as the first casino directly off of Interstate 80 when entering downtown Reno, Nevada.</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Circus Reno currently offers:</w:t>
      </w:r>
    </w:p>
    <w:p>
      <w:pPr>
        <w:spacing w:after="0" w:line="185" w:lineRule="exact"/>
        <w:rPr>
          <w:sz w:val="20"/>
          <w:szCs w:val="20"/>
          <w:color w:val="auto"/>
        </w:rPr>
      </w:pPr>
    </w:p>
    <w:p>
      <w:pPr>
        <w:ind w:left="940" w:hanging="289"/>
        <w:spacing w:after="0"/>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Approximately 55,000 square feet of gaming space, with approximately 900 slot machines and 34 table games;</w:t>
      </w:r>
    </w:p>
    <w:p>
      <w:pPr>
        <w:spacing w:after="0" w:line="207" w:lineRule="exact"/>
        <w:rPr>
          <w:rFonts w:ascii="Arial" w:cs="Arial" w:eastAsia="Arial" w:hAnsi="Arial"/>
          <w:sz w:val="16"/>
          <w:szCs w:val="16"/>
          <w:color w:val="auto"/>
        </w:rPr>
      </w:pPr>
    </w:p>
    <w:p>
      <w:pPr>
        <w:ind w:left="940" w:hanging="289"/>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1,571 hotel rooms, including 67 mini suites, four executive suites and four VIP suites;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3,200 parking spaces including a surface lot and two garages;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fine dining restaurants, a buffet and three casual dining restaurants; and</w:t>
      </w:r>
    </w:p>
    <w:p>
      <w:pPr>
        <w:spacing w:after="0" w:line="184" w:lineRule="exact"/>
        <w:rPr>
          <w:rFonts w:ascii="Arial" w:cs="Arial" w:eastAsia="Arial" w:hAnsi="Arial"/>
          <w:sz w:val="18"/>
          <w:szCs w:val="18"/>
          <w:color w:val="auto"/>
        </w:rPr>
      </w:pPr>
    </w:p>
    <w:p>
      <w:pPr>
        <w:ind w:left="980" w:right="400" w:hanging="329"/>
        <w:spacing w:after="0" w:line="235"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midway featuring a total of 158 games, live circus acts, an arcade and a full service wedding chapel with reception services for groups of 25 or more.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Louisiana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Eldorado Shreveport</w:t>
      </w:r>
    </w:p>
    <w:p>
      <w:pPr>
        <w:spacing w:after="0" w:line="18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Eldorado Shreveport is a premier resort casino located in Shreveport, Louisiana, the largest gaming market in Louisiana, adjacent to Interstate 20, a major highway that connects the Shreveport market with the attractive feeder markets of East Texas and Dallas/Fort Worth, Texas. Eldorado Shreveport was built next to an existing riverboat gaming and hotel facility formerly operated by Harrah’s Entertainment and now operated by Boyd Gaming Corporation. The two casinos form the first and only “cluster” in the Shreveport/Bossier City market, allowing patrons to park once and easily walk between the two facilities. There are currently six casinos and a racino operating in the Shreveport/Bossier City market in Louisiana. The Shreveport/Bossier City gaming market permits continuous dockside gaming without cruising requirements or simulated cruising schedules, allowing casinos to operate 24 hours a day with uninterrupted access. Based on information published by the state of Louisiana, the six casino operators and racino in the Shreveport/Bossier City market generated $732.5 million, $736.1 million, and $727.3 million in gaming revenues in 2015, 2014 and 2013,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color w:val="auto"/>
        </w:rPr>
        <w:t>The principal target markets for Eldorado Shreveport are patrons from the Dallas/Fort Worth Metroplex and East Texas. There are approximately 7.6 million adults who reside within approximately 200 miles of Shreveport/Bossier City. Eldorado Shreveport is located approximately 180 miles east of Dallas and can be reached by car in approximately three hours. Flight times are less than one hour from both Dallas and Houston to the Shreveport Regional Airport.</w:t>
      </w:r>
    </w:p>
    <w:p>
      <w:pPr>
        <w:spacing w:after="0" w:line="155" w:lineRule="exact"/>
        <w:rPr>
          <w:sz w:val="20"/>
          <w:szCs w:val="20"/>
          <w:color w:val="auto"/>
        </w:rPr>
      </w:pPr>
    </w:p>
    <w:p>
      <w:pPr>
        <w:ind w:right="40" w:firstLine="648"/>
        <w:spacing w:after="0" w:line="203" w:lineRule="exact"/>
        <w:rPr>
          <w:sz w:val="20"/>
          <w:szCs w:val="20"/>
          <w:color w:val="auto"/>
        </w:rPr>
      </w:pPr>
      <w:r>
        <w:rPr>
          <w:rFonts w:ascii="Arial" w:cs="Arial" w:eastAsia="Arial" w:hAnsi="Arial"/>
          <w:sz w:val="17"/>
          <w:szCs w:val="17"/>
          <w:color w:val="auto"/>
        </w:rPr>
        <w:t>Eldorado Shreveport is a modern, Las Vegas</w:t>
      </w:r>
      <w:r>
        <w:rPr>
          <w:rFonts w:ascii="MS PGothic" w:cs="MS PGothic" w:eastAsia="MS PGothic" w:hAnsi="MS PGothic"/>
          <w:sz w:val="17"/>
          <w:szCs w:val="17"/>
          <w:color w:val="auto"/>
        </w:rPr>
        <w:t>‑</w:t>
      </w:r>
      <w:r>
        <w:rPr>
          <w:rFonts w:ascii="Arial" w:cs="Arial" w:eastAsia="Arial" w:hAnsi="Arial"/>
          <w:sz w:val="17"/>
          <w:szCs w:val="17"/>
          <w:color w:val="auto"/>
        </w:rPr>
        <w:t>style resort with a gaming experience that appeals to both local gamers and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town visitors. Our integrated casino and entertainment resort benefits from the following features:</w:t>
      </w:r>
    </w:p>
    <w:p>
      <w:pPr>
        <w:spacing w:after="0" w:line="162" w:lineRule="exact"/>
        <w:rPr>
          <w:sz w:val="20"/>
          <w:szCs w:val="20"/>
          <w:color w:val="auto"/>
        </w:rPr>
      </w:pPr>
    </w:p>
    <w:p>
      <w:pPr>
        <w:ind w:left="980" w:right="160" w:hanging="329"/>
        <w:spacing w:after="0" w:line="194" w:lineRule="exact"/>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purpose</w:t>
      </w:r>
      <w:r>
        <w:rPr>
          <w:rFonts w:ascii="MS PGothic" w:cs="MS PGothic" w:eastAsia="MS PGothic" w:hAnsi="MS PGothic"/>
          <w:sz w:val="18"/>
          <w:szCs w:val="18"/>
          <w:color w:val="auto"/>
        </w:rPr>
        <w:t>‑</w:t>
      </w:r>
      <w:r>
        <w:rPr>
          <w:rFonts w:ascii="Arial" w:cs="Arial" w:eastAsia="Arial" w:hAnsi="Arial"/>
          <w:sz w:val="18"/>
          <w:szCs w:val="18"/>
          <w:color w:val="auto"/>
        </w:rPr>
        <w:t>built 80,634</w:t>
      </w:r>
      <w:r>
        <w:rPr>
          <w:rFonts w:ascii="MS PGothic" w:cs="MS PGothic" w:eastAsia="MS PGothic" w:hAnsi="MS PGothic"/>
          <w:sz w:val="18"/>
          <w:szCs w:val="18"/>
          <w:color w:val="auto"/>
        </w:rPr>
        <w:t>‑</w:t>
      </w:r>
      <w:r>
        <w:rPr>
          <w:rFonts w:ascii="Arial" w:cs="Arial" w:eastAsia="Arial" w:hAnsi="Arial"/>
          <w:sz w:val="18"/>
          <w:szCs w:val="18"/>
          <w:color w:val="auto"/>
        </w:rPr>
        <w:t>square foot barge that houses approximately 28,200 square feet of gaming space, as measured by the actual footprint of the gaming equipment, offering approximately 1,400 slots, 52 table games and a poker room with eight tables;</w:t>
      </w:r>
    </w:p>
    <w:p>
      <w:pPr>
        <w:spacing w:after="0" w:line="163" w:lineRule="exact"/>
        <w:rPr>
          <w:rFonts w:ascii="Arial" w:cs="Arial" w:eastAsia="Arial" w:hAnsi="Arial"/>
          <w:sz w:val="18"/>
          <w:szCs w:val="18"/>
          <w:color w:val="auto"/>
        </w:rPr>
      </w:pPr>
    </w:p>
    <w:p>
      <w:pPr>
        <w:ind w:left="980" w:right="200" w:hanging="329"/>
        <w:spacing w:after="0" w:line="203" w:lineRule="exact"/>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Numerous restaurants and entertainment amenities, including a gourmet steakhouse, VIP check</w:t>
      </w:r>
      <w:r>
        <w:rPr>
          <w:rFonts w:ascii="MS PGothic" w:cs="MS PGothic" w:eastAsia="MS PGothic" w:hAnsi="MS PGothic"/>
          <w:sz w:val="18"/>
          <w:szCs w:val="18"/>
          <w:color w:val="auto"/>
        </w:rPr>
        <w:t>‑</w:t>
      </w:r>
      <w:r>
        <w:rPr>
          <w:rFonts w:ascii="Arial" w:cs="Arial" w:eastAsia="Arial" w:hAnsi="Arial"/>
          <w:sz w:val="18"/>
          <w:szCs w:val="18"/>
          <w:color w:val="auto"/>
        </w:rPr>
        <w:t>in, a premium quality bar and a retail store;</w:t>
      </w:r>
    </w:p>
    <w:p>
      <w:pPr>
        <w:spacing w:after="0" w:line="161" w:lineRule="exact"/>
        <w:rPr>
          <w:rFonts w:ascii="Arial" w:cs="Arial" w:eastAsia="Arial" w:hAnsi="Arial"/>
          <w:sz w:val="18"/>
          <w:szCs w:val="18"/>
          <w:color w:val="auto"/>
        </w:rPr>
      </w:pPr>
    </w:p>
    <w:p>
      <w:pPr>
        <w:ind w:left="940" w:hanging="289"/>
        <w:spacing w:after="0" w:line="196" w:lineRule="exact"/>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luxurious 403</w:t>
      </w:r>
      <w:r>
        <w:rPr>
          <w:rFonts w:ascii="MS PGothic" w:cs="MS PGothic" w:eastAsia="MS PGothic" w:hAnsi="MS PGothic"/>
          <w:sz w:val="17"/>
          <w:szCs w:val="17"/>
          <w:color w:val="auto"/>
        </w:rPr>
        <w:t>‑</w:t>
      </w:r>
      <w:r>
        <w:rPr>
          <w:rFonts w:ascii="Arial" w:cs="Arial" w:eastAsia="Arial" w:hAnsi="Arial"/>
          <w:sz w:val="17"/>
          <w:szCs w:val="17"/>
          <w:color w:val="auto"/>
        </w:rPr>
        <w:t>room, all</w:t>
      </w:r>
      <w:r>
        <w:rPr>
          <w:rFonts w:ascii="MS PGothic" w:cs="MS PGothic" w:eastAsia="MS PGothic" w:hAnsi="MS PGothic"/>
          <w:sz w:val="17"/>
          <w:szCs w:val="17"/>
          <w:color w:val="auto"/>
        </w:rPr>
        <w:t>‑</w:t>
      </w:r>
      <w:r>
        <w:rPr>
          <w:rFonts w:ascii="Arial" w:cs="Arial" w:eastAsia="Arial" w:hAnsi="Arial"/>
          <w:sz w:val="17"/>
          <w:szCs w:val="17"/>
          <w:color w:val="auto"/>
        </w:rPr>
        <w:t>suite, hotel, with updated rooms featuring modern décor and flat screen TVs;</w:t>
      </w:r>
    </w:p>
    <w:p>
      <w:pPr>
        <w:spacing w:after="0" w:line="196" w:lineRule="exact"/>
        <w:rPr>
          <w:rFonts w:ascii="Arial" w:cs="Arial" w:eastAsia="Arial" w:hAnsi="Arial"/>
          <w:sz w:val="17"/>
          <w:szCs w:val="17"/>
          <w:color w:val="auto"/>
        </w:rPr>
      </w:pPr>
    </w:p>
    <w:p>
      <w:pPr>
        <w:ind w:left="980" w:right="240" w:hanging="329"/>
        <w:spacing w:after="0" w:line="203" w:lineRule="exact"/>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380</w:t>
      </w:r>
      <w:r>
        <w:rPr>
          <w:rFonts w:ascii="MS PGothic" w:cs="MS PGothic" w:eastAsia="MS PGothic" w:hAnsi="MS PGothic"/>
          <w:sz w:val="18"/>
          <w:szCs w:val="18"/>
          <w:color w:val="auto"/>
        </w:rPr>
        <w:t>‑</w:t>
      </w:r>
      <w:r>
        <w:rPr>
          <w:rFonts w:ascii="Arial" w:cs="Arial" w:eastAsia="Arial" w:hAnsi="Arial"/>
          <w:sz w:val="18"/>
          <w:szCs w:val="18"/>
          <w:color w:val="auto"/>
        </w:rPr>
        <w:t>seat ballroom with four breakout rooms, a 5,940</w:t>
      </w:r>
      <w:r>
        <w:rPr>
          <w:rFonts w:ascii="MS PGothic" w:cs="MS PGothic" w:eastAsia="MS PGothic" w:hAnsi="MS PGothic"/>
          <w:sz w:val="18"/>
          <w:szCs w:val="18"/>
          <w:color w:val="auto"/>
        </w:rPr>
        <w:t>‑</w:t>
      </w:r>
      <w:r>
        <w:rPr>
          <w:rFonts w:ascii="Arial" w:cs="Arial" w:eastAsia="Arial" w:hAnsi="Arial"/>
          <w:sz w:val="18"/>
          <w:szCs w:val="18"/>
          <w:color w:val="auto"/>
        </w:rPr>
        <w:t>square foot spa, a fitness center and salon, a premium players’ club and an entertainment show room; and</w:t>
      </w:r>
    </w:p>
    <w:p>
      <w:pPr>
        <w:spacing w:after="0" w:line="161" w:lineRule="exact"/>
        <w:rPr>
          <w:rFonts w:ascii="Arial" w:cs="Arial" w:eastAsia="Arial" w:hAnsi="Arial"/>
          <w:sz w:val="18"/>
          <w:szCs w:val="18"/>
          <w:color w:val="auto"/>
        </w:rPr>
      </w:pPr>
    </w:p>
    <w:p>
      <w:pPr>
        <w:ind w:left="980" w:right="80" w:hanging="329"/>
        <w:spacing w:after="0" w:line="289" w:lineRule="auto"/>
        <w:tabs>
          <w:tab w:leader="none" w:pos="935" w:val="left"/>
        </w:tabs>
        <w:numPr>
          <w:ilvl w:val="0"/>
          <w:numId w:val="9"/>
        </w:numPr>
        <w:rPr>
          <w:rFonts w:ascii="Arial" w:cs="Arial" w:eastAsia="Arial" w:hAnsi="Arial"/>
          <w:sz w:val="16"/>
          <w:szCs w:val="16"/>
          <w:color w:val="auto"/>
        </w:rPr>
      </w:pPr>
      <w:r>
        <w:rPr>
          <w:rFonts w:ascii="Arial" w:cs="Arial" w:eastAsia="Arial" w:hAnsi="Arial"/>
          <w:sz w:val="16"/>
          <w:szCs w:val="16"/>
          <w:color w:val="auto"/>
        </w:rPr>
        <w:t>Two parking lots and an eight story parking garage providing approximately 1,800 parking spaces that connects directly to the pavilion by an enclosed walkway, including valet parking for approximately 300 vehicles.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Mountaineer</w:t>
      </w:r>
    </w:p>
    <w:p>
      <w:pPr>
        <w:spacing w:after="0" w:line="185"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7"/>
          <w:szCs w:val="17"/>
          <w:color w:val="auto"/>
        </w:rPr>
        <w:t>Mountaineer is one of only four racetracks in West Virginia currently permitted to operate slot machines and traditional casino table gaming. Mountaineer is located on the Ohio River at the northern tip of West Virginia’s northwestern panhandle, approximately thirty miles from the Pittsburgh International Airport and a one</w:t>
      </w:r>
      <w:r>
        <w:rPr>
          <w:rFonts w:ascii="MS PGothic" w:cs="MS PGothic" w:eastAsia="MS PGothic" w:hAnsi="MS PGothic"/>
          <w:sz w:val="17"/>
          <w:szCs w:val="17"/>
          <w:color w:val="auto"/>
        </w:rPr>
        <w:t>‑</w:t>
      </w:r>
      <w:r>
        <w:rPr>
          <w:rFonts w:ascii="Arial" w:cs="Arial" w:eastAsia="Arial" w:hAnsi="Arial"/>
          <w:sz w:val="17"/>
          <w:szCs w:val="17"/>
          <w:color w:val="auto"/>
        </w:rPr>
        <w:t>hour drive from downtown Pittsburgh. Mountaineer’s market is comprised of eight casinos, including Presque Isle Downs, in West Virginia, Ohio and Pennsylvania. Based on information published by these states, this market generated $1.6 billion, $1.5 billion, and $1.4 billion in gaming revenues in 2015, 2014 and 2013,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Mountaineer is a diverse gaming, entertainment and convention complex with:</w:t>
      </w:r>
    </w:p>
    <w:p>
      <w:pPr>
        <w:spacing w:after="0" w:line="185" w:lineRule="exact"/>
        <w:rPr>
          <w:sz w:val="20"/>
          <w:szCs w:val="20"/>
          <w:color w:val="auto"/>
        </w:rPr>
      </w:pPr>
    </w:p>
    <w:p>
      <w:pPr>
        <w:ind w:left="980" w:right="720" w:hanging="329"/>
        <w:spacing w:after="0" w:line="235" w:lineRule="auto"/>
        <w:tabs>
          <w:tab w:leader="none" w:pos="9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93,300 square feet of gaming space housing approximately 1,700 slot machines, 37 casino table games (including blackjack, craps, roulette and other games), and 12 poker tables;</w:t>
      </w:r>
    </w:p>
    <w:p>
      <w:pPr>
        <w:spacing w:after="0" w:line="148" w:lineRule="exact"/>
        <w:rPr>
          <w:rFonts w:ascii="Arial" w:cs="Arial" w:eastAsia="Arial" w:hAnsi="Arial"/>
          <w:sz w:val="18"/>
          <w:szCs w:val="18"/>
          <w:color w:val="auto"/>
        </w:rPr>
      </w:pPr>
    </w:p>
    <w:p>
      <w:pPr>
        <w:ind w:left="980" w:right="600" w:hanging="329"/>
        <w:spacing w:after="0" w:line="203" w:lineRule="exact"/>
        <w:tabs>
          <w:tab w:leader="none" w:pos="9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354 hotel rooms, including the 256</w:t>
      </w:r>
      <w:r>
        <w:rPr>
          <w:rFonts w:ascii="MS PGothic" w:cs="MS PGothic" w:eastAsia="MS PGothic" w:hAnsi="MS PGothic"/>
          <w:sz w:val="16"/>
          <w:szCs w:val="16"/>
          <w:color w:val="auto"/>
        </w:rPr>
        <w:t>‑</w:t>
      </w:r>
      <w:r>
        <w:rPr>
          <w:rFonts w:ascii="Arial" w:cs="Arial" w:eastAsia="Arial" w:hAnsi="Arial"/>
          <w:sz w:val="16"/>
          <w:szCs w:val="16"/>
          <w:color w:val="auto"/>
        </w:rPr>
        <w:t>room, 219,000 square foot Grande Hotel at Mountaineer, 27 suites, a full</w:t>
      </w:r>
      <w:r>
        <w:rPr>
          <w:rFonts w:ascii="MS PGothic" w:cs="MS PGothic" w:eastAsia="MS PGothic" w:hAnsi="MS PGothic"/>
          <w:sz w:val="16"/>
          <w:szCs w:val="16"/>
          <w:color w:val="auto"/>
        </w:rPr>
        <w:t>‑</w:t>
      </w:r>
      <w:r>
        <w:rPr>
          <w:rFonts w:ascii="Arial" w:cs="Arial" w:eastAsia="Arial" w:hAnsi="Arial"/>
          <w:sz w:val="16"/>
          <w:szCs w:val="16"/>
          <w:color w:val="auto"/>
        </w:rPr>
        <w:t>service spa and salon, a retail plaza and indoor and outdoor swimming pools and a golf course;</w:t>
      </w:r>
    </w:p>
    <w:p>
      <w:pPr>
        <w:spacing w:after="0" w:line="135" w:lineRule="exact"/>
        <w:rPr>
          <w:rFonts w:ascii="Arial" w:cs="Arial" w:eastAsia="Arial" w:hAnsi="Arial"/>
          <w:sz w:val="16"/>
          <w:szCs w:val="16"/>
          <w:color w:val="auto"/>
        </w:rPr>
      </w:pPr>
    </w:p>
    <w:p>
      <w:pPr>
        <w:ind w:left="980" w:right="180" w:hanging="329"/>
        <w:spacing w:after="0" w:line="194" w:lineRule="exact"/>
        <w:tabs>
          <w:tab w:leader="none" w:pos="9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12,090 square feet of convention space, which can accommodate seated meals for groups of up to 575, as well as smaller meetings in more intimate break</w:t>
      </w:r>
      <w:r>
        <w:rPr>
          <w:rFonts w:ascii="MS PGothic" w:cs="MS PGothic" w:eastAsia="MS PGothic" w:hAnsi="MS PGothic"/>
          <w:sz w:val="18"/>
          <w:szCs w:val="18"/>
          <w:color w:val="auto"/>
        </w:rPr>
        <w:t>‑</w:t>
      </w:r>
      <w:r>
        <w:rPr>
          <w:rFonts w:ascii="Arial" w:cs="Arial" w:eastAsia="Arial" w:hAnsi="Arial"/>
          <w:sz w:val="18"/>
          <w:szCs w:val="18"/>
          <w:color w:val="auto"/>
        </w:rPr>
        <w:t>out rooms that can accommodate 75 people and entertainment events for approximately 1,500 guests;</w:t>
      </w:r>
    </w:p>
    <w:p>
      <w:pPr>
        <w:spacing w:after="0" w:line="145" w:lineRule="exact"/>
        <w:rPr>
          <w:rFonts w:ascii="Arial" w:cs="Arial" w:eastAsia="Arial" w:hAnsi="Arial"/>
          <w:sz w:val="18"/>
          <w:szCs w:val="18"/>
          <w:color w:val="auto"/>
        </w:rPr>
      </w:pPr>
    </w:p>
    <w:p>
      <w:pPr>
        <w:ind w:left="940" w:hanging="289"/>
        <w:spacing w:after="0" w:line="196" w:lineRule="exact"/>
        <w:tabs>
          <w:tab w:leader="none" w:pos="9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Live thoroughbred horse racing conducted from March through December on a one</w:t>
      </w:r>
      <w:r>
        <w:rPr>
          <w:rFonts w:ascii="MS PGothic" w:cs="MS PGothic" w:eastAsia="MS PGothic" w:hAnsi="MS PGothic"/>
          <w:sz w:val="17"/>
          <w:szCs w:val="17"/>
          <w:color w:val="auto"/>
        </w:rPr>
        <w:t>‑</w:t>
      </w:r>
      <w:r>
        <w:rPr>
          <w:rFonts w:ascii="Arial" w:cs="Arial" w:eastAsia="Arial" w:hAnsi="Arial"/>
          <w:sz w:val="17"/>
          <w:szCs w:val="17"/>
          <w:color w:val="auto"/>
        </w:rPr>
        <w:t>mile dirt surface or a</w:t>
      </w:r>
    </w:p>
    <w:p>
      <w:pPr>
        <w:ind w:left="980"/>
        <w:spacing w:after="0" w:line="187" w:lineRule="auto"/>
        <w:rPr>
          <w:sz w:val="20"/>
          <w:szCs w:val="20"/>
          <w:color w:val="auto"/>
        </w:rPr>
      </w:pPr>
      <w:r>
        <w:rPr>
          <w:rFonts w:ascii="Arial" w:cs="Arial" w:eastAsia="Arial" w:hAnsi="Arial"/>
          <w:sz w:val="9"/>
          <w:szCs w:val="9"/>
          <w:color w:val="auto"/>
        </w:rPr>
        <w:t>7</w:t>
      </w:r>
      <w:r>
        <w:rPr>
          <w:rFonts w:ascii="Arial" w:cs="Arial" w:eastAsia="Arial" w:hAnsi="Arial"/>
          <w:sz w:val="16"/>
          <w:szCs w:val="16"/>
          <w:color w:val="auto"/>
        </w:rPr>
        <w:t>/</w:t>
      </w:r>
      <w:r>
        <w:rPr>
          <w:rFonts w:ascii="Arial" w:cs="Arial" w:eastAsia="Arial" w:hAnsi="Arial"/>
          <w:sz w:val="32"/>
          <w:szCs w:val="32"/>
          <w:color w:val="auto"/>
          <w:vertAlign w:val="subscript"/>
        </w:rPr>
        <w:t>8</w:t>
      </w:r>
      <w:r>
        <w:rPr>
          <w:rFonts w:ascii="Arial" w:cs="Arial" w:eastAsia="Arial" w:hAnsi="Arial"/>
          <w:sz w:val="9"/>
          <w:szCs w:val="9"/>
          <w:color w:val="auto"/>
        </w:rPr>
        <w:t xml:space="preserve"> </w:t>
      </w:r>
      <w:r>
        <w:rPr>
          <w:rFonts w:ascii="Arial" w:cs="Arial" w:eastAsia="Arial" w:hAnsi="Arial"/>
          <w:sz w:val="16"/>
          <w:szCs w:val="16"/>
          <w:color w:val="auto"/>
        </w:rPr>
        <w:t>mile grass surface with expansive clubhouse, restaurant, bars and concessions, as well as grandstand viewing</w:t>
      </w:r>
      <w:r>
        <w:rPr>
          <w:rFonts w:ascii="Arial" w:cs="Arial" w:eastAsia="Arial" w:hAnsi="Arial"/>
          <w:sz w:val="9"/>
          <w:szCs w:val="9"/>
          <w:color w:val="auto"/>
        </w:rPr>
        <w:t xml:space="preserve"> </w:t>
      </w:r>
      <w:r>
        <w:rPr>
          <w:rFonts w:ascii="Arial" w:cs="Arial" w:eastAsia="Arial" w:hAnsi="Arial"/>
          <w:sz w:val="16"/>
          <w:szCs w:val="16"/>
          <w:color w:val="auto"/>
        </w:rPr>
        <w:t>areas with enclosed seating for 3,570 patrons;</w:t>
      </w:r>
    </w:p>
    <w:p>
      <w:pPr>
        <w:spacing w:after="0" w:line="148" w:lineRule="exact"/>
        <w:rPr>
          <w:sz w:val="20"/>
          <w:szCs w:val="20"/>
          <w:color w:val="auto"/>
        </w:rPr>
      </w:pPr>
    </w:p>
    <w:p>
      <w:pPr>
        <w:ind w:left="980" w:right="120" w:hanging="329"/>
        <w:spacing w:after="0" w:line="203" w:lineRule="exact"/>
        <w:tabs>
          <w:tab w:leader="none" w:pos="9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site pari</w:t>
      </w:r>
      <w:r>
        <w:rPr>
          <w:rFonts w:ascii="MS PGothic" w:cs="MS PGothic" w:eastAsia="MS PGothic" w:hAnsi="MS PGothic"/>
          <w:sz w:val="16"/>
          <w:szCs w:val="16"/>
          <w:color w:val="auto"/>
        </w:rPr>
        <w:t>‑</w:t>
      </w:r>
      <w:r>
        <w:rPr>
          <w:rFonts w:ascii="Arial" w:cs="Arial" w:eastAsia="Arial" w:hAnsi="Arial"/>
          <w:sz w:val="16"/>
          <w:szCs w:val="16"/>
          <w:color w:val="auto"/>
        </w:rPr>
        <w:t>mutuel wagering and thoroughbred, harness and greyhound racing simulcast from other prominent tracks, as well as wagering on Mountaineer’s races at over 1,400 sites to which the races are simulcast;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320" w:hanging="329"/>
        <w:spacing w:after="0" w:line="235" w:lineRule="auto"/>
        <w:tabs>
          <w:tab w:leader="none" w:pos="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69,000 square foot theater and events center that seats approximately 5,000 patrons for concerts and other entertainment offerings; and</w:t>
      </w:r>
    </w:p>
    <w:p>
      <w:pPr>
        <w:spacing w:after="0" w:line="148" w:lineRule="exact"/>
        <w:rPr>
          <w:rFonts w:ascii="Arial" w:cs="Arial" w:eastAsia="Arial" w:hAnsi="Arial"/>
          <w:sz w:val="18"/>
          <w:szCs w:val="18"/>
          <w:color w:val="auto"/>
        </w:rPr>
      </w:pPr>
    </w:p>
    <w:p>
      <w:pPr>
        <w:ind w:left="940" w:hanging="289"/>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Surface parking for approximately 5,300 vehicles.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Presque Isle Downs</w:t>
      </w:r>
    </w:p>
    <w:p>
      <w:pPr>
        <w:spacing w:after="0" w:line="171"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Presque Isle Downs located in Erie, Pennsylvania, opened for business in 2007 and commenced table gaming operations in 2010. Erie is located in northwestern Pennsylvania and Erie County has a population of approximately 280,000 according to the most recently available census data. Presque Isle Downs is located directly off of highway 90 and Presque Isle State Park attracts nearly four million visitors annually. Presque Isle Downs’ market is comprised of eight casinos, including Mountaineer, in West Virginia, Ohio and Pennsylvania. Based on information published by these states, this market generated $1.6 billion, $1.5 billion, and $1.4 billion in gaming revenues in 2015, 2014 and 2013, respectively. The Company is redirecting its marketing focus from the highly competitive Cleveland area to Erie County and the surrounding areas. The 153,400 square foot facility consists of:</w:t>
      </w:r>
    </w:p>
    <w:p>
      <w:pPr>
        <w:spacing w:after="0" w:line="168" w:lineRule="exact"/>
        <w:rPr>
          <w:sz w:val="20"/>
          <w:szCs w:val="20"/>
          <w:color w:val="auto"/>
        </w:rPr>
      </w:pPr>
    </w:p>
    <w:p>
      <w:pPr>
        <w:ind w:left="980" w:right="280" w:hanging="329"/>
        <w:spacing w:after="0" w:line="235" w:lineRule="auto"/>
        <w:tabs>
          <w:tab w:leader="none" w:pos="9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61,400 square feet of gaming space housing approximately 1,600 slot machines, 32 casino table games and a nine table poker room, which we began operating on October 3, 2011;</w:t>
      </w:r>
    </w:p>
    <w:p>
      <w:pPr>
        <w:spacing w:after="0" w:line="146" w:lineRule="exact"/>
        <w:rPr>
          <w:rFonts w:ascii="Arial" w:cs="Arial" w:eastAsia="Arial" w:hAnsi="Arial"/>
          <w:sz w:val="18"/>
          <w:szCs w:val="18"/>
          <w:color w:val="auto"/>
        </w:rPr>
      </w:pPr>
    </w:p>
    <w:p>
      <w:pPr>
        <w:ind w:left="940" w:hanging="289"/>
        <w:spacing w:after="0" w:line="207" w:lineRule="exact"/>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Live thoroughbred horse racing conducted from May through September on a one</w:t>
      </w:r>
      <w:r>
        <w:rPr>
          <w:rFonts w:ascii="MS PGothic" w:cs="MS PGothic" w:eastAsia="MS PGothic" w:hAnsi="MS PGothic"/>
          <w:sz w:val="18"/>
          <w:szCs w:val="18"/>
          <w:color w:val="auto"/>
        </w:rPr>
        <w:t>‑</w:t>
      </w:r>
      <w:r>
        <w:rPr>
          <w:rFonts w:ascii="Arial" w:cs="Arial" w:eastAsia="Arial" w:hAnsi="Arial"/>
          <w:sz w:val="18"/>
          <w:szCs w:val="18"/>
          <w:color w:val="auto"/>
        </w:rPr>
        <w:t>mile track with a</w:t>
      </w:r>
    </w:p>
    <w:p>
      <w:pPr>
        <w:ind w:left="980" w:right="320"/>
        <w:spacing w:after="0" w:line="195" w:lineRule="exact"/>
        <w:rPr>
          <w:sz w:val="20"/>
          <w:szCs w:val="20"/>
          <w:color w:val="auto"/>
        </w:rPr>
      </w:pPr>
      <w:r>
        <w:rPr>
          <w:rFonts w:ascii="Arial" w:cs="Arial" w:eastAsia="Arial" w:hAnsi="Arial"/>
          <w:sz w:val="18"/>
          <w:szCs w:val="18"/>
          <w:color w:val="auto"/>
        </w:rPr>
        <w:t>state</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art one</w:t>
      </w:r>
      <w:r>
        <w:rPr>
          <w:rFonts w:ascii="MS PGothic" w:cs="MS PGothic" w:eastAsia="MS PGothic" w:hAnsi="MS PGothic"/>
          <w:sz w:val="18"/>
          <w:szCs w:val="18"/>
          <w:color w:val="auto"/>
        </w:rPr>
        <w:t>‑</w:t>
      </w:r>
      <w:r>
        <w:rPr>
          <w:rFonts w:ascii="Arial" w:cs="Arial" w:eastAsia="Arial" w:hAnsi="Arial"/>
          <w:sz w:val="18"/>
          <w:szCs w:val="18"/>
          <w:color w:val="auto"/>
        </w:rPr>
        <w:t>mile synthetic racing surface with grandstand, barns, paddock and related facilities, and indoor and outdoor seating for approximately 750 patrons;</w:t>
      </w:r>
    </w:p>
    <w:p>
      <w:pPr>
        <w:spacing w:after="0" w:line="161" w:lineRule="exact"/>
        <w:rPr>
          <w:sz w:val="20"/>
          <w:szCs w:val="20"/>
          <w:color w:val="auto"/>
        </w:rPr>
      </w:pPr>
    </w:p>
    <w:p>
      <w:pPr>
        <w:ind w:left="940" w:hanging="289"/>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Six restaurants including a steakhouse, buffet and 300 seat clubhouse overlooking the racetrack;</w:t>
      </w:r>
    </w:p>
    <w:p>
      <w:pPr>
        <w:spacing w:after="0" w:line="184" w:lineRule="exact"/>
        <w:rPr>
          <w:rFonts w:ascii="Arial" w:cs="Arial" w:eastAsia="Arial" w:hAnsi="Arial"/>
          <w:sz w:val="18"/>
          <w:szCs w:val="18"/>
          <w:color w:val="auto"/>
        </w:rPr>
      </w:pPr>
    </w:p>
    <w:p>
      <w:pPr>
        <w:ind w:left="980" w:right="240" w:hanging="329"/>
        <w:spacing w:after="0" w:line="203" w:lineRule="exact"/>
        <w:tabs>
          <w:tab w:leader="none" w:pos="9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site pari</w:t>
      </w:r>
      <w:r>
        <w:rPr>
          <w:rFonts w:ascii="MS PGothic" w:cs="MS PGothic" w:eastAsia="MS PGothic" w:hAnsi="MS PGothic"/>
          <w:sz w:val="16"/>
          <w:szCs w:val="16"/>
          <w:color w:val="auto"/>
        </w:rPr>
        <w:t>‑</w:t>
      </w:r>
      <w:r>
        <w:rPr>
          <w:rFonts w:ascii="Arial" w:cs="Arial" w:eastAsia="Arial" w:hAnsi="Arial"/>
          <w:sz w:val="16"/>
          <w:szCs w:val="16"/>
          <w:color w:val="auto"/>
        </w:rPr>
        <w:t>mutuel wagering and thoroughbred and harness racing simulcast from other prominent tracks, as well as wagering on Presque Isle Downs’ races at over 1,200 sites to which the races are simulcast; and</w:t>
      </w:r>
    </w:p>
    <w:p>
      <w:pPr>
        <w:spacing w:after="0" w:line="162" w:lineRule="exact"/>
        <w:rPr>
          <w:rFonts w:ascii="Arial" w:cs="Arial" w:eastAsia="Arial" w:hAnsi="Arial"/>
          <w:sz w:val="16"/>
          <w:szCs w:val="16"/>
          <w:color w:val="auto"/>
        </w:rPr>
      </w:pPr>
    </w:p>
    <w:p>
      <w:pPr>
        <w:ind w:left="940" w:hanging="289"/>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Surface parking for approximately 3,200 vehicles.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Scioto Downs</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Scioto Downs is located in the heart of Central Ohio, off Highway 23/South High Street, approximately eight miles from downtown Columbus. Columbus is the largest metropolitan area within the state of Ohio with a population of approximately 835,000 and a greater metropolitan area of approximately 2.0 million within 60 miles of downtown. The Columbus market generated $290.4 million, $275.9 million and $274.8 million in slot revenues in 2015, 2014 and 2013, respectively.</w:t>
      </w:r>
    </w:p>
    <w:p>
      <w:pPr>
        <w:spacing w:after="0" w:line="162" w:lineRule="exact"/>
        <w:rPr>
          <w:sz w:val="20"/>
          <w:szCs w:val="20"/>
          <w:color w:val="auto"/>
        </w:rPr>
      </w:pPr>
    </w:p>
    <w:p>
      <w:pPr>
        <w:ind w:right="220" w:firstLine="648"/>
        <w:spacing w:after="0" w:line="214" w:lineRule="auto"/>
        <w:rPr>
          <w:sz w:val="20"/>
          <w:szCs w:val="20"/>
          <w:color w:val="auto"/>
        </w:rPr>
      </w:pPr>
      <w:r>
        <w:rPr>
          <w:rFonts w:ascii="Arial" w:cs="Arial" w:eastAsia="Arial" w:hAnsi="Arial"/>
          <w:sz w:val="18"/>
          <w:szCs w:val="18"/>
          <w:color w:val="auto"/>
        </w:rPr>
        <w:t>Scioto Downs ran its first Standardbred horse race in 1959 and has since established a rich and deep connection within the regional racing community. Opening VLT operations with a new 132,000 square foot gaming facility on June 1, 2012, Scioto Downs became the first “Racino” operation in the State of Ohio and is one of only two licensed gaming facilities in the Columbus area. The gaming facility was designed to integrate as much as possible with the iconic and instantly recognizable racing structures, blending architectural features and aspects as much as possible to ensure a fluid seamless and marketable look.</w:t>
      </w:r>
    </w:p>
    <w:p>
      <w:pPr>
        <w:spacing w:after="0" w:line="162"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In October 2015, the Company entered into a joint venture with Vista Host, Inc. to develop a new 118-room Hampton Inn &amp; Suites hotel that will be attached to Scioto Downs. Construction of the new hotel began in November 2015 with a targeted completion date in late 2016. Scioto Downs is located on a 208 acre site strategically designed for future expansion, including table games, additional parking capacity and retail development.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Scioto Downs currently offers:</w:t>
      </w:r>
    </w:p>
    <w:p>
      <w:pPr>
        <w:spacing w:after="0" w:line="185" w:lineRule="exact"/>
        <w:rPr>
          <w:sz w:val="20"/>
          <w:szCs w:val="20"/>
          <w:color w:val="auto"/>
        </w:rPr>
      </w:pPr>
    </w:p>
    <w:p>
      <w:pPr>
        <w:ind w:left="980" w:right="260" w:hanging="329"/>
        <w:spacing w:after="0" w:line="235"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83,000 square feet of gaming space housing approximately 2,140 VLTs (with the ability to install up to 2,500 VLTs), including a 3,200 square foot outdoor gaming patio;</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80" w:hanging="329"/>
        <w:spacing w:after="0" w:line="235" w:lineRule="auto"/>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Brew Brothers</w:t>
      </w:r>
      <w:r>
        <w:rPr>
          <w:rFonts w:ascii="Arial" w:cs="Arial" w:eastAsia="Arial" w:hAnsi="Arial"/>
          <w:sz w:val="18"/>
          <w:szCs w:val="18"/>
          <w:color w:val="auto"/>
        </w:rPr>
        <w:t>, a new microbrewery and restaurant which opened in October 2015 and seats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230 offering live entertainment;</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Six full service bars and six restaurants ranging from fine dining to a buffet;</w:t>
      </w:r>
    </w:p>
    <w:p>
      <w:pPr>
        <w:spacing w:after="0" w:line="184" w:lineRule="exact"/>
        <w:rPr>
          <w:rFonts w:ascii="Arial" w:cs="Arial" w:eastAsia="Arial" w:hAnsi="Arial"/>
          <w:sz w:val="18"/>
          <w:szCs w:val="18"/>
          <w:color w:val="auto"/>
        </w:rPr>
      </w:pPr>
    </w:p>
    <w:p>
      <w:pPr>
        <w:ind w:left="980" w:right="60" w:hanging="329"/>
        <w:spacing w:after="0" w:line="194" w:lineRule="exact"/>
        <w:tabs>
          <w:tab w:leader="none" w:pos="9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Live standard bred harness horse racing conducted from May through mid</w:t>
      </w:r>
      <w:r>
        <w:rPr>
          <w:rFonts w:ascii="MS PGothic" w:cs="MS PGothic" w:eastAsia="MS PGothic" w:hAnsi="MS PGothic"/>
          <w:sz w:val="18"/>
          <w:szCs w:val="18"/>
          <w:color w:val="auto"/>
        </w:rPr>
        <w:t>‑</w:t>
      </w:r>
      <w:r>
        <w:rPr>
          <w:rFonts w:ascii="Arial" w:cs="Arial" w:eastAsia="Arial" w:hAnsi="Arial"/>
          <w:sz w:val="18"/>
          <w:szCs w:val="18"/>
          <w:color w:val="auto"/>
        </w:rPr>
        <w:t>September with barns, paddock and related facilities for the horses, drivers and trainers, that can accommodate over 2,600 patrons for live racing as well as a Summer Concert Series, featuring national acts;</w:t>
      </w:r>
    </w:p>
    <w:p>
      <w:pPr>
        <w:spacing w:after="0" w:line="163" w:lineRule="exact"/>
        <w:rPr>
          <w:rFonts w:ascii="Arial" w:cs="Arial" w:eastAsia="Arial" w:hAnsi="Arial"/>
          <w:sz w:val="18"/>
          <w:szCs w:val="18"/>
          <w:color w:val="auto"/>
        </w:rPr>
      </w:pPr>
    </w:p>
    <w:p>
      <w:pPr>
        <w:ind w:left="980" w:right="100" w:hanging="329"/>
        <w:spacing w:after="0" w:line="203" w:lineRule="exact"/>
        <w:tabs>
          <w:tab w:leader="none" w:pos="9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site pari</w:t>
      </w:r>
      <w:r>
        <w:rPr>
          <w:rFonts w:ascii="MS PGothic" w:cs="MS PGothic" w:eastAsia="MS PGothic" w:hAnsi="MS PGothic"/>
          <w:sz w:val="16"/>
          <w:szCs w:val="16"/>
          <w:color w:val="auto"/>
        </w:rPr>
        <w:t>‑</w:t>
      </w:r>
      <w:r>
        <w:rPr>
          <w:rFonts w:ascii="Arial" w:cs="Arial" w:eastAsia="Arial" w:hAnsi="Arial"/>
          <w:sz w:val="16"/>
          <w:szCs w:val="16"/>
          <w:color w:val="auto"/>
        </w:rPr>
        <w:t>mutuel wagering and thoroughbred, harness and greyhound racing simulcast from other prominent tracks, as well as wagering on Scioto Downs’ races at over 800 sites to which the races are simulcast; and</w:t>
      </w:r>
    </w:p>
    <w:p>
      <w:pPr>
        <w:spacing w:after="0" w:line="162" w:lineRule="exact"/>
        <w:rPr>
          <w:rFonts w:ascii="Arial" w:cs="Arial" w:eastAsia="Arial" w:hAnsi="Arial"/>
          <w:sz w:val="16"/>
          <w:szCs w:val="16"/>
          <w:color w:val="auto"/>
        </w:rPr>
      </w:pPr>
    </w:p>
    <w:p>
      <w:pPr>
        <w:ind w:left="940" w:hanging="289"/>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Surface parking for approximately 3,500 vehicles.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The gaming industry includes land</w:t>
      </w:r>
      <w:r>
        <w:rPr>
          <w:rFonts w:ascii="MS PGothic" w:cs="MS PGothic" w:eastAsia="MS PGothic" w:hAnsi="MS PGothic"/>
          <w:sz w:val="17"/>
          <w:szCs w:val="17"/>
          <w:color w:val="auto"/>
        </w:rPr>
        <w:t>‑</w:t>
      </w:r>
      <w:r>
        <w:rPr>
          <w:rFonts w:ascii="Arial" w:cs="Arial" w:eastAsia="Arial" w:hAnsi="Arial"/>
          <w:sz w:val="17"/>
          <w:szCs w:val="17"/>
          <w:color w:val="auto"/>
        </w:rPr>
        <w:t>based casinos, dockside casinos, riverboat casinos, casinos located on Native American reservations and other forms of legalized gaming. There is intense competition among companies in the gaming industry, many of which have significantly greater resources than we do. Certain states have legalized casino gaming and other states may legalize gaming in the future. Legalized casino gaming in these states and on Native American reservations near our markets or changes to gaming laws in states surrounding Nevada, Louisiana, West Virginia, Pennsylvania, or Ohio could increase competition and could adversely affect our operations. We also compete, to a lesser extent, with gaming facilities in other jurisdictions with dockside gaming facilities, state sponsored lotteries, on</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off track pari</w:t>
      </w:r>
      <w:r>
        <w:rPr>
          <w:rFonts w:ascii="MS PGothic" w:cs="MS PGothic" w:eastAsia="MS PGothic" w:hAnsi="MS PGothic"/>
          <w:sz w:val="17"/>
          <w:szCs w:val="17"/>
          <w:color w:val="auto"/>
        </w:rPr>
        <w:t>‑</w:t>
      </w:r>
      <w:r>
        <w:rPr>
          <w:rFonts w:ascii="Arial" w:cs="Arial" w:eastAsia="Arial" w:hAnsi="Arial"/>
          <w:sz w:val="17"/>
          <w:szCs w:val="17"/>
          <w:color w:val="auto"/>
        </w:rPr>
        <w:t>mutuel wagering, card clubs, riverboat casinos and other forms of legalized gambling. In addition, various forms of internet gaming have been approved in Nevada and New Jersey and legislation permitting internet gaming has been proposed by the federal government and other states. The expansion of internet gaming in Nevada and other jurisdictions could result in significant additional competition.</w:t>
      </w:r>
    </w:p>
    <w:p>
      <w:pPr>
        <w:spacing w:after="0" w:line="100"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i w:val="1"/>
          <w:iCs w:val="1"/>
          <w:color w:val="auto"/>
        </w:rPr>
        <w:t xml:space="preserve">Nevada. </w:t>
      </w:r>
      <w:r>
        <w:rPr>
          <w:rFonts w:ascii="Arial" w:cs="Arial" w:eastAsia="Arial" w:hAnsi="Arial"/>
          <w:sz w:val="17"/>
          <w:szCs w:val="17"/>
          <w:color w:val="auto"/>
        </w:rPr>
        <w:t>Of the 30 casinos currently operating in the Reno market, we believe we compete principally with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hotel</w:t>
      </w:r>
      <w:r>
        <w:rPr>
          <w:rFonts w:ascii="MS PGothic" w:cs="MS PGothic" w:eastAsia="MS PGothic" w:hAnsi="MS PGothic"/>
          <w:sz w:val="17"/>
          <w:szCs w:val="17"/>
          <w:color w:val="auto"/>
        </w:rPr>
        <w:t>‑</w:t>
      </w:r>
      <w:r>
        <w:rPr>
          <w:rFonts w:ascii="Arial" w:cs="Arial" w:eastAsia="Arial" w:hAnsi="Arial"/>
          <w:sz w:val="17"/>
          <w:szCs w:val="17"/>
          <w:color w:val="auto"/>
        </w:rPr>
        <w:t>casinos, like Eldorado Reno and Silver Legacy, that each generate at least $36 million in annual gaming revenues. At this time, we cannot predict the extent to which new and proposed projects will be undertaken or the extent to which current hotel and/or casino space may be expanded. We expect that any additional rooms added in the Reno market will increase competition for visitor revenue. There can be no assurance that any growth in Reno’s current room base or gaming capacity will not adversely affect our financial condition or results of operations.</w:t>
      </w:r>
    </w:p>
    <w:p>
      <w:pPr>
        <w:spacing w:after="0" w:line="84"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7"/>
          <w:szCs w:val="17"/>
          <w:color w:val="auto"/>
        </w:rPr>
        <w:t>We also compete with hotel</w:t>
      </w:r>
      <w:r>
        <w:rPr>
          <w:rFonts w:ascii="MS PGothic" w:cs="MS PGothic" w:eastAsia="MS PGothic" w:hAnsi="MS PGothic"/>
          <w:sz w:val="17"/>
          <w:szCs w:val="17"/>
          <w:color w:val="auto"/>
        </w:rPr>
        <w:t>‑</w:t>
      </w:r>
      <w:r>
        <w:rPr>
          <w:rFonts w:ascii="Arial" w:cs="Arial" w:eastAsia="Arial" w:hAnsi="Arial"/>
          <w:sz w:val="17"/>
          <w:szCs w:val="17"/>
          <w:color w:val="auto"/>
        </w:rPr>
        <w:t>casinos located in the nearby Lake Tahoe region as well as those in other areas of Nevada, including Las Vegas. A substantial number of customers travel to both Reno and the Lake Tahoe area during their visits. Consequently, we believe that our success is influenced to some degree by the success of the Lake Tahoe market. The number of visitors increased during the year ended December 31, 2015 compared with the prior year, and while we do not anticipate a significant change in the popularity of either Reno or Lake Tahoe as tourist destination areas in the foreseeable future, any decline could adversely affect our operations.</w:t>
      </w:r>
    </w:p>
    <w:p>
      <w:pPr>
        <w:spacing w:after="0" w:line="98"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Since visitors from California comprise a significant portion of our customer base, we also compete with Native American gaming operations in California. In total, the State of California has signed and ratified compacts with 72 Native American tribes, and there are currently 60 Native American casinos operating in California, including casinos located in northern California, which we consider to be a significant target market. These Native American tribes are allowed to operate slot machines, lottery games and banking and percentage games on Native American lands.</w:t>
      </w:r>
    </w:p>
    <w:p>
      <w:pPr>
        <w:spacing w:after="0" w:line="94"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8"/>
          <w:szCs w:val="18"/>
          <w:color w:val="auto"/>
        </w:rPr>
        <w:t>Management believes the Reno market draws over 50% of its visitors from California. As northern California Native American gaming operations have expanded, we believe the increasing competition generated by these gaming operations has negatively impacted, and may continue to negatively impact, principally drive</w:t>
      </w:r>
      <w:r>
        <w:rPr>
          <w:rFonts w:ascii="MS PGothic" w:cs="MS PGothic" w:eastAsia="MS PGothic" w:hAnsi="MS PGothic"/>
          <w:sz w:val="18"/>
          <w:szCs w:val="18"/>
          <w:color w:val="auto"/>
        </w:rPr>
        <w:t>‑</w:t>
      </w:r>
      <w:r>
        <w:rPr>
          <w:rFonts w:ascii="Arial" w:cs="Arial" w:eastAsia="Arial" w:hAnsi="Arial"/>
          <w:sz w:val="18"/>
          <w:szCs w:val="18"/>
          <w:color w:val="auto"/>
        </w:rPr>
        <w:t>in, day</w:t>
      </w:r>
      <w:r>
        <w:rPr>
          <w:rFonts w:ascii="MS PGothic" w:cs="MS PGothic" w:eastAsia="MS PGothic" w:hAnsi="MS PGothic"/>
          <w:sz w:val="18"/>
          <w:szCs w:val="18"/>
          <w:color w:val="auto"/>
        </w:rPr>
        <w:t>‑</w:t>
      </w:r>
      <w:r>
        <w:rPr>
          <w:rFonts w:ascii="Arial" w:cs="Arial" w:eastAsia="Arial" w:hAnsi="Arial"/>
          <w:sz w:val="18"/>
          <w:szCs w:val="18"/>
          <w:color w:val="auto"/>
        </w:rPr>
        <w:t>trip visitor traffic from our main feeder markets in northern California.</w:t>
      </w:r>
    </w:p>
    <w:p>
      <w:pPr>
        <w:spacing w:after="0" w:line="82"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i w:val="1"/>
          <w:iCs w:val="1"/>
          <w:color w:val="auto"/>
        </w:rPr>
        <w:t xml:space="preserve">Louisiana. </w:t>
      </w:r>
      <w:r>
        <w:rPr>
          <w:rFonts w:ascii="Arial" w:cs="Arial" w:eastAsia="Arial" w:hAnsi="Arial"/>
          <w:sz w:val="17"/>
          <w:szCs w:val="17"/>
          <w:color w:val="auto"/>
        </w:rPr>
        <w:t>The Shreveport/Bossier City, Louisiana gaming market is characterized by intense competition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has not grown appreciably since Eldorado Shreveport opened in December 2000. We compete directly with</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0" w:lineRule="exact"/>
        <w:rPr>
          <w:sz w:val="20"/>
          <w:szCs w:val="20"/>
          <w:color w:val="auto"/>
        </w:rPr>
      </w:pPr>
      <w:r>
        <w:rPr>
          <w:rFonts w:ascii="Arial" w:cs="Arial" w:eastAsia="Arial" w:hAnsi="Arial"/>
          <w:sz w:val="16"/>
          <w:szCs w:val="16"/>
          <w:color w:val="auto"/>
        </w:rPr>
        <w:t>five casinos, all but one of which have operated in the Shreveport/Bossier City market for several years and have established customer bases. In addition, we also compete with the slot machine facility at Harrah’s Louisiana Casino and Racetrack located in Bossier City and WinStar Casino and casino facilities owned by the Choctaw Nation located in Oklahoma. Casino gaming is currently prohibited in several jurisdictions from which the Shreveport/Bossier City market draws customers, primarily Texas. The Texas legislature has from time to time considered proposals to legalize gaming. Any such proposal would require an amendment to the Texas State constitution, which requires approval by two</w:t>
      </w:r>
      <w:r>
        <w:rPr>
          <w:rFonts w:ascii="MS PGothic" w:cs="MS PGothic" w:eastAsia="MS PGothic" w:hAnsi="MS PGothic"/>
          <w:sz w:val="16"/>
          <w:szCs w:val="16"/>
          <w:color w:val="auto"/>
        </w:rPr>
        <w:t>‑</w:t>
      </w:r>
      <w:r>
        <w:rPr>
          <w:rFonts w:ascii="Arial" w:cs="Arial" w:eastAsia="Arial" w:hAnsi="Arial"/>
          <w:sz w:val="16"/>
          <w:szCs w:val="16"/>
          <w:color w:val="auto"/>
        </w:rPr>
        <w:t>thirds of the Texas State Legislature and approval by a majority of votes cast in a statewide voter referendum. Such approvals would legalize gaming in Texas notwithstanding vetoes by the Governor of casino gambling bills. There can be no assurance that casino gaming will not be approved in Texas in the future, which would have a material adverse effect on our business. Eldorado Shreveport competes with several Native American casinos located in Oklahoma, certain of which are located near our core Texas markets. Because Eldorado Shreveport draws a significant amount of customers from the Dallas/Fort Worth, Texas area, but is located approximately 190 miles from that area, we believe we will continue to face increased competition from gaming operations in Oklahoma and would face significant competition that may have a material adverse effect on our business and results of operations if casino gaming were to be approved in Texas.</w:t>
      </w:r>
    </w:p>
    <w:p>
      <w:pPr>
        <w:spacing w:after="0" w:line="163" w:lineRule="exact"/>
        <w:rPr>
          <w:sz w:val="20"/>
          <w:szCs w:val="20"/>
          <w:color w:val="auto"/>
        </w:rPr>
      </w:pPr>
    </w:p>
    <w:p>
      <w:pPr>
        <w:ind w:right="40" w:firstLine="648"/>
        <w:spacing w:after="0" w:line="194" w:lineRule="exact"/>
        <w:rPr>
          <w:sz w:val="20"/>
          <w:szCs w:val="20"/>
          <w:color w:val="auto"/>
        </w:rPr>
      </w:pPr>
      <w:r>
        <w:rPr>
          <w:rFonts w:ascii="Arial" w:cs="Arial" w:eastAsia="Arial" w:hAnsi="Arial"/>
          <w:sz w:val="18"/>
          <w:szCs w:val="18"/>
          <w:color w:val="auto"/>
        </w:rPr>
        <w:t>In June 2013, construction was completed on a hotel casino in Bossier City across the Red River from Eldorado Shreveport. In December 2014, a new luxury, land</w:t>
      </w:r>
      <w:r>
        <w:rPr>
          <w:rFonts w:ascii="MS PGothic" w:cs="MS PGothic" w:eastAsia="MS PGothic" w:hAnsi="MS PGothic"/>
          <w:sz w:val="18"/>
          <w:szCs w:val="18"/>
          <w:color w:val="auto"/>
        </w:rPr>
        <w:t>‑</w:t>
      </w:r>
      <w:r>
        <w:rPr>
          <w:rFonts w:ascii="Arial" w:cs="Arial" w:eastAsia="Arial" w:hAnsi="Arial"/>
          <w:sz w:val="18"/>
          <w:szCs w:val="18"/>
          <w:color w:val="auto"/>
        </w:rPr>
        <w:t>based casino opened in Lake Charles, Louisiana approximately 200 miles south of Eldorado Shreveport, but closer to the Houston, Texas market.</w:t>
      </w:r>
    </w:p>
    <w:p>
      <w:pPr>
        <w:spacing w:after="0" w:line="163"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i w:val="1"/>
          <w:iCs w:val="1"/>
          <w:color w:val="auto"/>
        </w:rPr>
        <w:t xml:space="preserve">Eastern. </w:t>
      </w:r>
      <w:r>
        <w:rPr>
          <w:rFonts w:ascii="Arial" w:cs="Arial" w:eastAsia="Arial" w:hAnsi="Arial"/>
          <w:sz w:val="16"/>
          <w:szCs w:val="16"/>
          <w:color w:val="auto"/>
        </w:rPr>
        <w:t>Mountaineer, Presque Isle Downs and Scioto Downs primarily compete with gaming facilities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West Virginia, Ohio and Pennsylvania, including, to a certain extent, each other, and gaming locations located in neighboring states including New York, Indiana and Michigan. In particular, Mountaineer (and to a lesser extent Presque Isle Downs) competes with other gaming facilities located in Pennsylvania, including The Rivers Casino located in downtown Pittsburgh, Pennsylvania and The Meadows Racetrack and Casino located in Washington, Pennsylvania, approximately 50 miles southeast of Mountaineer. An additional license has been granted for a casino to be located in Lawrence County, Pennsylvania, approximately 45 miles from Mountaineer and 90 miles from Presque Isle Downs, which would result in further competition for both of those properties. Further, gaming facilities in Ohio represent our main competition, including the Horseshoe Casino Cleveland, Hollywood Casino Columbus, ThistleDown Racino, Northfield Park and Beulah Park.</w:t>
      </w:r>
    </w:p>
    <w:p>
      <w:pPr>
        <w:spacing w:after="0" w:line="10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Mountaineer competes with smaller gaming operations conducted in local bars and fraternal organizations. West Virginia law permits limited video lottery machines (“LVLs”) in local bars and fraternal organizations. The West Virginia Lottery Commission authorizes up to 7,500 slot machines in these facilities throughout West Virginia. No more than five slot machines are allowed in each establishment licensed to sell alcoholic beverages, and no more than ten slot machines are allowed in each licensed fraternal organization. As of December 31, 2015, there were a total of approximately 1,000 LVL’s in bars and fraternal organizations in Hancock County, West Virginia (where Mountaineer is located) and the two neighboring counties (Brooke and Ohio counties). Although the bars and fraternal organizations housing these machines lack poker and table gaming, as well as the amenities and ambiance of our Mountaineer facility, they do compete with Mountaineer, particularly for the local patronage.</w:t>
      </w:r>
    </w:p>
    <w:p>
      <w:pPr>
        <w:spacing w:after="0" w:line="81"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While there are three other tracks and one resort in West Virginia that offer slot machine and table gaming, only one, Wheeling Island Casino, lies within Mountaineer’s primary market in Wheeling, West Virginia. Wheeling Island Casino currently operates approximately 1,400 slot machines, nine poker tables, and 22 casino table games.</w:t>
      </w:r>
    </w:p>
    <w:p>
      <w:pPr>
        <w:spacing w:after="0" w:line="94"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Scioto Downs has also competed with smaller gaming operations in Ohio commonly referred to as Internet/sweepstakes cafes. These establishments offer services including internet time and computer access, in addition to offering games such as poker and games that operate like slot machines. In March 2013, the Ohio General Assembly passed legislation which effectively bans the Internet cafes by defining use of the computers in these facilities as illegal gambling. Efforts have been underway to enforce the closure of the internet cafes.</w:t>
      </w:r>
    </w:p>
    <w:p>
      <w:pPr>
        <w:spacing w:after="0" w:line="95"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Mountaineer’s, and to a lesser extent Presque Isle Downs’, racing and pari</w:t>
      </w:r>
      <w:r>
        <w:rPr>
          <w:rFonts w:ascii="MS PGothic" w:cs="MS PGothic" w:eastAsia="MS PGothic" w:hAnsi="MS PGothic"/>
          <w:sz w:val="16"/>
          <w:szCs w:val="16"/>
          <w:color w:val="auto"/>
        </w:rPr>
        <w:t>‑</w:t>
      </w:r>
      <w:r>
        <w:rPr>
          <w:rFonts w:ascii="Arial" w:cs="Arial" w:eastAsia="Arial" w:hAnsi="Arial"/>
          <w:sz w:val="16"/>
          <w:szCs w:val="16"/>
          <w:color w:val="auto"/>
        </w:rPr>
        <w:t>mutuel operations compete directly for wagering dollars with racing and pari</w:t>
      </w:r>
      <w:r>
        <w:rPr>
          <w:rFonts w:ascii="MS PGothic" w:cs="MS PGothic" w:eastAsia="MS PGothic" w:hAnsi="MS PGothic"/>
          <w:sz w:val="16"/>
          <w:szCs w:val="16"/>
          <w:color w:val="auto"/>
        </w:rPr>
        <w:t>‑</w:t>
      </w:r>
      <w:r>
        <w:rPr>
          <w:rFonts w:ascii="Arial" w:cs="Arial" w:eastAsia="Arial" w:hAnsi="Arial"/>
          <w:sz w:val="16"/>
          <w:szCs w:val="16"/>
          <w:color w:val="auto"/>
        </w:rPr>
        <w:t>mutuel operations at a variety of other horse and greyhound racetracks that conduct pari</w:t>
      </w:r>
      <w:r>
        <w:rPr>
          <w:rFonts w:ascii="MS PGothic" w:cs="MS PGothic" w:eastAsia="MS PGothic" w:hAnsi="MS PGothic"/>
          <w:sz w:val="16"/>
          <w:szCs w:val="16"/>
          <w:color w:val="auto"/>
        </w:rPr>
        <w:t>‑</w:t>
      </w:r>
      <w:r>
        <w:rPr>
          <w:rFonts w:ascii="Arial" w:cs="Arial" w:eastAsia="Arial" w:hAnsi="Arial"/>
          <w:sz w:val="16"/>
          <w:szCs w:val="16"/>
          <w:color w:val="auto"/>
        </w:rPr>
        <w:t>mutuel gaming, including Wheeling Island Casino, in Wheeling, West Virginia; ThistleDown and Northfield Park, in Cleveland, Ohio; Beulah Park, in Austintown, Ohio and The Meadows Racetrack &amp; Casino, in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1" w:lineRule="exact"/>
        <w:rPr>
          <w:sz w:val="20"/>
          <w:szCs w:val="20"/>
          <w:color w:val="auto"/>
        </w:rPr>
      </w:pPr>
      <w:r>
        <w:rPr>
          <w:rFonts w:ascii="Arial" w:cs="Arial" w:eastAsia="Arial" w:hAnsi="Arial"/>
          <w:sz w:val="16"/>
          <w:szCs w:val="16"/>
          <w:color w:val="auto"/>
        </w:rPr>
        <w:t>Washington, Pennsylvania. Wheeling Island Casino conducts pari</w:t>
      </w:r>
      <w:r>
        <w:rPr>
          <w:rFonts w:ascii="MS PGothic" w:cs="MS PGothic" w:eastAsia="MS PGothic" w:hAnsi="MS PGothic"/>
          <w:sz w:val="16"/>
          <w:szCs w:val="16"/>
          <w:color w:val="auto"/>
        </w:rPr>
        <w:t>‑</w:t>
      </w:r>
      <w:r>
        <w:rPr>
          <w:rFonts w:ascii="Arial" w:cs="Arial" w:eastAsia="Arial" w:hAnsi="Arial"/>
          <w:sz w:val="16"/>
          <w:szCs w:val="16"/>
          <w:color w:val="auto"/>
        </w:rPr>
        <w:t>mutuel greyhound racing, simulcasting and casino gaming. Both ThistleDown and Northfield Park conduct pari</w:t>
      </w:r>
      <w:r>
        <w:rPr>
          <w:rFonts w:ascii="MS PGothic" w:cs="MS PGothic" w:eastAsia="MS PGothic" w:hAnsi="MS PGothic"/>
          <w:sz w:val="16"/>
          <w:szCs w:val="16"/>
          <w:color w:val="auto"/>
        </w:rPr>
        <w:t>‑</w:t>
      </w:r>
      <w:r>
        <w:rPr>
          <w:rFonts w:ascii="Arial" w:cs="Arial" w:eastAsia="Arial" w:hAnsi="Arial"/>
          <w:sz w:val="16"/>
          <w:szCs w:val="16"/>
          <w:color w:val="auto"/>
        </w:rPr>
        <w:t>mutuel horse racing, with video lottery gaming which commenced in 2013. Beulah Park was relocated from Columbus, Ohio to Austintown, Ohio in 2014 and conducts pari</w:t>
      </w:r>
      <w:r>
        <w:rPr>
          <w:rFonts w:ascii="MS PGothic" w:cs="MS PGothic" w:eastAsia="MS PGothic" w:hAnsi="MS PGothic"/>
          <w:sz w:val="16"/>
          <w:szCs w:val="16"/>
          <w:color w:val="auto"/>
        </w:rPr>
        <w:t>‑</w:t>
      </w:r>
      <w:r>
        <w:rPr>
          <w:rFonts w:ascii="Arial" w:cs="Arial" w:eastAsia="Arial" w:hAnsi="Arial"/>
          <w:sz w:val="16"/>
          <w:szCs w:val="16"/>
          <w:color w:val="auto"/>
        </w:rPr>
        <w:t>mutuel wagering, simulcasting and video lottery gaming. The Meadows Racetrack &amp; Casino conducts live harness racing, simulcasting and casino gaming. Mountaineer (and to a lesser extent, Presque Isle Downs) also will compete with Valley View Downs in Lawrence County, Pennsylvania, if it is constructed and opened. Since commencing export simulcasting in August 2000, Mountaineer competes with racetracks across the country to have its signal carried by off</w:t>
      </w:r>
      <w:r>
        <w:rPr>
          <w:rFonts w:ascii="MS PGothic" w:cs="MS PGothic" w:eastAsia="MS PGothic" w:hAnsi="MS PGothic"/>
          <w:sz w:val="16"/>
          <w:szCs w:val="16"/>
          <w:color w:val="auto"/>
        </w:rPr>
        <w:t>‑</w:t>
      </w:r>
      <w:r>
        <w:rPr>
          <w:rFonts w:ascii="Arial" w:cs="Arial" w:eastAsia="Arial" w:hAnsi="Arial"/>
          <w:sz w:val="16"/>
          <w:szCs w:val="16"/>
          <w:color w:val="auto"/>
        </w:rPr>
        <w:t>track wagering parlors. Mountaineer, Presque Isle Downs and Scioto Downs also competes for wagering dollars with off</w:t>
      </w:r>
      <w:r>
        <w:rPr>
          <w:rFonts w:ascii="MS PGothic" w:cs="MS PGothic" w:eastAsia="MS PGothic" w:hAnsi="MS PGothic"/>
          <w:sz w:val="16"/>
          <w:szCs w:val="16"/>
          <w:color w:val="auto"/>
        </w:rPr>
        <w:t>‑</w:t>
      </w:r>
      <w:r>
        <w:rPr>
          <w:rFonts w:ascii="Arial" w:cs="Arial" w:eastAsia="Arial" w:hAnsi="Arial"/>
          <w:sz w:val="16"/>
          <w:szCs w:val="16"/>
          <w:color w:val="auto"/>
        </w:rPr>
        <w:t>track wagering facilities in Ohio and Pennsylvania, and competes with other racetracks for participation by quality racehorses.</w:t>
      </w:r>
    </w:p>
    <w:p>
      <w:pPr>
        <w:spacing w:after="0" w:line="100"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All of our gaming operations also compete to a lesser extent with operations in other locations,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Native American lands, and with other forms of legalized gaming in the United States, including state</w:t>
      </w:r>
      <w:r>
        <w:rPr>
          <w:rFonts w:ascii="MS PGothic" w:cs="MS PGothic" w:eastAsia="MS PGothic" w:hAnsi="MS PGothic"/>
          <w:sz w:val="17"/>
          <w:szCs w:val="17"/>
          <w:color w:val="auto"/>
        </w:rPr>
        <w:t>‑</w:t>
      </w:r>
      <w:r>
        <w:rPr>
          <w:rFonts w:ascii="Arial" w:cs="Arial" w:eastAsia="Arial" w:hAnsi="Arial"/>
          <w:sz w:val="17"/>
          <w:szCs w:val="17"/>
          <w:color w:val="auto"/>
        </w:rPr>
        <w:t>sponsored lotteries, on</w:t>
      </w:r>
      <w:r>
        <w:rPr>
          <w:rFonts w:ascii="MS PGothic" w:cs="MS PGothic" w:eastAsia="MS PGothic" w:hAnsi="MS PGothic"/>
          <w:sz w:val="17"/>
          <w:szCs w:val="17"/>
          <w:color w:val="auto"/>
        </w:rPr>
        <w:t>‑</w:t>
      </w:r>
      <w:r>
        <w:rPr>
          <w:rFonts w:ascii="Arial" w:cs="Arial" w:eastAsia="Arial" w:hAnsi="Arial"/>
          <w:sz w:val="17"/>
          <w:szCs w:val="17"/>
          <w:color w:val="auto"/>
        </w:rPr>
        <w:t xml:space="preserve"> and off</w:t>
      </w:r>
      <w:r>
        <w:rPr>
          <w:rFonts w:ascii="MS PGothic" w:cs="MS PGothic" w:eastAsia="MS PGothic" w:hAnsi="MS PGothic"/>
          <w:sz w:val="17"/>
          <w:szCs w:val="17"/>
          <w:color w:val="auto"/>
        </w:rPr>
        <w:t>‑</w:t>
      </w:r>
      <w:r>
        <w:rPr>
          <w:rFonts w:ascii="Arial" w:cs="Arial" w:eastAsia="Arial" w:hAnsi="Arial"/>
          <w:sz w:val="17"/>
          <w:szCs w:val="17"/>
          <w:color w:val="auto"/>
        </w:rPr>
        <w:t>track wagering, high</w:t>
      </w:r>
      <w:r>
        <w:rPr>
          <w:rFonts w:ascii="MS PGothic" w:cs="MS PGothic" w:eastAsia="MS PGothic" w:hAnsi="MS PGothic"/>
          <w:sz w:val="17"/>
          <w:szCs w:val="17"/>
          <w:color w:val="auto"/>
        </w:rPr>
        <w:t>‑</w:t>
      </w:r>
      <w:r>
        <w:rPr>
          <w:rFonts w:ascii="Arial" w:cs="Arial" w:eastAsia="Arial" w:hAnsi="Arial"/>
          <w:sz w:val="17"/>
          <w:szCs w:val="17"/>
          <w:color w:val="auto"/>
        </w:rPr>
        <w:t>stakes bingo, card parlors, and the emergence of Internet gaming, including proposals at the state and federal levels that would legalize various forms of internet gaming. In addition, casinos in Canada have likewise recently begun advertising and increasing promotional activities in our target markets. See “Item 1A. Risk Factors—Risks Related to Our Business—</w:t>
      </w:r>
      <w:r>
        <w:rPr>
          <w:rFonts w:ascii="Arial" w:cs="Arial" w:eastAsia="Arial" w:hAnsi="Arial"/>
          <w:sz w:val="17"/>
          <w:szCs w:val="17"/>
          <w:i w:val="1"/>
          <w:iCs w:val="1"/>
          <w:color w:val="auto"/>
        </w:rPr>
        <w:t>We face substantial competition in the hotel and casino industry and expect that such competition</w:t>
      </w:r>
      <w:r>
        <w:rPr>
          <w:rFonts w:ascii="Arial" w:cs="Arial" w:eastAsia="Arial" w:hAnsi="Arial"/>
          <w:sz w:val="17"/>
          <w:szCs w:val="17"/>
          <w:color w:val="auto"/>
        </w:rPr>
        <w:t xml:space="preserve"> </w:t>
      </w:r>
      <w:r>
        <w:rPr>
          <w:rFonts w:ascii="Arial" w:cs="Arial" w:eastAsia="Arial" w:hAnsi="Arial"/>
          <w:sz w:val="17"/>
          <w:szCs w:val="17"/>
          <w:i w:val="1"/>
          <w:iCs w:val="1"/>
          <w:color w:val="auto"/>
        </w:rPr>
        <w:t>will continue</w:t>
      </w:r>
      <w:r>
        <w:rPr>
          <w:rFonts w:ascii="Arial" w:cs="Arial" w:eastAsia="Arial" w:hAnsi="Arial"/>
          <w:sz w:val="17"/>
          <w:szCs w:val="17"/>
          <w:color w:val="auto"/>
        </w:rPr>
        <w:t>” which is included elsewhere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Gaming Regulations</w:t>
      </w:r>
    </w:p>
    <w:p>
      <w:pPr>
        <w:spacing w:after="0" w:line="18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gaming and racing industries are highly regulated and we must maintain our licenses and pay gaming taxes to continue our operations. We are subject to extensive regulation under laws, rules and supervisory procedures primarily in the jurisdictions where our facilities are located or docked.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167"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61"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63" w:lineRule="exact"/>
        <w:rPr>
          <w:sz w:val="20"/>
          <w:szCs w:val="20"/>
          <w:color w:val="auto"/>
        </w:rPr>
      </w:pPr>
    </w:p>
    <w:p>
      <w:pPr>
        <w:ind w:right="260" w:firstLine="648"/>
        <w:spacing w:after="0" w:line="203" w:lineRule="exact"/>
        <w:rPr>
          <w:sz w:val="20"/>
          <w:szCs w:val="20"/>
          <w:color w:val="auto"/>
        </w:rPr>
      </w:pPr>
      <w:r>
        <w:rPr>
          <w:rFonts w:ascii="Arial" w:cs="Arial" w:eastAsia="Arial" w:hAnsi="Arial"/>
          <w:sz w:val="18"/>
          <w:szCs w:val="18"/>
          <w:color w:val="auto"/>
        </w:rPr>
        <w:t>A more detailed description of the regulations to which we are subject is contained in Exhibit 99.1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is incorporated herein by reference.</w:t>
      </w:r>
    </w:p>
    <w:p>
      <w:pPr>
        <w:spacing w:after="0" w:line="1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Reporting and Record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Keeping Requirements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We are required periodically to submit detailed financial and operating reports and furnish any other information about us and our subsidiaries which gaming authorities may require.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89" w:lineRule="exact"/>
        <w:rPr>
          <w:sz w:val="20"/>
          <w:szCs w:val="20"/>
          <w:color w:val="auto"/>
        </w:rPr>
      </w:pPr>
    </w:p>
    <w:p>
      <w:pPr>
        <w:jc w:val="both"/>
        <w:ind w:right="220" w:firstLine="648"/>
        <w:spacing w:after="0" w:line="229" w:lineRule="auto"/>
        <w:rPr>
          <w:sz w:val="20"/>
          <w:szCs w:val="20"/>
          <w:color w:val="auto"/>
        </w:rPr>
      </w:pPr>
      <w:r>
        <w:rPr>
          <w:rFonts w:ascii="Arial" w:cs="Arial" w:eastAsia="Arial" w:hAnsi="Arial"/>
          <w:sz w:val="17"/>
          <w:szCs w:val="17"/>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Service Regulations</w:t>
      </w:r>
    </w:p>
    <w:p>
      <w:pPr>
        <w:spacing w:after="0" w:line="189"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The Internal Revenue Service requires operators of casinos located in the United States to file information returns for U.S. citizens, including names and addresses of winners, for keno, bingo and slot machine winnings in excess of stipulated amounts. The Internal Revenue Service also requires operators to withhold taxes on some keno, bingo and slot machine winnings of nonresident aliens. We are unable to predict the extent to which these requirements, if extended, might impede or otherwise adversely affect operations of, and/or income from, the other games.</w:t>
      </w:r>
    </w:p>
    <w:p>
      <w:pPr>
        <w:spacing w:after="0" w:line="15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Regulations adopted by the Financial Crimes Enforcement Network of the Treasury Department (“FINCEN”) and the Nevada Gaming Authorities require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8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6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We use a variety of trade names, service marks, trademarks, patents and copyrights in our operations and believe that we have all the licenses necessary to conduct our continuing operations. We have registered several service marks, trademarks, patents and copyrights with the United States Patent and Trademark Office or otherwise acquired the licenses to use those which are material to conduct our business. We also own patents relating to unique casino games. We file copyright applications to protect our creative artworks, which are often featured in property branding, as well as our distinctive website content.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5" w:lineRule="exact"/>
        <w:rPr>
          <w:sz w:val="20"/>
          <w:szCs w:val="20"/>
          <w:color w:val="auto"/>
        </w:rPr>
      </w:pPr>
    </w:p>
    <w:p>
      <w:pPr>
        <w:ind w:right="380" w:firstLine="648"/>
        <w:spacing w:after="0" w:line="219" w:lineRule="auto"/>
        <w:rPr>
          <w:sz w:val="20"/>
          <w:szCs w:val="20"/>
          <w:color w:val="auto"/>
        </w:rPr>
      </w:pPr>
      <w:r>
        <w:rPr>
          <w:rFonts w:ascii="Arial" w:cs="Arial" w:eastAsia="Arial" w:hAnsi="Arial"/>
          <w:sz w:val="18"/>
          <w:szCs w:val="18"/>
          <w:color w:val="auto"/>
        </w:rPr>
        <w:t>Casino, hotel and racing operations in our markets are subject to seasonal variation. Winter conditions can frequently adversely affect transportation routes to each of our properties and also may cause cancellations of live horse racing at Mountaineer, Scioto Downs and Presque Isle Downs. As a result, unfavorable seasonal conditions could have a material adverse effect on our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3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including those relating to the use, storage, discharge, emission and disposal of hazardous materials and solid, animal and hazardous wastes and exposure to hazardous materials. Such laws and regulations can impose liability on potentially responsible parties, including the owners or operators of real property, to clean up, or contribute to the cost of cleaning up, sites at which hazardous wastes or materials were disposed of or released. In addition to investigation and remediation liabilities that could arise under such laws and regulations, we could also face personal injury, property damage, fines or other claims by third parties concerning environmental compliance or contamination or exposure to hazardous materials, and could be subject to significant fines or penalties for any violations.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Although we have incurred, and expect that we will continue to incur, costs related to the investigation, identification and remediation of hazardous materials or conditions known or discovered to exist at our properties, those costs have not had, and are not expected to have, a material adverse effect on our financial condition, results of operations or cash flow.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As of December 31, 2015, we had approximately 7,800 employees. As of such date, we had 11 collective bargaining agreements covering approximately 1,100 employees.</w:t>
      </w:r>
    </w:p>
    <w:p>
      <w:pPr>
        <w:spacing w:after="0" w:line="10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3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speak only as of the date they are made, and we assume no duty to update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Although our expectations, beliefs and projections are expressed in good faith and with what we believe is a reasonable basis, there can be no assurance that these expectations, beliefs and projections will be realized. There are a number of risks and uncertainties that could cause our actual results to differ materially from those expressed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which are included elsewhere in this report. Other factors beyond those listed below could also adversely affect us. Such risks, uncertainties and other important factors include, but are not limited to:</w:t>
      </w:r>
    </w:p>
    <w:p>
      <w:pPr>
        <w:spacing w:after="0" w:line="115" w:lineRule="exact"/>
        <w:rPr>
          <w:sz w:val="20"/>
          <w:szCs w:val="20"/>
          <w:color w:val="auto"/>
        </w:rPr>
      </w:pPr>
    </w:p>
    <w:p>
      <w:pPr>
        <w:ind w:left="980" w:right="620" w:hanging="329"/>
        <w:spacing w:after="0" w:line="235" w:lineRule="auto"/>
        <w:tabs>
          <w:tab w:leader="none" w:pos="9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121" w:lineRule="exact"/>
        <w:rPr>
          <w:rFonts w:ascii="Arial" w:cs="Arial" w:eastAsia="Arial" w:hAnsi="Arial"/>
          <w:sz w:val="18"/>
          <w:szCs w:val="18"/>
          <w:color w:val="auto"/>
        </w:rPr>
      </w:pPr>
    </w:p>
    <w:p>
      <w:pPr>
        <w:ind w:left="980" w:right="20" w:hanging="329"/>
        <w:spacing w:after="0" w:line="235" w:lineRule="auto"/>
        <w:tabs>
          <w:tab w:leader="none" w:pos="9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could significantly affect our ability to operate our business and our liquidity;</w:t>
      </w:r>
    </w:p>
    <w:p>
      <w:pPr>
        <w:spacing w:after="0" w:line="134" w:lineRule="exact"/>
        <w:rPr>
          <w:rFonts w:ascii="Arial" w:cs="Arial" w:eastAsia="Arial" w:hAnsi="Arial"/>
          <w:sz w:val="18"/>
          <w:szCs w:val="18"/>
          <w:color w:val="auto"/>
        </w:rPr>
      </w:pPr>
    </w:p>
    <w:p>
      <w:pPr>
        <w:ind w:left="940" w:hanging="2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44" w:lineRule="exact"/>
        <w:rPr>
          <w:rFonts w:ascii="Arial" w:cs="Arial" w:eastAsia="Arial" w:hAnsi="Arial"/>
          <w:sz w:val="18"/>
          <w:szCs w:val="18"/>
          <w:color w:val="auto"/>
        </w:rPr>
      </w:pPr>
    </w:p>
    <w:p>
      <w:pPr>
        <w:ind w:left="980" w:right="20" w:hanging="329"/>
        <w:spacing w:after="0" w:line="235" w:lineRule="auto"/>
        <w:tabs>
          <w:tab w:leader="none" w:pos="9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our Nevada, Louisiana, West Virginia, Pennsylvania and Ohio casinos for substantially all of our revenues and cash flows;</w:t>
      </w:r>
    </w:p>
    <w:p>
      <w:pPr>
        <w:spacing w:after="0" w:line="121" w:lineRule="exact"/>
        <w:rPr>
          <w:rFonts w:ascii="Arial" w:cs="Arial" w:eastAsia="Arial" w:hAnsi="Arial"/>
          <w:sz w:val="18"/>
          <w:szCs w:val="18"/>
          <w:color w:val="auto"/>
        </w:rPr>
      </w:pPr>
    </w:p>
    <w:p>
      <w:pPr>
        <w:ind w:left="980" w:right="240" w:hanging="329"/>
        <w:spacing w:after="0" w:line="289" w:lineRule="auto"/>
        <w:tabs>
          <w:tab w:leader="none" w:pos="9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integrate the operations of Circus Reno, the Silver Legacy and the MTR Gaming properties and realize the benefits of the Circus Reno/Silver Legacy Purchase, the Merger and other future acquisitions;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220" w:hanging="329"/>
        <w:spacing w:after="0" w:line="235" w:lineRule="auto"/>
        <w:tabs>
          <w:tab w:leader="none" w:pos="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21" w:lineRule="exact"/>
        <w:rPr>
          <w:rFonts w:ascii="Arial" w:cs="Arial" w:eastAsia="Arial" w:hAnsi="Arial"/>
          <w:sz w:val="18"/>
          <w:szCs w:val="18"/>
          <w:color w:val="auto"/>
        </w:rPr>
      </w:pPr>
    </w:p>
    <w:p>
      <w:pPr>
        <w:ind w:left="980" w:hanging="329"/>
        <w:spacing w:after="0" w:line="235" w:lineRule="auto"/>
        <w:tabs>
          <w:tab w:leader="none" w:pos="9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3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4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4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57"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4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4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57"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4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44"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57" w:lineRule="exact"/>
        <w:rPr>
          <w:rFonts w:ascii="Arial" w:cs="Arial" w:eastAsia="Arial" w:hAnsi="Arial"/>
          <w:sz w:val="18"/>
          <w:szCs w:val="18"/>
          <w:color w:val="auto"/>
        </w:rPr>
      </w:pPr>
    </w:p>
    <w:p>
      <w:pPr>
        <w:ind w:left="940" w:hanging="289"/>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intense competition to attract and retain management and key employees in the gaming industry; and</w:t>
      </w:r>
    </w:p>
    <w:p>
      <w:pPr>
        <w:spacing w:after="0" w:line="155" w:lineRule="exact"/>
        <w:rPr>
          <w:rFonts w:ascii="Arial" w:cs="Arial" w:eastAsia="Arial" w:hAnsi="Arial"/>
          <w:sz w:val="17"/>
          <w:szCs w:val="17"/>
          <w:color w:val="auto"/>
        </w:rPr>
      </w:pPr>
    </w:p>
    <w:p>
      <w:pPr>
        <w:ind w:left="940" w:hanging="289"/>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set forth under “Item 1A. Risk Factors.”</w:t>
      </w:r>
    </w:p>
    <w:p>
      <w:pPr>
        <w:spacing w:after="0" w:line="144"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speak only as of the date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even if subsequently made available on our website or otherwise, and we do not intend to update publicly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that occur after the date on which the statement is made, except as may be required by law.</w:t>
      </w:r>
    </w:p>
    <w:p>
      <w:pPr>
        <w:spacing w:after="0" w:line="13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We file annual, quarterly and special reports, proxy statements and other information with the Securities and Exchange Commission (the “SEC”). You may read and copy, at prescribed rates, any document we have filed at the SEC’s public reference room in Washington, D.C. Please call the SEC at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 xml:space="preserve"> SEC</w:t>
      </w:r>
      <w:r>
        <w:rPr>
          <w:rFonts w:ascii="MS PGothic" w:cs="MS PGothic" w:eastAsia="MS PGothic" w:hAnsi="MS PGothic"/>
          <w:sz w:val="18"/>
          <w:szCs w:val="18"/>
          <w:color w:val="auto"/>
        </w:rPr>
        <w:t>‑</w:t>
      </w:r>
      <w:r>
        <w:rPr>
          <w:rFonts w:ascii="Arial" w:cs="Arial" w:eastAsia="Arial" w:hAnsi="Arial"/>
          <w:sz w:val="18"/>
          <w:szCs w:val="18"/>
          <w:color w:val="auto"/>
        </w:rPr>
        <w:t>0330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732</w:t>
      </w:r>
      <w:r>
        <w:rPr>
          <w:rFonts w:ascii="MS PGothic" w:cs="MS PGothic" w:eastAsia="MS PGothic" w:hAnsi="MS PGothic"/>
          <w:sz w:val="18"/>
          <w:szCs w:val="18"/>
          <w:color w:val="auto"/>
        </w:rPr>
        <w:t>‑</w:t>
      </w:r>
      <w:r>
        <w:rPr>
          <w:rFonts w:ascii="Arial" w:cs="Arial" w:eastAsia="Arial" w:hAnsi="Arial"/>
          <w:sz w:val="18"/>
          <w:szCs w:val="18"/>
          <w:color w:val="auto"/>
        </w:rPr>
        <w:t>0330) for further information on the public reference room. The SEC also maintains a website that contains reports, proxy and information statements and other information regarding registrants that file electronically with the SEC (</w:t>
      </w:r>
      <w:r>
        <w:rPr>
          <w:rFonts w:ascii="Arial" w:cs="Arial" w:eastAsia="Arial" w:hAnsi="Arial"/>
          <w:sz w:val="18"/>
          <w:szCs w:val="18"/>
          <w:i w:val="1"/>
          <w:iCs w:val="1"/>
          <w:color w:val="auto"/>
        </w:rPr>
        <w:t>http://www.sec.gov</w:t>
      </w:r>
      <w:r>
        <w:rPr>
          <w:rFonts w:ascii="Arial" w:cs="Arial" w:eastAsia="Arial" w:hAnsi="Arial"/>
          <w:sz w:val="18"/>
          <w:szCs w:val="18"/>
          <w:color w:val="auto"/>
        </w:rPr>
        <w:t>). You also may read and copy reports and other information filed by us at the office of The NASDAQ Stock Market, One Liberty Plaza, 165 Broadway, New York, NY 10006.</w:t>
      </w:r>
    </w:p>
    <w:p>
      <w:pPr>
        <w:spacing w:after="0" w:line="150"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color w:val="auto"/>
        </w:rPr>
        <w:t>We make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our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our Current Reports on</w:t>
      </w:r>
    </w:p>
    <w:p>
      <w:pPr>
        <w:spacing w:after="0" w:line="185" w:lineRule="exact"/>
        <w:rPr>
          <w:sz w:val="20"/>
          <w:szCs w:val="20"/>
          <w:color w:val="auto"/>
        </w:rPr>
      </w:pPr>
      <w:r>
        <w:rPr>
          <w:rFonts w:ascii="Arial" w:cs="Arial" w:eastAsia="Arial" w:hAnsi="Arial"/>
          <w:sz w:val="17"/>
          <w:szCs w:val="17"/>
          <w:color w:val="auto"/>
        </w:rPr>
        <w:t>Form 8</w:t>
      </w:r>
      <w:r>
        <w:rPr>
          <w:rFonts w:ascii="MS PGothic" w:cs="MS PGothic" w:eastAsia="MS PGothic" w:hAnsi="MS PGothic"/>
          <w:sz w:val="17"/>
          <w:szCs w:val="17"/>
          <w:color w:val="auto"/>
        </w:rPr>
        <w:t>‑</w:t>
      </w:r>
      <w:r>
        <w:rPr>
          <w:rFonts w:ascii="Arial" w:cs="Arial" w:eastAsia="Arial" w:hAnsi="Arial"/>
          <w:sz w:val="17"/>
          <w:szCs w:val="17"/>
          <w:color w:val="auto"/>
        </w:rPr>
        <w:t>K, and all amendments to these reports, available free of charge on our corporate website (</w:t>
      </w:r>
      <w:r>
        <w:rPr>
          <w:rFonts w:ascii="Arial" w:cs="Arial" w:eastAsia="Arial" w:hAnsi="Arial"/>
          <w:sz w:val="17"/>
          <w:szCs w:val="17"/>
          <w:i w:val="1"/>
          <w:iCs w:val="1"/>
          <w:color w:val="auto"/>
        </w:rPr>
        <w:t>www.eldoradoresorts.com</w:t>
      </w:r>
      <w:r>
        <w:rPr>
          <w:rFonts w:ascii="Arial" w:cs="Arial" w:eastAsia="Arial" w:hAnsi="Arial"/>
          <w:sz w:val="17"/>
          <w:szCs w:val="17"/>
          <w:color w:val="auto"/>
        </w:rPr>
        <w:t>) as soon as reasonably practicable after such reports are filed with, or furnished to, the SEC. In addition, our Code of Ethics and Business Conduct and charters of the Audit Committee, Compensation Committee, and the Nominating and Corporate Governance Committee are available on our website. We will provide reasonable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quantities of electronic or paper copies of filings free of charge upon request. In addition, we will provide a copy of the above referenced charters to stockholders upon request.</w:t>
      </w:r>
    </w:p>
    <w:p>
      <w:pPr>
        <w:spacing w:after="0" w:line="162"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References in this document to our website address do not incorporate by reference the information contained on the website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ERI’s Capital Structure and Equity Ownership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indebtedness</w:t>
      </w:r>
    </w:p>
    <w:p>
      <w:pPr>
        <w:spacing w:after="0" w:line="18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On July 23, 2015, the Company issued $375 million in aggregate principal amount of 7.0% senior notes due 2023 (“Senior Notes”) and entered into a new $425.0 million seven year term loan (the “New Term Loan”) and a new $150.0 million five year revolving credit facility (the “New Revolving Credit Facility” and, together with the New Term Loan, the “New Credit Facility”). As a result of our New Credit Facility and outstanding Senior Notes, we have a significant amount of indebtedness. As of December 31, 2015, we and our restricted subsidiaries had $891.4 million of total indebtedness outstanding, of which $516.4 million was secured, and $56.5 million of availability under the New Credit Facility. This indebtedness may have important negative consequences for us, including:</w:t>
      </w:r>
    </w:p>
    <w:p>
      <w:pPr>
        <w:spacing w:after="0" w:line="162" w:lineRule="exact"/>
        <w:rPr>
          <w:sz w:val="20"/>
          <w:szCs w:val="20"/>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satisfy our obligations;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84" w:lineRule="exact"/>
        <w:rPr>
          <w:rFonts w:ascii="Arial" w:cs="Arial" w:eastAsia="Arial" w:hAnsi="Arial"/>
          <w:sz w:val="18"/>
          <w:szCs w:val="18"/>
          <w:color w:val="auto"/>
        </w:rPr>
      </w:pPr>
    </w:p>
    <w:p>
      <w:pPr>
        <w:ind w:left="980" w:right="30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competitors that have less debt;</w:t>
      </w:r>
    </w:p>
    <w:p>
      <w:pPr>
        <w:spacing w:after="0" w:line="184" w:lineRule="exact"/>
        <w:rPr>
          <w:rFonts w:ascii="Arial" w:cs="Arial" w:eastAsia="Arial" w:hAnsi="Arial"/>
          <w:sz w:val="18"/>
          <w:szCs w:val="18"/>
          <w:color w:val="auto"/>
        </w:rPr>
      </w:pPr>
    </w:p>
    <w:p>
      <w:pPr>
        <w:ind w:left="980" w:right="20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and limiting our ability to react to, changing market conditions, changes in our industry and economic downturns;</w:t>
      </w:r>
    </w:p>
    <w:p>
      <w:pPr>
        <w:spacing w:after="0" w:line="161" w:lineRule="exact"/>
        <w:rPr>
          <w:rFonts w:ascii="Arial" w:cs="Arial" w:eastAsia="Arial" w:hAnsi="Arial"/>
          <w:sz w:val="18"/>
          <w:szCs w:val="18"/>
          <w:color w:val="auto"/>
        </w:rPr>
      </w:pPr>
    </w:p>
    <w:p>
      <w:pPr>
        <w:ind w:left="980" w:right="300" w:hanging="329"/>
        <w:spacing w:after="0" w:line="235"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requirements, capital expenditures, debt service, general corporate or other obligations;</w:t>
      </w:r>
    </w:p>
    <w:p>
      <w:pPr>
        <w:spacing w:after="0" w:line="161" w:lineRule="exact"/>
        <w:rPr>
          <w:rFonts w:ascii="Arial" w:cs="Arial" w:eastAsia="Arial" w:hAnsi="Arial"/>
          <w:sz w:val="18"/>
          <w:szCs w:val="18"/>
          <w:color w:val="auto"/>
        </w:rPr>
      </w:pPr>
    </w:p>
    <w:p>
      <w:pPr>
        <w:ind w:left="980" w:hanging="329"/>
        <w:spacing w:after="0" w:line="224"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subjecting us to a number of restrictive covenants that, among other things, limit our ability to pay dividends and distributions, make acquisitions and dispositions, borrow additional funds, and make capital expenditures and other investments;</w:t>
      </w:r>
    </w:p>
    <w:p>
      <w:pPr>
        <w:spacing w:after="0" w:line="163" w:lineRule="exact"/>
        <w:rPr>
          <w:rFonts w:ascii="Arial" w:cs="Arial" w:eastAsia="Arial" w:hAnsi="Arial"/>
          <w:sz w:val="18"/>
          <w:szCs w:val="18"/>
          <w:color w:val="auto"/>
        </w:rPr>
      </w:pPr>
    </w:p>
    <w:p>
      <w:pPr>
        <w:ind w:left="980" w:right="720" w:hanging="329"/>
        <w:spacing w:after="0" w:line="289" w:lineRule="auto"/>
        <w:tabs>
          <w:tab w:leader="none" w:pos="9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limiting our ability to use operating cash flow in other areas of its business because we must dedicate a significant portion of these funds to make principal and/or interest payments on our outstanding debt;</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exposing us to interest rate risk due to the variable interest rate on borrowings under our New Credit Facility;</w:t>
      </w:r>
    </w:p>
    <w:p>
      <w:pPr>
        <w:spacing w:after="0" w:line="207" w:lineRule="exact"/>
        <w:rPr>
          <w:rFonts w:ascii="Arial" w:cs="Arial" w:eastAsia="Arial" w:hAnsi="Arial"/>
          <w:sz w:val="16"/>
          <w:szCs w:val="16"/>
          <w:color w:val="auto"/>
        </w:rPr>
      </w:pPr>
    </w:p>
    <w:p>
      <w:pPr>
        <w:ind w:left="980" w:right="300" w:hanging="329"/>
        <w:spacing w:after="0" w:line="224" w:lineRule="auto"/>
        <w:tabs>
          <w:tab w:leader="none" w:pos="9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causing our failure to comply with the financial and restrictive covenants contained in our current or future indebtedness, which could cause a default under such indebtedness and which, if not cured or waived, could have a material adverse effect on us; and</w:t>
      </w:r>
    </w:p>
    <w:p>
      <w:pPr>
        <w:spacing w:after="0" w:line="163" w:lineRule="exact"/>
        <w:rPr>
          <w:rFonts w:ascii="Arial" w:cs="Arial" w:eastAsia="Arial" w:hAnsi="Arial"/>
          <w:sz w:val="18"/>
          <w:szCs w:val="18"/>
          <w:color w:val="auto"/>
        </w:rPr>
      </w:pPr>
    </w:p>
    <w:p>
      <w:pPr>
        <w:ind w:left="940" w:hanging="289"/>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affecting our ability to renew gaming and other licenses necessary to conduct our business.</w:t>
      </w:r>
    </w:p>
    <w:p>
      <w:pPr>
        <w:spacing w:after="0" w:line="185" w:lineRule="exact"/>
        <w:rPr>
          <w:sz w:val="20"/>
          <w:szCs w:val="20"/>
          <w:color w:val="auto"/>
        </w:rPr>
      </w:pPr>
    </w:p>
    <w:p>
      <w:pPr>
        <w:ind w:right="520"/>
        <w:spacing w:after="0" w:line="324" w:lineRule="auto"/>
        <w:rPr>
          <w:sz w:val="20"/>
          <w:szCs w:val="20"/>
          <w:color w:val="auto"/>
        </w:rPr>
      </w:pPr>
      <w:r>
        <w:rPr>
          <w:rFonts w:ascii="Arial" w:cs="Arial" w:eastAsia="Arial" w:hAnsi="Arial"/>
          <w:sz w:val="15"/>
          <w:szCs w:val="15"/>
          <w:b w:val="1"/>
          <w:bCs w:val="1"/>
          <w:i w:val="1"/>
          <w:iCs w:val="1"/>
          <w:color w:val="auto"/>
        </w:rPr>
        <w:t>Despite our current indebtedness levels, we and our subsidiaries may still incur significant additional indebtedness. Incurring more indebtedness could increase the risks associated with our substantial indebtedness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We and our subsidiaries may be able to incur substantial additional indebtedness, including additional secured indebtedness, in the future. The terms of the indenture governing the Senior Notes (the “Indenture”) and our credit agreement governing our New Credit Facility restrict, but will not completely prohibit, us from doing so. As of December 31, 2015, we had $56.5 million of borrowing availability under our New Credit Facility. The Indenture will also allow us to incur certain other additional secured and unsecured debt and does not prevent us from incurring other liabilities that do not constitute indebtedness.</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21"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legislative, regulatory and other factors beyond our control. We will also be required to obtain the consent of the lenders under the senior secured credit facilities to refinance material portions of our indebtedness. We cannot assure you that we will maintain a level of cash flows from operating activities sufficient to permit us to pay the principal, premium, if any, and interest on our indebtedness.</w:t>
      </w:r>
    </w:p>
    <w:p>
      <w:pPr>
        <w:spacing w:after="0" w:line="122"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Additionally, the credit agreement governing the New Credit Facility and the Indenture limits the use of the proceeds from any disposition; as a result, we may not be allowed, under these documents, to use proceeds from such dispositions to satisfy all current debt service obligations.</w:t>
      </w:r>
    </w:p>
    <w:p>
      <w:pPr>
        <w:spacing w:after="0" w:line="123"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The Indenture governing the notes and the credit agreement governing the New Credit Facility will impose significant operating and financial restrictions on us and our subsidiaries, which may prevent us from capitalizing on business opportunities</w:t>
      </w:r>
    </w:p>
    <w:p>
      <w:pPr>
        <w:spacing w:after="0" w:line="123"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The credit agreement governing the New Credit Facility and the Indenture will impose significant operating and financial restrictions on us. These restrictions limit our ability, among other things, to:</w:t>
      </w:r>
    </w:p>
    <w:p>
      <w:pPr>
        <w:spacing w:after="0" w:line="162" w:lineRule="exact"/>
        <w:rPr>
          <w:sz w:val="20"/>
          <w:szCs w:val="20"/>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or other encumbrances;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other restricted payments;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 to payment restrictions affecting our restricted subsidiaries;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prepay subordinated indebtedness;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 loans or other guarantees;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or otherwise dispose of a portion of our assets; or</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acquisitions or merge or consolidate with another entity.</w:t>
      </w:r>
    </w:p>
    <w:p>
      <w:pPr>
        <w:spacing w:after="0" w:line="185"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In addition, the credit agreement governing the New Credit Facility contains certain financial covenants, including minimum interest coverage ratio and maximum total leverage ratio covenants.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As a result of these covenants and restrictions, we are limited in how we conduct our business and we may be unable to raise additional debt or equity financing to compete effectively or to take advantage of new business opportunities. The restrictions caused by such covenants could also place us at a competitive disadvantage to less leveraged competitors.</w:t>
      </w:r>
    </w:p>
    <w:p>
      <w:pPr>
        <w:spacing w:after="0" w:line="26"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A failure to comply with the covenants contained in the credit agreement governing the New Credit Facility, Indenture or other indebtedness that we may incur in the future could result in an event of default, which, if not cured or waived, could result in the acceleration of the indebtedness and have a material adverse effect on our business, financial condition and results of operations. If our indebtedness were to be accelerated, there can be no assurance that our assets would be sufficient to repay such indebtedness in full. Moreover, in the event that such indebtedness is accelerated, there can be no assurance that we will be able to refinance it on acceptable terms, or at all.</w:t>
      </w:r>
    </w:p>
    <w:p>
      <w:pPr>
        <w:spacing w:after="0" w:line="30"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b w:val="1"/>
          <w:bCs w:val="1"/>
          <w:i w:val="1"/>
          <w:iCs w:val="1"/>
          <w:color w:val="auto"/>
        </w:rPr>
        <w:t>We are a holding company and will depend on our subsidiaries for dividends, distributions and repayment of our indebtedness</w:t>
      </w:r>
    </w:p>
    <w:p>
      <w:pPr>
        <w:spacing w:after="0" w:line="40"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We are structured as a holding company, a legal entity separate and distinct from its subsidiaries. Our only significant asset is the capital stock or other equity interests of our operating subsidiaries. As a holding company, we conduct all of our business through our subsidiaries. Consequently, our principal source of cash flow will be dividends and distributions from our subsidiaries. If our subsidiaries are unable to make dividend payments or distributions to us and sufficient cash or liquidity is not otherwise available, we may not be able to pay interest or principal on our indebtedness.</w:t>
      </w:r>
    </w:p>
    <w:p>
      <w:pPr>
        <w:spacing w:after="0" w:line="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ability to service all of our indebtedness depends on our ability to generate cash flow, which is subject to factors that are beyond our control</w:t>
      </w:r>
    </w:p>
    <w:p>
      <w:pPr>
        <w:spacing w:after="0" w:line="27"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general economic, financial, competitive and other factors that are beyond our control. In addition, a further deterioration in the economic performance of our casino properties may cause us to reduce or delay investments and capital expenditures, or to sell assets. In the absence of such operating results and resources, we could face substantial liquidity problems and might be required to dispose of material assets or operations to meet our debt service and other obligations.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ERI’s common stock could fluctuate significantly</w:t>
      </w:r>
    </w:p>
    <w:p>
      <w:pPr>
        <w:spacing w:after="0" w:line="185"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The U.S. securities markets in general have experienced significant price fluctuations in recent years. The market price of ERI’s common stock may be volatile and subject to wide fluctuations. In addition, the trading volume of ERI’s common stock may fluctuate and cause significant price variations to occur. Some of the factors that could cause fluctuations in, or have a material adverse effect on, the stock price or trading volume of ERI’s common stock include:</w:t>
      </w:r>
    </w:p>
    <w:p>
      <w:pPr>
        <w:spacing w:after="0" w:line="163" w:lineRule="exact"/>
        <w:rPr>
          <w:sz w:val="20"/>
          <w:szCs w:val="20"/>
          <w:color w:val="auto"/>
        </w:rPr>
      </w:pPr>
    </w:p>
    <w:p>
      <w:pPr>
        <w:ind w:left="940" w:hanging="289"/>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market and economic conditions, including market conditions in the hotel and casino industries;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expected variations in operating results;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ERI or by competitors;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340" w:hanging="329"/>
        <w:spacing w:after="0" w:line="235" w:lineRule="auto"/>
        <w:tabs>
          <w:tab w:leader="none" w:pos="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ERI’s common stock or other securities in the future, including sales by our directors and officers or significant investors;</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and trends in the gaming and entertainment industries;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estimate of the future size and growth of our markets;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reserves for professional liability claims.</w:t>
      </w:r>
    </w:p>
    <w:p>
      <w:pPr>
        <w:spacing w:after="0" w:line="185" w:lineRule="exact"/>
        <w:rPr>
          <w:sz w:val="20"/>
          <w:szCs w:val="20"/>
          <w:color w:val="auto"/>
        </w:rPr>
      </w:pPr>
    </w:p>
    <w:p>
      <w:pPr>
        <w:ind w:right="260" w:firstLine="648"/>
        <w:spacing w:after="0" w:line="216" w:lineRule="auto"/>
        <w:rPr>
          <w:sz w:val="20"/>
          <w:szCs w:val="20"/>
          <w:color w:val="auto"/>
        </w:rPr>
      </w:pPr>
      <w:r>
        <w:rPr>
          <w:rFonts w:ascii="Arial" w:cs="Arial" w:eastAsia="Arial" w:hAnsi="Arial"/>
          <w:sz w:val="18"/>
          <w:szCs w:val="18"/>
          <w:color w:val="auto"/>
        </w:rPr>
        <w:t>We cannot assure you that the stock price of ERI common stock will not fluctuate or decline significantly in the future. In addition, the stock market in general can experience considerable price and volume fluctuations that may be unrelated to ERI’s performance. If the market price of ERI common stock fluctuates significantly, ERI may become the subject of securities class action litigation which may result in substantial costs and a diversion of management’s attention and resources.</w:t>
      </w:r>
    </w:p>
    <w:p>
      <w:pPr>
        <w:spacing w:after="0" w:line="162"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ERI has not historically paid dividends and the credit agreement governing the New Credit Facility and the Indenture contain restrictive covenants limiting our ability to pay dividends</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ERI does not currently expect to pay dividends on its common stock. Any determination to pay dividends in the future will be at the discretion of the ERI board of directors and will depend upon among other factors, ERI’s earnings, cash requirements, financial condition, requirements to comply with the covenants under its debt instruments, legal considerations, and other factors that the ERI board of directors deems relevant. If ERI does not pay dividends, then the return on an investment in its common stock will depend entirely upon any future appreciation in its stock price. There is no guarantee that ERI’s common stock will appreciate in value or maintain its value.</w:t>
      </w:r>
    </w:p>
    <w:p>
      <w:pPr>
        <w:spacing w:after="0" w:line="16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volatility and disruption of the capital and credit markets and adverse changes in the U.S. and global economies may negatively impact our access to financing</w:t>
      </w:r>
    </w:p>
    <w:p>
      <w:pPr>
        <w:spacing w:after="0" w:line="16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During recent years, a confluence of many factors has contributed to diminished expectations for the U.S. economy and increased market volatility for publicly traded securities, including the common shares and notes issued by public companies. These factors include the availability and cost of credit, declining business and consumer confidence and increased unemployment. These conditions have combined to create an unprecedented level of market volatility, which could negatively impact our ability to access capital and financing (including financing necessary to refinance our existing indebtedness), on terms and at prices acceptable to us, that we would otherwise need in connection with the operation of our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sensitive to reductions in discretionary consumer spending as a result of downturns in the economy</w:t>
      </w:r>
    </w:p>
    <w:p>
      <w:pPr>
        <w:spacing w:after="0" w:line="208"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Consumer demand for casino hotel and racetrack properties such as ours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including the recent housing, employment and credit crisis, the impact of high energy and food costs, the increased cost of travel, the potential for continued bank failures, decreased disposable consumer income and wealth, or fears of war and future acts of terrorism could further reduce customer demand for the amenities that we offer, which have had, and may continue to have, a negative impact on our results of operations. Increases in gasoline prices, including increases prompted by global political and economic instabilities, can adversely affect our operations because most of our patrons travel to our properties by car or on airlines that may pass on increases in fuel costs to passengers in the form of higher ticket prices. Economic downturns and other related factors which impact discretionary consumer spending and other economic activities have had direct effects 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business and the tourism industry in the past. We cannot be sure how these factors will impact our operations in the future or the extent of the impact.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in the hotel and casino industry and expect that such competition will continue</w:t>
      </w:r>
    </w:p>
    <w:p>
      <w:pPr>
        <w:spacing w:after="0" w:line="196"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The gaming industry is characterized by an increasingly high degree of competition among a large number of participants, including land</w:t>
      </w:r>
      <w:r>
        <w:rPr>
          <w:rFonts w:ascii="MS PGothic" w:cs="MS PGothic" w:eastAsia="MS PGothic" w:hAnsi="MS PGothic"/>
          <w:sz w:val="17"/>
          <w:szCs w:val="17"/>
          <w:color w:val="auto"/>
        </w:rPr>
        <w:t>‑</w:t>
      </w:r>
      <w:r>
        <w:rPr>
          <w:rFonts w:ascii="Arial" w:cs="Arial" w:eastAsia="Arial" w:hAnsi="Arial"/>
          <w:sz w:val="17"/>
          <w:szCs w:val="17"/>
          <w:color w:val="auto"/>
        </w:rPr>
        <w:t>based casinos, dockside casinos, riverboat casinos, casinos located on Native American reservations and other forms of legalized gaming. There is intense competition among companies in the gaming industry, many of which have significantly greater resources than we do. Certain states have legalized casino gaming and other states may legalize gaming in the future. Legalized casino gaming in these states and on Native American reservations near our markets or changes to gaming laws in states surrounding Nevada, Louisiana, West Virginia, Pennsylvania, or Ohio could increase competition and could adversely affect our operations. We also compete, to a lesser extent, with gaming facilities in other jurisdictions with dockside gaming facilities, state sponsored lotteries, on</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off track pari</w:t>
      </w:r>
      <w:r>
        <w:rPr>
          <w:rFonts w:ascii="MS PGothic" w:cs="MS PGothic" w:eastAsia="MS PGothic" w:hAnsi="MS PGothic"/>
          <w:sz w:val="17"/>
          <w:szCs w:val="17"/>
          <w:color w:val="auto"/>
        </w:rPr>
        <w:t>‑</w:t>
      </w:r>
      <w:r>
        <w:rPr>
          <w:rFonts w:ascii="Arial" w:cs="Arial" w:eastAsia="Arial" w:hAnsi="Arial"/>
          <w:sz w:val="17"/>
          <w:szCs w:val="17"/>
          <w:color w:val="auto"/>
        </w:rPr>
        <w:t>mutuel wagering, card clubs, riverboat casinos and other forms of legalized gambling. In addition, various forms of internet gaming have been approved in Nevada and New Jersey and legislation permitting internet gaming has been proposed by the federal government and other states. The expansion of internet gaming in Nevada and other jurisdictions could result in significant additional competition.</w:t>
      </w:r>
    </w:p>
    <w:p>
      <w:pPr>
        <w:spacing w:after="0" w:line="163"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Gaming competition is intense in most of the markets in which we operate. There has been significant competition in our markets as a result of the expansion of facilities by existing market participants, the entrance of new gaming participants into a market or legislative changes in prior years. For example, casino gaming is currently prohibited in several jurisdictions from which the Shreveport/Bossier City market draws customers, primarily Texas. The Texas legislature has from time to time considered proposals to legalize gaming, and there can be no assurance that casino gaming will not be approved in Texas in the future, which would have a material adverse effect on our business. Additionally, since visitors from California comprise a significant portion of our customer base in Reno, we also compete with Native American gaming operations in California. Native American tribes are allowed to operate slot machines, lottery games and banking and percentage games on Native American lands. Although many existing Native American gaming facilities in northern California are modest compared to the Nevada properties, a number of Native American tribes have established large</w:t>
      </w:r>
      <w:r>
        <w:rPr>
          <w:rFonts w:ascii="MS PGothic" w:cs="MS PGothic" w:eastAsia="MS PGothic" w:hAnsi="MS PGothic"/>
          <w:sz w:val="17"/>
          <w:szCs w:val="17"/>
          <w:color w:val="auto"/>
        </w:rPr>
        <w:t>‑</w:t>
      </w:r>
      <w:r>
        <w:rPr>
          <w:rFonts w:ascii="Arial" w:cs="Arial" w:eastAsia="Arial" w:hAnsi="Arial"/>
          <w:sz w:val="17"/>
          <w:szCs w:val="17"/>
          <w:color w:val="auto"/>
        </w:rPr>
        <w:t>scale gaming facilities in California. Additionally, a hotel casino opened in Bossier City across the Red River from Eldorado Shreveport opened in June 2013 and in December 2014, a land</w:t>
      </w:r>
      <w:r>
        <w:rPr>
          <w:rFonts w:ascii="MS PGothic" w:cs="MS PGothic" w:eastAsia="MS PGothic" w:hAnsi="MS PGothic"/>
          <w:sz w:val="17"/>
          <w:szCs w:val="17"/>
          <w:color w:val="auto"/>
        </w:rPr>
        <w:t>‑</w:t>
      </w:r>
      <w:r>
        <w:rPr>
          <w:rFonts w:ascii="Arial" w:cs="Arial" w:eastAsia="Arial" w:hAnsi="Arial"/>
          <w:sz w:val="17"/>
          <w:szCs w:val="17"/>
          <w:color w:val="auto"/>
        </w:rPr>
        <w:t>based opened in Lake Charles, Louisiana approximately 200 miles south of Eldorado Shreveport, but closer to the Houston, Texas market. With respect to our MTR Gaming facilities, an additional license has been granted for a casino to be located in Lawrence County, Pennsylvania, approximately 45 miles from Mountaineer and 90 miles from Presque Isle Downs, which would result in further competition for both of those properties. Further, gaming facilities in Ohio that commenced operations in recent years, including the Horseshoe Casino Cleveland, Hollywood Casino Columbus, ThistleDown Racino, Austintown, Hollywood Mahoning Casino, Hollywood Casinos, at Dayton Raceway and Northfield Park, present significant competition for Mountaineer, Presque Isle Downs and Scioto Downs.</w:t>
      </w:r>
    </w:p>
    <w:p>
      <w:pPr>
        <w:spacing w:after="0" w:line="163" w:lineRule="exact"/>
        <w:rPr>
          <w:sz w:val="20"/>
          <w:szCs w:val="20"/>
          <w:color w:val="auto"/>
        </w:rPr>
      </w:pPr>
    </w:p>
    <w:p>
      <w:pPr>
        <w:ind w:right="140" w:firstLine="648"/>
        <w:spacing w:after="0" w:line="244" w:lineRule="auto"/>
        <w:rPr>
          <w:sz w:val="20"/>
          <w:szCs w:val="20"/>
          <w:color w:val="auto"/>
        </w:rPr>
      </w:pPr>
      <w:r>
        <w:rPr>
          <w:rFonts w:ascii="Arial" w:cs="Arial" w:eastAsia="Arial" w:hAnsi="Arial"/>
          <w:sz w:val="16"/>
          <w:szCs w:val="16"/>
          <w:color w:val="auto"/>
        </w:rPr>
        <w:t>Increased competition may require us to make substantial capital expenditures to maintain and enhance the competitive positions of our properties to increase the attractiveness and add to the appeal of our facilities. Because we are highly leveraged, after satisfying our obligations under our outstanding indebtedness, there can be no assurance that we will have sufficient funds to undertake these expenditures or that we will be able to obtain sufficient financing to fund such expenditures. If we are unable to make such expenditures, our competitive position could be materially adversely affected.</w:t>
      </w:r>
    </w:p>
    <w:p>
      <w:pPr>
        <w:spacing w:after="0" w:line="15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We will be subject to extensive state and local regulation and licensing, and gaming authorities have significant control over our operations, which could have an adverse effect on our business</w:t>
      </w:r>
    </w:p>
    <w:p>
      <w:pPr>
        <w:spacing w:after="0" w:line="16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ownership and operation of casino gaming, riverboat and horseracing facilities are subject to extensive federal, state, and local regulation, and regulatory authorities at the federal, state, and local levels have broad powers with respect to the licensing of gaming businesses and may revoke, suspend, condition or limit our gaming or other licenses, impose substantial fines, and take other actions, each of which poses a significant risk to our business, financial condition, and results of operations. We currently hold all state and local licenses and related approvals necessary to conduct our present gaming operations, but we must periodically apply to renew many of our licenses and registrations.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We cannot assure you that we will be able to obtain such renewals. Any failure to maintain or renew our existing licenses, registrations, permits or approvals would have a material adverse effect on us. Furthermore, if additional laws or regulations are adopted or existing laws or regulations are amended, these regulations could impose additional restrictions or costs that could have a significant adverse effect on us. As an example, on August 26, 2014, the Board of Health of Hancock County, West Virginia adopted and approved the Clean Air Regulation Act of 2014 (“Regulation”), which became effective July 1, 2015. The Regulation bans smoking in public places in Hancock County including at Mountaineer. To comply with the Regulation upon its effective date, Mountaineer built a 9,300 square foot smoking pavilion which opened on July 1, 2015 and currently houses 216 slot machines and six table games. Notwithstanding our efforts to mitigate the impact of the smoking ban, the Regulation has had a negative impact on our business and results of operations at Mountaineer and we expect that it will continue to negatively impact our business and results of operations and such impact may be material.</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Any of the Nevada Gaming Commission, the Louisiana Gaming Control Board, the West Virginia Alcohol Beverage Control Administration, the West Virginia Lottery Commission, the West Virginia Racing Commission, the Pennsylvania Gaming Control Board, the Pennsylvania Racing Commission, the Pennsylvania Liquor Control Board, the Ohio Lottery Commission, and the Ohio State Racing Commission (which we refer to collectively as the Gaming Authorities) may, in their discretion, require the holder of any securities issued by us to file applications, be investigated, and be found suitable to own our securities if it has reason to believe that the security ownership would be inconsistent with the declared policies of their respective jurisdictions. Further, the costs of any investigation conducted by any of the Gaming Authorities under these circumstances must be paid by the applicant, and refusal or failure to pay these charges may constitute grounds for a finding that the applicant is unsuitable to own the securities. If any of the Gaming Authorities determines that a person is unsuitable to own our securities, then, under the applicable gaming or horse racing laws and regulations, we can be sanctioned, including the loss of their approvals, if, without the prior approval of the applicable Gaming Authority, we conduct certain business with the unsuitable person.</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Our officers, directors, and key employees will also be subject to a variety of regulatory requirements and various licensing and related approval procedures in the various jurisdictions in which we operate gaming facilities. If any of the applicable Gaming Authorities were to find an officer, director or key employee of ours unsuitable for licensing or unsuitable to continue having a relationship with us, we would have to sever all relationships with that person. Furthermore, the Gaming Authorities may require us to terminate the employment of any person who refuses to file appropriate applications. Either result could materially adversely affect our gaming operations.</w:t>
      </w:r>
    </w:p>
    <w:p>
      <w:pPr>
        <w:spacing w:after="0" w:line="16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Applicable gaming laws and regulations restrict our ability to issue securities, incur debt and undertake other financing activities. Such transactions would generally require approval of applicable Gaming Authorities, and our financing counterparties, including lenders, might be subject to various licensing and related approval procedures in the various jurisdictions in which we operate gaming facilities. If state regulatory authorities were to find any person unsuitable with regard to his, her or its relationship to us or any of our subsidiaries, we would be required to sever our relationships with that person, which could materially adversely affect our business.</w:t>
      </w:r>
    </w:p>
    <w:p>
      <w:pPr>
        <w:spacing w:after="0" w:line="162"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In addition, gaming companies are generally subject to significant revenue based taxes and fees in addition to normal federal, state, and local income taxes, and such taxes and fees are subject to increase at any time. We pay substantial taxes and fees with respect to our operations. From time to time, federal, state, and local legislators and officials have proposed changes in tax laws, or in the administration of such laws, affecting the gaming industry. In addition, worsening economic conditions could intensify the efforts of state and local governments to raise revenues through increases in gaming taxes and/or property taxes. It is not possible to determine with certainty the likelihood of changes in tax laws or in the administration of such laws. Such changes, if adopted, could have a material adverse effect on our business, financial condition and results of operations.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16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We rely on our key personnel and we may face difficulties in attracting and retaining qualified employees for our casinos and race tracks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Our future success will depend upon, among other things, our ability to keep our senior executives and highly qualified employees.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In addition, the operation of our business requires qualified executives, managers and skilled employees with gaming and horse racing industry experience and qualifications who are able to obtain the requisite licenses and approval from the applicable Gaming Authorities. While not currently the case, there has from time to time been a shortage of skilled labor in our markets. In addition to limitations that may otherwise exist in the supply of skilled labor, the continued expansion of gaming near our facilities, including the expansion of Native American gaming, may make it more difficult for us to attract qualified individuals.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16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We depend on agreements with our horsemen and pari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mutuel clerks to operate our business</w:t>
      </w:r>
    </w:p>
    <w:p>
      <w:pPr>
        <w:spacing w:after="0" w:line="185"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7"/>
          <w:szCs w:val="17"/>
          <w:color w:val="auto"/>
        </w:rPr>
        <w:t>The Federal Interstate Horse Racing Act and the state racing laws in West Virginia, Ohio and 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7"/>
          <w:szCs w:val="17"/>
          <w:color w:val="auto"/>
        </w:rPr>
        <w:t>‑</w:t>
      </w:r>
      <w:r>
        <w:rPr>
          <w:rFonts w:ascii="Arial" w:cs="Arial" w:eastAsia="Arial" w:hAnsi="Arial"/>
          <w:sz w:val="17"/>
          <w:szCs w:val="17"/>
          <w:color w:val="auto"/>
        </w:rPr>
        <w:t>mutuel clerks.</w:t>
      </w:r>
    </w:p>
    <w:p>
      <w:pPr>
        <w:spacing w:after="0" w:line="161"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If we fail to maintain operative agreements with the horsemen at any of our racetracks, we will not be permitted to conduct live racing and export and import simulcasting at the applicable racetrack. In addition, if we fail to maintain operative agreements with the horsemen at Mountaineer, Presque Isle Downs and Scioto Downs (including if we do not have in place the legally required proceeds agreement with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union), we will not be permitted to continue our gaming operations at those facilities. If we fail to renew or modify existing agreements on satisfactory terms, this failure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organizing drives and other labor problems could negatively impact our future profits</w:t>
      </w:r>
    </w:p>
    <w:p>
      <w:pPr>
        <w:spacing w:after="0" w:line="18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Some of our employees are currently represented by labor unions. A lengthy strike or other work stoppages at any of our casino properties could have an adverse effect on our business and results of operations. Given the large number of employees, labor unions are making a concerted effort to recruit more employees in the gaming industry. In addition, organized labor may benefit from new legislation or legal interpretations by the current presidential administration. Particularly, in light of current support for changes to federal and state labor laws, we cannot provide any assurance that we will not experience additional and more successful union organization activity in the future.</w:t>
      </w:r>
    </w:p>
    <w:p>
      <w:pPr>
        <w:spacing w:after="0" w:line="16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Because portions of the land on which our facilities are situated are leased, the termination of such leases could adversely affect our business</w:t>
      </w:r>
    </w:p>
    <w:p>
      <w:pPr>
        <w:spacing w:after="0" w:line="162"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Resorts owns the parcel on which Eldorado Reno is located, except for approximately 30,000 square feet which is leased from C. S. &amp; Y. Associates, a general partnership of which Donald Carano, father of Gary L. Carano, is a general partner (the “CSY Lease”). The CSY Lease expires on June 30, 2027. If Resorts defaults on a payment under the CSY Lease or if certain other specified events were to occur, C. S. &amp; Y. Associates has the right to terminate the lease and take possession of the property located on the premises. If C. S. &amp; Y. Associates were to exercise these rights, this could adversely affect our business.</w:t>
      </w:r>
    </w:p>
    <w:p>
      <w:pPr>
        <w:spacing w:after="0" w:line="16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A subsidiary of Resorts is party to a ground lease with the City of Shreveport for the land on which Eldorado Shreveport was built (the “Shreveport Lease”). The Shreveport Lease automatically renewed on June 17, 2015, and will be available for automatic renewal again on December 20, 2020. If Resorts defaults on a payment under the Shreveport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Lease or if certain other specified events were to occur, the City of Shreveport could terminate the lease. If the City of Shreveport were to exercise this right, this could adversely affect our business.</w:t>
      </w:r>
    </w:p>
    <w:p>
      <w:pPr>
        <w:spacing w:after="0" w:line="16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6"/>
          <w:szCs w:val="16"/>
          <w:color w:val="auto"/>
        </w:rPr>
        <w:t>Circus Reno is situated on a three block area in downtown Reno, of which approximately 90% of the underlying land is owned by the Company and the remainder is held under two separate leases which expire in 2032 and 2033, respectively. If the Company defaults on a payment under the leases, the lessor could terminate the lease.</w:t>
      </w:r>
    </w:p>
    <w:p>
      <w:pPr>
        <w:spacing w:after="0" w:line="10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b w:val="1"/>
          <w:bCs w:val="1"/>
          <w:i w:val="1"/>
          <w:iCs w:val="1"/>
          <w:color w:val="auto"/>
        </w:rPr>
        <w:t>Because we own real property, we will be subject to extensive environmental regulation, which creates uncertainty regarding future environmental expenditures and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various federal, state and local environmental, health and safety laws and regulations that govern</w:t>
      </w:r>
    </w:p>
    <w:p>
      <w:pPr>
        <w:spacing w:after="0" w:line="224" w:lineRule="auto"/>
        <w:rPr>
          <w:sz w:val="20"/>
          <w:szCs w:val="20"/>
          <w:color w:val="auto"/>
        </w:rPr>
      </w:pPr>
      <w:r>
        <w:rPr>
          <w:rFonts w:ascii="Arial" w:cs="Arial" w:eastAsia="Arial" w:hAnsi="Arial"/>
          <w:sz w:val="17"/>
          <w:szCs w:val="17"/>
          <w:color w:val="auto"/>
        </w:rPr>
        <w:t>activities that may have adverse environmental effects, such as discharges to air and water, as well as the use, storage,</w:t>
      </w:r>
    </w:p>
    <w:p>
      <w:pPr>
        <w:spacing w:after="0" w:line="229" w:lineRule="auto"/>
        <w:rPr>
          <w:sz w:val="20"/>
          <w:szCs w:val="20"/>
          <w:color w:val="auto"/>
        </w:rPr>
      </w:pPr>
      <w:r>
        <w:rPr>
          <w:rFonts w:ascii="Arial" w:cs="Arial" w:eastAsia="Arial" w:hAnsi="Arial"/>
          <w:sz w:val="16"/>
          <w:szCs w:val="16"/>
          <w:color w:val="auto"/>
        </w:rPr>
        <w:t>discharge, emission and disposal of solid, animal and hazardous wastes and exposure to hazardous materials. These laws and</w:t>
      </w:r>
    </w:p>
    <w:p>
      <w:pPr>
        <w:spacing w:after="0" w:line="216" w:lineRule="auto"/>
        <w:rPr>
          <w:sz w:val="20"/>
          <w:szCs w:val="20"/>
          <w:color w:val="auto"/>
        </w:rPr>
      </w:pPr>
      <w:r>
        <w:rPr>
          <w:rFonts w:ascii="Arial" w:cs="Arial" w:eastAsia="Arial" w:hAnsi="Arial"/>
          <w:sz w:val="17"/>
          <w:szCs w:val="17"/>
          <w:color w:val="auto"/>
        </w:rPr>
        <w:t>regulations are complex and frequently subject to change. In addition, our horseracing facilities are subject to laws and</w:t>
      </w:r>
    </w:p>
    <w:p>
      <w:pPr>
        <w:spacing w:after="0" w:line="216" w:lineRule="auto"/>
        <w:rPr>
          <w:sz w:val="20"/>
          <w:szCs w:val="20"/>
          <w:color w:val="auto"/>
        </w:rPr>
      </w:pPr>
      <w:r>
        <w:rPr>
          <w:rFonts w:ascii="Arial" w:cs="Arial" w:eastAsia="Arial" w:hAnsi="Arial"/>
          <w:sz w:val="17"/>
          <w:szCs w:val="17"/>
          <w:color w:val="auto"/>
        </w:rPr>
        <w:t>regulations that address the impacts of manure and wastewater generated by Concentrated Animal Feeding Operations</w:t>
      </w:r>
    </w:p>
    <w:p>
      <w:pPr>
        <w:spacing w:after="0" w:line="203" w:lineRule="auto"/>
        <w:rPr>
          <w:sz w:val="20"/>
          <w:szCs w:val="20"/>
          <w:color w:val="auto"/>
        </w:rPr>
      </w:pPr>
      <w:r>
        <w:rPr>
          <w:rFonts w:ascii="Arial" w:cs="Arial" w:eastAsia="Arial" w:hAnsi="Arial"/>
          <w:sz w:val="18"/>
          <w:szCs w:val="18"/>
          <w:color w:val="auto"/>
        </w:rPr>
        <w:t>(“CAFO”) on water quality, including, but not limited to, storm water discharges. CAFO regulations include permit</w:t>
      </w:r>
    </w:p>
    <w:p>
      <w:pPr>
        <w:spacing w:after="0" w:line="216" w:lineRule="auto"/>
        <w:rPr>
          <w:sz w:val="20"/>
          <w:szCs w:val="20"/>
          <w:color w:val="auto"/>
        </w:rPr>
      </w:pPr>
      <w:r>
        <w:rPr>
          <w:rFonts w:ascii="Arial" w:cs="Arial" w:eastAsia="Arial" w:hAnsi="Arial"/>
          <w:sz w:val="17"/>
          <w:szCs w:val="17"/>
          <w:color w:val="auto"/>
        </w:rPr>
        <w:t>requirements and water quality discharge standards. Enforcement of CAFO regulations has been receiving increased</w:t>
      </w:r>
    </w:p>
    <w:p>
      <w:pPr>
        <w:spacing w:after="0" w:line="229" w:lineRule="auto"/>
        <w:rPr>
          <w:sz w:val="20"/>
          <w:szCs w:val="20"/>
          <w:color w:val="auto"/>
        </w:rPr>
      </w:pPr>
      <w:r>
        <w:rPr>
          <w:rFonts w:ascii="Arial" w:cs="Arial" w:eastAsia="Arial" w:hAnsi="Arial"/>
          <w:sz w:val="16"/>
          <w:szCs w:val="16"/>
          <w:color w:val="auto"/>
        </w:rPr>
        <w:t>governmental attention. Compliance with these and other environmental laws can, in some circumstances, require significant</w:t>
      </w:r>
    </w:p>
    <w:p>
      <w:pPr>
        <w:spacing w:after="0" w:line="215" w:lineRule="auto"/>
        <w:rPr>
          <w:sz w:val="20"/>
          <w:szCs w:val="20"/>
          <w:color w:val="auto"/>
        </w:rPr>
      </w:pPr>
      <w:r>
        <w:rPr>
          <w:rFonts w:ascii="Arial" w:cs="Arial" w:eastAsia="Arial" w:hAnsi="Arial"/>
          <w:sz w:val="17"/>
          <w:szCs w:val="17"/>
          <w:color w:val="auto"/>
        </w:rPr>
        <w:t>capital expenditures. We have from time to time been responsible for investigating and remediating, or contributing to</w:t>
      </w:r>
    </w:p>
    <w:p>
      <w:pPr>
        <w:spacing w:after="0" w:line="216" w:lineRule="auto"/>
        <w:rPr>
          <w:sz w:val="20"/>
          <w:szCs w:val="20"/>
          <w:color w:val="auto"/>
        </w:rPr>
      </w:pPr>
      <w:r>
        <w:rPr>
          <w:rFonts w:ascii="Arial" w:cs="Arial" w:eastAsia="Arial" w:hAnsi="Arial"/>
          <w:sz w:val="17"/>
          <w:szCs w:val="17"/>
          <w:color w:val="auto"/>
        </w:rPr>
        <w:t>remediation costs related to, contamination located at or near certain of our facilities, including contamination related to</w:t>
      </w:r>
    </w:p>
    <w:p>
      <w:pPr>
        <w:spacing w:after="0" w:line="229" w:lineRule="auto"/>
        <w:rPr>
          <w:sz w:val="20"/>
          <w:szCs w:val="20"/>
          <w:color w:val="auto"/>
        </w:rPr>
      </w:pPr>
      <w:r>
        <w:rPr>
          <w:rFonts w:ascii="Arial" w:cs="Arial" w:eastAsia="Arial" w:hAnsi="Arial"/>
          <w:sz w:val="16"/>
          <w:szCs w:val="16"/>
          <w:color w:val="auto"/>
        </w:rPr>
        <w:t>underground storage tanks and groundwater contamination arising from prior uses of land on which certain of our facilities</w:t>
      </w:r>
    </w:p>
    <w:p>
      <w:pPr>
        <w:spacing w:after="0" w:line="229" w:lineRule="auto"/>
        <w:rPr>
          <w:sz w:val="20"/>
          <w:szCs w:val="20"/>
          <w:color w:val="auto"/>
        </w:rPr>
      </w:pPr>
      <w:r>
        <w:rPr>
          <w:rFonts w:ascii="Arial" w:cs="Arial" w:eastAsia="Arial" w:hAnsi="Arial"/>
          <w:sz w:val="16"/>
          <w:szCs w:val="16"/>
          <w:color w:val="auto"/>
        </w:rPr>
        <w:t>are located. In addition, we have been, and may in the future be, required to manage, abate, remove or contain manure and</w:t>
      </w:r>
    </w:p>
    <w:p>
      <w:pPr>
        <w:spacing w:after="0" w:line="203" w:lineRule="auto"/>
        <w:rPr>
          <w:sz w:val="20"/>
          <w:szCs w:val="20"/>
          <w:color w:val="auto"/>
        </w:rPr>
      </w:pPr>
      <w:r>
        <w:rPr>
          <w:rFonts w:ascii="Arial" w:cs="Arial" w:eastAsia="Arial" w:hAnsi="Arial"/>
          <w:sz w:val="18"/>
          <w:szCs w:val="18"/>
          <w:color w:val="auto"/>
        </w:rPr>
        <w:t>wastewater generated by concentrated animal feeding operations due to our racetrack operations, mold, lead,</w:t>
      </w:r>
    </w:p>
    <w:p>
      <w:pPr>
        <w:spacing w:after="0" w:line="177" w:lineRule="exact"/>
        <w:rPr>
          <w:sz w:val="20"/>
          <w:szCs w:val="20"/>
          <w:color w:val="auto"/>
        </w:rPr>
      </w:pPr>
      <w:r>
        <w:rPr>
          <w:rFonts w:ascii="Arial" w:cs="Arial" w:eastAsia="Arial" w:hAnsi="Arial"/>
          <w:sz w:val="16"/>
          <w:szCs w:val="16"/>
          <w:color w:val="auto"/>
        </w:rPr>
        <w:t>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Moreover, violations can result in</w:t>
      </w:r>
    </w:p>
    <w:p>
      <w:pPr>
        <w:spacing w:after="0"/>
        <w:rPr>
          <w:sz w:val="20"/>
          <w:szCs w:val="20"/>
          <w:color w:val="auto"/>
        </w:rPr>
      </w:pPr>
      <w:r>
        <w:rPr>
          <w:rFonts w:ascii="Arial" w:cs="Arial" w:eastAsia="Arial" w:hAnsi="Arial"/>
          <w:sz w:val="18"/>
          <w:szCs w:val="18"/>
          <w:color w:val="auto"/>
        </w:rPr>
        <w:t>significant fines or penalties and, in some instances, interruption or cessation of operations.</w:t>
      </w:r>
    </w:p>
    <w:p>
      <w:pPr>
        <w:spacing w:after="0" w:line="169"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are also subject to laws and regulations that create liability and cleanup responsibility for releases of regulated materials into the environment. Certain of these laws and regulations impose strict, and under certain circumstances joint and several, liability on a current or previous owner or operator of property for the costs of remediating regulated materials on or emanating from its property. The costs of investigation, remediation or removal of those substances may be substantial.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earthquake, flood, act of terrorism other natural disasters could adversely affect our business</w:t>
      </w:r>
    </w:p>
    <w:p>
      <w:pPr>
        <w:spacing w:after="0" w:line="18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Although we maintain insurance that is customary and appropriate for our business, each of our insurance policies is subject to certain exclusions. In addition, in some cases our property insurance coverage is combined among certain of our properties or is otherwise in an amount that may be significantly less than the expected replacement cost of rebuilding our facilities in the event of a total loss. Such losses may occur as a result of any number of casualty events, including as a result of earthquakes, floods, hurricanes or other severe weather conditions. In particular, the Reno area has been, and may in the future be, subject to earthquakes and other natural disasters and Eldorado Shreveport is located in a designated flood zone. Inadequate insurance or lack of available insurance for these and other certain types or levels of risk could expose us to significant losses in the event that a catastrophe occurred for which we are underinsured.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In addition, certain casualty events, such as labor strikes, nuclear events, loss of income due to terrorism, deterioration or corrosion, insect or animal damage and pollution, may not be covered under our policies. Any losses we incur that are not adequately covered by insurance may decrease our future operating income, require us to fund replacements or repairs for destroyed property and reduce the funds available for payments of our obligations. In addition, upon the expiration of our current policies which expire in August 2016 (subject to annual renewal), we cannot assure that adequate coverage will be available at economically justifiable rates, if at all.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mechanical failure</w:t>
      </w:r>
    </w:p>
    <w:p>
      <w:pPr>
        <w:spacing w:after="0" w:line="185"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All of our facilities will generally be subject to the risk that operations could be halted for a temporary or extended period of time, as the result of casualty, forces of nature, mechanical failure, or extended or extraordinary maintenance, among other causes. In addition, our gaming operations could be damaged or halted due to extreme weather conditions. These risks are particularly pronounced at Eldorado Shreveport’s riverboat and dockside facilities because of their location on and adjacent to water.</w:t>
      </w:r>
    </w:p>
    <w:p>
      <w:pPr>
        <w:spacing w:after="0" w:line="16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We are or may become involved in legal proceedings that, if adversely adjudicated or settled, could impact our business and financial condition</w:t>
      </w:r>
    </w:p>
    <w:p>
      <w:pPr>
        <w:spacing w:after="0" w:line="162"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From time to time, we are named in lawsuits or other legal proceedings relating to our respective businesses. In particular, the nature of our business subjects us to the risk of lawsuits filed by customers, past and present employees, competitors, business partners and others in the ordinary course of business.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16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operations require that we collect customer data, including credit card numbers and other personally identifiable information, for various business purposes, including marketing and promotional purposes. The collection and use of personal data are governed by privacy laws and regulations enacted in the United States and other jurisdictions around the world. Privacy regulations continue to evolve and on occasion may be inconsistent from one jurisdiction to another. Compliance with applicable privacy regulations may increase our operating costs and/or adversely impact our ability to market our products, properties and services to our customers. In addition, non</w:t>
      </w:r>
      <w:r>
        <w:rPr>
          <w:rFonts w:ascii="MS PGothic" w:cs="MS PGothic" w:eastAsia="MS PGothic" w:hAnsi="MS PGothic"/>
          <w:sz w:val="16"/>
          <w:szCs w:val="16"/>
          <w:color w:val="auto"/>
        </w:rPr>
        <w:t>‑</w:t>
      </w:r>
      <w:r>
        <w:rPr>
          <w:rFonts w:ascii="Arial" w:cs="Arial" w:eastAsia="Arial" w:hAnsi="Arial"/>
          <w:sz w:val="16"/>
          <w:szCs w:val="16"/>
          <w:color w:val="auto"/>
        </w:rPr>
        <w:t>compliance with applicable privacy regulations by us (or in some circumstances non</w:t>
      </w:r>
      <w:r>
        <w:rPr>
          <w:rFonts w:ascii="MS PGothic" w:cs="MS PGothic" w:eastAsia="MS PGothic" w:hAnsi="MS PGothic"/>
          <w:sz w:val="16"/>
          <w:szCs w:val="16"/>
          <w:color w:val="auto"/>
        </w:rPr>
        <w:t>‑</w:t>
      </w:r>
      <w:r>
        <w:rPr>
          <w:rFonts w:ascii="Arial" w:cs="Arial" w:eastAsia="Arial" w:hAnsi="Arial"/>
          <w:sz w:val="16"/>
          <w:szCs w:val="16"/>
          <w:color w:val="auto"/>
        </w:rPr>
        <w:t>compliance by third parties engaged by us) or a breach of security on systems storing our data, including due to cyber</w:t>
      </w:r>
      <w:r>
        <w:rPr>
          <w:rFonts w:ascii="MS PGothic" w:cs="MS PGothic" w:eastAsia="MS PGothic" w:hAnsi="MS PGothic"/>
          <w:sz w:val="16"/>
          <w:szCs w:val="16"/>
          <w:color w:val="auto"/>
        </w:rPr>
        <w:t>‑</w:t>
      </w:r>
      <w:r>
        <w:rPr>
          <w:rFonts w:ascii="Arial" w:cs="Arial" w:eastAsia="Arial" w:hAnsi="Arial"/>
          <w:sz w:val="16"/>
          <w:szCs w:val="16"/>
          <w:color w:val="auto"/>
        </w:rPr>
        <w:t>attack, system failure, computer virus or unauthorized or fraudulent use by customers, employees or employees of third party vendors, may result in damage of reputation and/or subject us to fines, payment of damages, lawsuits or restrictions on our use or transfer of data.</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operations have historically been subject to seasonal variations and quarterly fluctuations in operating results, and we can expect to experience such variations and fluctuation in the future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Historically, our operations have typically been subject to seasonal variations.</w:t>
      </w:r>
    </w:p>
    <w:p>
      <w:pPr>
        <w:spacing w:after="0" w:line="185"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6"/>
          <w:szCs w:val="16"/>
          <w:color w:val="auto"/>
        </w:rPr>
        <w:t>Our Reno, Nevada properties’ strongest operating results have generally occurred in the second and third quarters and the weakest results have generally occurred during the period from November through February when weather conditions adversely affected operating results. In the Reno market, excessive snowfall during the winter months can make travel to the Reno area more difficult. This often results in significant declines in traffic on major highways, particularly on routes to and from Northern California, and causes a decline in customer volume. Furthermore, management believes that approximately two</w:t>
      </w:r>
      <w:r>
        <w:rPr>
          <w:rFonts w:ascii="MS PGothic" w:cs="MS PGothic" w:eastAsia="MS PGothic" w:hAnsi="MS PGothic"/>
          <w:sz w:val="16"/>
          <w:szCs w:val="16"/>
          <w:color w:val="auto"/>
        </w:rPr>
        <w:t>‑</w:t>
      </w:r>
      <w:r>
        <w:rPr>
          <w:rFonts w:ascii="Arial" w:cs="Arial" w:eastAsia="Arial" w:hAnsi="Arial"/>
          <w:sz w:val="16"/>
          <w:szCs w:val="16"/>
          <w:color w:val="auto"/>
        </w:rPr>
        <w:t>thirds of visitors to the Reno market arrive by some form of ground transportation.</w:t>
      </w:r>
    </w:p>
    <w:p>
      <w:pPr>
        <w:spacing w:after="0" w:line="166" w:lineRule="exact"/>
        <w:rPr>
          <w:sz w:val="20"/>
          <w:szCs w:val="20"/>
          <w:color w:val="auto"/>
        </w:rPr>
      </w:pPr>
    </w:p>
    <w:p>
      <w:pPr>
        <w:jc w:val="both"/>
        <w:ind w:right="280" w:firstLine="648"/>
        <w:spacing w:after="0" w:line="224" w:lineRule="auto"/>
        <w:rPr>
          <w:sz w:val="20"/>
          <w:szCs w:val="20"/>
          <w:color w:val="auto"/>
        </w:rPr>
      </w:pPr>
      <w:r>
        <w:rPr>
          <w:rFonts w:ascii="Arial" w:cs="Arial" w:eastAsia="Arial" w:hAnsi="Arial"/>
          <w:sz w:val="18"/>
          <w:szCs w:val="18"/>
          <w:color w:val="auto"/>
        </w:rPr>
        <w:t>In addition, winter conditions can frequently adversely affect transportation routes to Mountaineer, Presque Isle Downs and Scioto Downs and cause cancellations of live horse racing. As a result, unfavorable seasonal conditions could have a material adverse effect on our operations.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general, it is unlikely that we will be able to obtain business interruption coverage for casualties resulting from severe weather, and there can be no assurance that we will be able to obtain casualty insurance coverage at affordable rates, if at all, for casualties resulting from severe weather.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39"/>
        <w:spacing w:after="0" w:line="324" w:lineRule="auto"/>
        <w:rPr>
          <w:sz w:val="20"/>
          <w:szCs w:val="20"/>
          <w:color w:val="auto"/>
        </w:rPr>
      </w:pPr>
      <w:r>
        <w:rPr>
          <w:rFonts w:ascii="Arial" w:cs="Arial" w:eastAsia="Arial" w:hAnsi="Arial"/>
          <w:sz w:val="15"/>
          <w:szCs w:val="15"/>
          <w:b w:val="1"/>
          <w:bCs w:val="1"/>
          <w:i w:val="1"/>
          <w:iCs w:val="1"/>
          <w:color w:val="auto"/>
        </w:rPr>
        <w:t>Because we will be heavily dependent upon hotel/casino and related operations that are conducted in certain limited regions, we will be subject to greater risks than a company that is geographically or otherwise more diversified</w:t>
      </w:r>
    </w:p>
    <w:p>
      <w:pPr>
        <w:spacing w:after="0" w:line="102" w:lineRule="exact"/>
        <w:rPr>
          <w:sz w:val="20"/>
          <w:szCs w:val="20"/>
          <w:color w:val="auto"/>
        </w:rPr>
      </w:pPr>
    </w:p>
    <w:p>
      <w:pPr>
        <w:jc w:val="both"/>
        <w:ind w:right="399" w:firstLine="648"/>
        <w:spacing w:after="0" w:line="238" w:lineRule="auto"/>
        <w:rPr>
          <w:sz w:val="20"/>
          <w:szCs w:val="20"/>
          <w:color w:val="auto"/>
        </w:rPr>
      </w:pPr>
      <w:r>
        <w:rPr>
          <w:rFonts w:ascii="Arial" w:cs="Arial" w:eastAsia="Arial" w:hAnsi="Arial"/>
          <w:sz w:val="17"/>
          <w:szCs w:val="17"/>
          <w:color w:val="auto"/>
        </w:rPr>
        <w:t>Our business is heavily dependent upon hotel/casino and related operations that are conducted in three discrete markets. As a result, we are still subject to a greater degree of risk than a gaming company that has greater geographical diversity. The risks to which we have a greater degree of exposure include the following:</w:t>
      </w:r>
    </w:p>
    <w:p>
      <w:pPr>
        <w:spacing w:after="0" w:line="161" w:lineRule="exact"/>
        <w:rPr>
          <w:sz w:val="20"/>
          <w:szCs w:val="20"/>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inaccessibility due to weather conditions, road construction or closure of primary access routes;</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local and state governmental laws and regulations, including gaming laws and regulations;</w:t>
      </w:r>
    </w:p>
    <w:p>
      <w:pPr>
        <w:spacing w:after="0" w:line="196" w:lineRule="exact"/>
        <w:rPr>
          <w:rFonts w:ascii="Arial" w:cs="Arial" w:eastAsia="Arial" w:hAnsi="Arial"/>
          <w:sz w:val="17"/>
          <w:szCs w:val="17"/>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and other disasters, including earthquakes and flooding;</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decline in the number of residents in or near, or visitors to, our operations; and</w:t>
      </w:r>
    </w:p>
    <w:p>
      <w:pPr>
        <w:spacing w:after="0" w:line="184" w:lineRule="exact"/>
        <w:rPr>
          <w:rFonts w:ascii="Arial" w:cs="Arial" w:eastAsia="Arial" w:hAnsi="Arial"/>
          <w:sz w:val="18"/>
          <w:szCs w:val="18"/>
          <w:color w:val="auto"/>
        </w:rPr>
      </w:pPr>
    </w:p>
    <w:p>
      <w:pPr>
        <w:ind w:left="940" w:hanging="289"/>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gaming activities at any of our facilities.</w:t>
      </w:r>
    </w:p>
    <w:p>
      <w:pPr>
        <w:spacing w:after="0" w:line="185" w:lineRule="exact"/>
        <w:rPr>
          <w:sz w:val="20"/>
          <w:szCs w:val="20"/>
          <w:color w:val="auto"/>
        </w:rPr>
      </w:pPr>
    </w:p>
    <w:p>
      <w:pPr>
        <w:ind w:right="639" w:firstLine="648"/>
        <w:spacing w:after="0" w:line="235" w:lineRule="auto"/>
        <w:rPr>
          <w:sz w:val="20"/>
          <w:szCs w:val="20"/>
          <w:color w:val="auto"/>
        </w:rPr>
      </w:pPr>
      <w:r>
        <w:rPr>
          <w:rFonts w:ascii="Arial" w:cs="Arial" w:eastAsia="Arial" w:hAnsi="Arial"/>
          <w:sz w:val="18"/>
          <w:szCs w:val="18"/>
          <w:color w:val="auto"/>
        </w:rPr>
        <w:t>Any of the factors outlined above could adversely affect our ability to generate sufficient cash flow to make payments on our outstanding indebtedness.</w:t>
      </w:r>
    </w:p>
    <w:p>
      <w:pPr>
        <w:spacing w:after="0" w:line="162" w:lineRule="exact"/>
        <w:rPr>
          <w:sz w:val="20"/>
          <w:szCs w:val="20"/>
          <w:color w:val="auto"/>
        </w:rPr>
      </w:pPr>
    </w:p>
    <w:p>
      <w:pPr>
        <w:jc w:val="both"/>
        <w:ind w:right="299"/>
        <w:spacing w:after="0" w:line="194" w:lineRule="exact"/>
        <w:rPr>
          <w:sz w:val="20"/>
          <w:szCs w:val="20"/>
          <w:color w:val="auto"/>
        </w:rPr>
      </w:pPr>
      <w:r>
        <w:rPr>
          <w:rFonts w:ascii="Arial" w:cs="Arial" w:eastAsia="Arial" w:hAnsi="Arial"/>
          <w:sz w:val="18"/>
          <w:szCs w:val="18"/>
          <w:b w:val="1"/>
          <w:bCs w:val="1"/>
          <w:i w:val="1"/>
          <w:iCs w:val="1"/>
          <w:color w:val="auto"/>
        </w:rPr>
        <w:t>Significant negative industry or economic trends, reduced estimates of future cash flows, disruptions to our business, slower growth rates or lack of growth in our business may cause us to incur impairments to indefinite-lived intangible assets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7"/>
          <w:szCs w:val="17"/>
          <w:color w:val="auto"/>
        </w:rPr>
        <w:t>We test indefinite-lived intangible assets for impairment annually or if a triggering event occurs. We will also be required to consider whether the fair values of any of our investments accounted for under the equity method have declined below their carrying value whenever adverse events or changes in circumstances indicate that recorded values may not be recoverable. Estimated fair value is determined using a discounted cash flow analysis based on estimated future results of the investee and market indicators of the terminal year capitalization rate. If any such declines are considered to be other than temporary, we will be required to record a write</w:t>
      </w:r>
      <w:r>
        <w:rPr>
          <w:rFonts w:ascii="MS PGothic" w:cs="MS PGothic" w:eastAsia="MS PGothic" w:hAnsi="MS PGothic"/>
          <w:sz w:val="17"/>
          <w:szCs w:val="17"/>
          <w:color w:val="auto"/>
        </w:rPr>
        <w:t>‑</w:t>
      </w:r>
      <w:r>
        <w:rPr>
          <w:rFonts w:ascii="Arial" w:cs="Arial" w:eastAsia="Arial" w:hAnsi="Arial"/>
          <w:sz w:val="17"/>
          <w:szCs w:val="17"/>
          <w:color w:val="auto"/>
        </w:rPr>
        <w:t>down to estimated fair value.</w:t>
      </w:r>
    </w:p>
    <w:p>
      <w:pPr>
        <w:spacing w:after="0" w:line="165" w:lineRule="exact"/>
        <w:rPr>
          <w:sz w:val="20"/>
          <w:szCs w:val="20"/>
          <w:color w:val="auto"/>
        </w:rPr>
      </w:pPr>
    </w:p>
    <w:p>
      <w:pPr>
        <w:ind w:right="539"/>
        <w:spacing w:after="0" w:line="235" w:lineRule="auto"/>
        <w:rPr>
          <w:sz w:val="20"/>
          <w:szCs w:val="20"/>
          <w:color w:val="auto"/>
        </w:rPr>
      </w:pPr>
      <w:r>
        <w:rPr>
          <w:rFonts w:ascii="Arial" w:cs="Arial" w:eastAsia="Arial" w:hAnsi="Arial"/>
          <w:sz w:val="18"/>
          <w:szCs w:val="18"/>
          <w:b w:val="1"/>
          <w:bCs w:val="1"/>
          <w:i w:val="1"/>
          <w:iCs w:val="1"/>
          <w:color w:val="auto"/>
        </w:rPr>
        <w:t>Security concerns, terrorist attacks and other geopolitical events could have a material adverse effect on our future operations</w:t>
      </w:r>
    </w:p>
    <w:p>
      <w:pPr>
        <w:spacing w:after="0" w:line="162" w:lineRule="exact"/>
        <w:rPr>
          <w:sz w:val="20"/>
          <w:szCs w:val="20"/>
          <w:color w:val="auto"/>
        </w:rPr>
      </w:pPr>
    </w:p>
    <w:p>
      <w:pPr>
        <w:ind w:right="179" w:firstLine="648"/>
        <w:spacing w:after="0" w:line="249" w:lineRule="auto"/>
        <w:rPr>
          <w:sz w:val="20"/>
          <w:szCs w:val="20"/>
          <w:color w:val="auto"/>
        </w:rPr>
      </w:pPr>
      <w:r>
        <w:rPr>
          <w:rFonts w:ascii="Arial" w:cs="Arial" w:eastAsia="Arial" w:hAnsi="Arial"/>
          <w:sz w:val="16"/>
          <w:szCs w:val="16"/>
          <w:color w:val="auto"/>
        </w:rPr>
        <w:t>Security concerns, terrorist attacks and other geopolitical events can have a material adverse effect on leisure and business travel, discretionary spending and other areas of economic behavior that directly impact the gaming and entertainment industries in general and our business in particular. We cannot predict the extent to which any future security alerts, terrorist attacks or other geopolitical events might impact our business, results of operations or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Circus Reno/Silver Legacy Purchase and the Merger</w:t>
      </w:r>
    </w:p>
    <w:p>
      <w:pPr>
        <w:spacing w:after="0" w:line="121" w:lineRule="exact"/>
        <w:rPr>
          <w:sz w:val="20"/>
          <w:szCs w:val="20"/>
          <w:color w:val="auto"/>
        </w:rPr>
      </w:pPr>
    </w:p>
    <w:p>
      <w:pPr>
        <w:ind w:right="359"/>
        <w:spacing w:after="0" w:line="324" w:lineRule="auto"/>
        <w:rPr>
          <w:sz w:val="20"/>
          <w:szCs w:val="20"/>
          <w:color w:val="auto"/>
        </w:rPr>
      </w:pPr>
      <w:r>
        <w:rPr>
          <w:rFonts w:ascii="Arial" w:cs="Arial" w:eastAsia="Arial" w:hAnsi="Arial"/>
          <w:sz w:val="15"/>
          <w:szCs w:val="15"/>
          <w:b w:val="1"/>
          <w:bCs w:val="1"/>
          <w:i w:val="1"/>
          <w:iCs w:val="1"/>
          <w:color w:val="auto"/>
        </w:rPr>
        <w:t>We may not realize all of the anticipated benefits of Circus Reno/Silver Legacy Purchase and the Merger and we may encounter difficulties in integrating Circus Reno, Silver Legacy and the MTR Gaming properties with our operations</w:t>
      </w:r>
    </w:p>
    <w:p>
      <w:pPr>
        <w:spacing w:after="0" w:line="102" w:lineRule="exact"/>
        <w:rPr>
          <w:sz w:val="20"/>
          <w:szCs w:val="20"/>
          <w:color w:val="auto"/>
        </w:rPr>
      </w:pPr>
    </w:p>
    <w:p>
      <w:pPr>
        <w:ind w:right="19" w:firstLine="648"/>
        <w:spacing w:after="0" w:line="184" w:lineRule="exact"/>
        <w:rPr>
          <w:sz w:val="20"/>
          <w:szCs w:val="20"/>
          <w:color w:val="auto"/>
        </w:rPr>
      </w:pPr>
      <w:r>
        <w:rPr>
          <w:rFonts w:ascii="Arial" w:cs="Arial" w:eastAsia="Arial" w:hAnsi="Arial"/>
          <w:sz w:val="17"/>
          <w:szCs w:val="17"/>
          <w:color w:val="auto"/>
        </w:rPr>
        <w:t>Our ability to realize the anticipated benefits of the acquisition of the Silver Legacy and Circus Reno will depend, to a large extent, on our ability to integrate our existing business with those businesses. Combining independent businesses is a complex,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process. In addition, while we have made significant progress in integrating the operations of MTR Gaming into our operations, the Merger was only recently consummated and completion of the integration of five different properties within a relatively short period of time may create additional challenges. As a result, we will be required to devote significant management attention and resources to integrating the businesses and operations of Eldorado, MTR Gaming, the Silver Legacy and Circus Reno. The integration process may</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disrupt the combined business and, if implemented ineffectively, could preclude the realization of the full benefits of our acquisition transactions. In addition, we may pursue additional acquisition opportunities in the future, which would present further integration challenges. Our failure to meet the challenges involved in integrating the businesses that we have acquired or propose to acquire or to realize the anticipated benefits of such transactions could cause an interruption of, or a loss of momentum in, the activities of the Company and could adversely affect the Company’s results of operations. In addition, the combined company’s results of operations may not meet our expectations, which would then make it difficult to service our outstanding debt obligations.</w:t>
      </w:r>
    </w:p>
    <w:p>
      <w:pPr>
        <w:spacing w:after="0" w:line="165"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The overall integration of the businesses may result in unanticipated problems. We may encounter unexpected expenses, liabilities, competitive responses and loss of customer relationships as we integrate the acquired business, all of which could divert management’s attention. The difficulties of combining the operations of the companies include, among others:</w:t>
      </w:r>
    </w:p>
    <w:p>
      <w:pPr>
        <w:spacing w:after="0" w:line="163" w:lineRule="exact"/>
        <w:rPr>
          <w:sz w:val="20"/>
          <w:szCs w:val="20"/>
          <w:color w:val="auto"/>
        </w:rPr>
      </w:pPr>
    </w:p>
    <w:p>
      <w:pPr>
        <w:ind w:left="1120" w:hanging="469"/>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certain management’s attention to integration matters;</w:t>
      </w:r>
    </w:p>
    <w:p>
      <w:pPr>
        <w:spacing w:after="0" w:line="184" w:lineRule="exact"/>
        <w:rPr>
          <w:rFonts w:ascii="Arial" w:cs="Arial" w:eastAsia="Arial" w:hAnsi="Arial"/>
          <w:sz w:val="18"/>
          <w:szCs w:val="18"/>
          <w:color w:val="auto"/>
        </w:rPr>
      </w:pPr>
    </w:p>
    <w:p>
      <w:pPr>
        <w:ind w:left="1080" w:right="60" w:hanging="429"/>
        <w:spacing w:after="0" w:line="23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our business with that of MTR Gaming, Silver Legacy and Circus Reno;</w:t>
      </w:r>
    </w:p>
    <w:p>
      <w:pPr>
        <w:spacing w:after="0" w:line="161" w:lineRule="exact"/>
        <w:rPr>
          <w:rFonts w:ascii="Arial" w:cs="Arial" w:eastAsia="Arial" w:hAnsi="Arial"/>
          <w:sz w:val="18"/>
          <w:szCs w:val="18"/>
          <w:color w:val="auto"/>
        </w:rPr>
      </w:pPr>
    </w:p>
    <w:p>
      <w:pPr>
        <w:ind w:left="1100" w:hanging="449"/>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operations, business practices, internal controls and systems;</w:t>
      </w:r>
    </w:p>
    <w:p>
      <w:pPr>
        <w:spacing w:after="0" w:line="184" w:lineRule="exact"/>
        <w:rPr>
          <w:rFonts w:ascii="Arial" w:cs="Arial" w:eastAsia="Arial" w:hAnsi="Arial"/>
          <w:sz w:val="18"/>
          <w:szCs w:val="18"/>
          <w:color w:val="auto"/>
        </w:rPr>
      </w:pPr>
    </w:p>
    <w:p>
      <w:pPr>
        <w:ind w:left="1180" w:hanging="52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assimilating employees;</w:t>
      </w:r>
    </w:p>
    <w:p>
      <w:pPr>
        <w:spacing w:after="0" w:line="184" w:lineRule="exact"/>
        <w:rPr>
          <w:rFonts w:ascii="Arial" w:cs="Arial" w:eastAsia="Arial" w:hAnsi="Arial"/>
          <w:sz w:val="18"/>
          <w:szCs w:val="18"/>
          <w:color w:val="auto"/>
        </w:rPr>
      </w:pPr>
    </w:p>
    <w:p>
      <w:pPr>
        <w:ind w:left="1080" w:hanging="429"/>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w:t>
      </w:r>
    </w:p>
    <w:p>
      <w:pPr>
        <w:spacing w:after="0" w:line="184" w:lineRule="exact"/>
        <w:rPr>
          <w:rFonts w:ascii="Arial" w:cs="Arial" w:eastAsia="Arial" w:hAnsi="Arial"/>
          <w:sz w:val="18"/>
          <w:szCs w:val="18"/>
          <w:color w:val="auto"/>
        </w:rPr>
      </w:pPr>
    </w:p>
    <w:p>
      <w:pPr>
        <w:ind w:left="1120" w:hanging="469"/>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retaining existing customers and suppliers;</w:t>
      </w:r>
    </w:p>
    <w:p>
      <w:pPr>
        <w:spacing w:after="0" w:line="184" w:lineRule="exact"/>
        <w:rPr>
          <w:rFonts w:ascii="Arial" w:cs="Arial" w:eastAsia="Arial" w:hAnsi="Arial"/>
          <w:sz w:val="18"/>
          <w:szCs w:val="18"/>
          <w:color w:val="auto"/>
        </w:rPr>
      </w:pPr>
    </w:p>
    <w:p>
      <w:pPr>
        <w:ind w:left="1140" w:hanging="489"/>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obtaining new customers and suppliers;</w:t>
      </w:r>
    </w:p>
    <w:p>
      <w:pPr>
        <w:spacing w:after="0" w:line="184" w:lineRule="exact"/>
        <w:rPr>
          <w:rFonts w:ascii="Arial" w:cs="Arial" w:eastAsia="Arial" w:hAnsi="Arial"/>
          <w:sz w:val="18"/>
          <w:szCs w:val="18"/>
          <w:color w:val="auto"/>
        </w:rPr>
      </w:pPr>
    </w:p>
    <w:p>
      <w:pPr>
        <w:ind w:left="1080" w:hanging="429"/>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unknown liabilities and unforeseen increased expenses associated with the acquisitions; and</w:t>
      </w:r>
    </w:p>
    <w:p>
      <w:pPr>
        <w:spacing w:after="0" w:line="196" w:lineRule="exact"/>
        <w:rPr>
          <w:rFonts w:ascii="Arial" w:cs="Arial" w:eastAsia="Arial" w:hAnsi="Arial"/>
          <w:sz w:val="17"/>
          <w:szCs w:val="17"/>
          <w:color w:val="auto"/>
        </w:rPr>
      </w:pPr>
    </w:p>
    <w:p>
      <w:pPr>
        <w:ind w:left="1140" w:hanging="489"/>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retaining and attracting key personnel.</w:t>
      </w:r>
    </w:p>
    <w:p>
      <w:pPr>
        <w:spacing w:after="0" w:line="185"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the business, financial condition and results of operations of the company. Further, even if the operations of the businesses of the Company, MTR Gaming, Silver Legacy and Circus Reno are integrated successfully, we may not realize the full benefits of the transactions, or the full benefits may not be achieved within the anticipated time frame, or at all.</w:t>
      </w:r>
    </w:p>
    <w:p>
      <w:pPr>
        <w:spacing w:after="0" w:line="15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Our estimates and judgments related to the acquisition accounting models used to record the purchase price allocation may be inaccurate</w:t>
      </w:r>
    </w:p>
    <w:p>
      <w:pPr>
        <w:spacing w:after="0" w:line="162"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management will make significant accounting judgments and estimates for the application of acquisition accounting under GAAP and the underlying valuation models. Our business, operating results and financial condition could be materially and adversely impacted in future periods if our accounting judgments and estimates related to these models prove to be inaccurate.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recognize impairment charges for other intangible assets</w:t>
      </w:r>
    </w:p>
    <w:p>
      <w:pPr>
        <w:spacing w:after="0" w:line="18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accordance with GAAP, our management periodically assesses our goodwill and other intangible assets to determine if they are impaired. Significant negative industry or economic trends, disruptions to our business, inability to effectively integrate acquired businesses, unexpected significant changes or planned changes in use of the assets, divestitures and market capitalization declines may impair goodwill and other intangible assets. Any charges relating to such impairments would adversely affect results of operations in the periods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Information relating to the location and general characteristics of our properties is provided in Part I, Item I, Business, Properties.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our facilities are located on property that we own or lease, as follows:</w:t>
      </w:r>
    </w:p>
    <w:p>
      <w:pPr>
        <w:spacing w:after="0" w:line="185" w:lineRule="exact"/>
        <w:rPr>
          <w:sz w:val="20"/>
          <w:szCs w:val="20"/>
          <w:color w:val="auto"/>
        </w:rPr>
      </w:pPr>
    </w:p>
    <w:p>
      <w:pPr>
        <w:ind w:left="980" w:right="80" w:hanging="329"/>
        <w:spacing w:after="0" w:line="235"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lease approximately 30,000 square feet on the approximately 159,000 square foot parcel on which Eldorado Reno is located, in Reno, Nevada.</w:t>
      </w:r>
    </w:p>
    <w:p>
      <w:pPr>
        <w:spacing w:after="0" w:line="161" w:lineRule="exact"/>
        <w:rPr>
          <w:rFonts w:ascii="Arial" w:cs="Arial" w:eastAsia="Arial" w:hAnsi="Arial"/>
          <w:sz w:val="18"/>
          <w:szCs w:val="18"/>
          <w:color w:val="auto"/>
        </w:rPr>
      </w:pPr>
    </w:p>
    <w:p>
      <w:pPr>
        <w:ind w:left="980" w:right="600" w:hanging="329"/>
        <w:spacing w:after="0" w:line="289" w:lineRule="auto"/>
        <w:tabs>
          <w:tab w:leader="none" w:pos="9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also own a 31,000 square foot parcel of property across the street from Eldorado Reno and two other adjacent parcels totaling 18,687 square feet which could be used for expansion of Eldorado Reno.</w:t>
      </w:r>
    </w:p>
    <w:p>
      <w:pPr>
        <w:spacing w:after="0" w:line="124" w:lineRule="exact"/>
        <w:rPr>
          <w:rFonts w:ascii="Arial" w:cs="Arial" w:eastAsia="Arial" w:hAnsi="Arial"/>
          <w:sz w:val="16"/>
          <w:szCs w:val="16"/>
          <w:color w:val="auto"/>
        </w:rPr>
      </w:pPr>
    </w:p>
    <w:p>
      <w:pPr>
        <w:ind w:left="940" w:hanging="289"/>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Silver Legacy is located on five acres in Reno, Nevada.</w:t>
      </w:r>
    </w:p>
    <w:p>
      <w:pPr>
        <w:spacing w:after="0" w:line="184" w:lineRule="exact"/>
        <w:rPr>
          <w:rFonts w:ascii="Arial" w:cs="Arial" w:eastAsia="Arial" w:hAnsi="Arial"/>
          <w:sz w:val="18"/>
          <w:szCs w:val="18"/>
          <w:color w:val="auto"/>
        </w:rPr>
      </w:pPr>
    </w:p>
    <w:p>
      <w:pPr>
        <w:ind w:left="980" w:right="280" w:hanging="329"/>
        <w:spacing w:after="0" w:line="235"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Circus Reno leases approximately 36,000 square feet on the approximately 10 acres on which Circus Reno is located, in Reno, Nevada.</w:t>
      </w:r>
    </w:p>
    <w:p>
      <w:pPr>
        <w:spacing w:after="0" w:line="161" w:lineRule="exact"/>
        <w:rPr>
          <w:rFonts w:ascii="Arial" w:cs="Arial" w:eastAsia="Arial" w:hAnsi="Arial"/>
          <w:sz w:val="18"/>
          <w:szCs w:val="18"/>
          <w:color w:val="auto"/>
        </w:rPr>
      </w:pPr>
    </w:p>
    <w:p>
      <w:pPr>
        <w:ind w:left="940" w:hanging="289"/>
        <w:spacing w:after="0"/>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lease approximately nine acres of land in Shreveport, Louisiana on which Eldorado Shreveport is located.</w:t>
      </w:r>
    </w:p>
    <w:p>
      <w:pPr>
        <w:spacing w:after="0" w:line="207" w:lineRule="exact"/>
        <w:rPr>
          <w:rFonts w:ascii="Arial" w:cs="Arial" w:eastAsia="Arial" w:hAnsi="Arial"/>
          <w:sz w:val="16"/>
          <w:szCs w:val="16"/>
          <w:color w:val="auto"/>
        </w:rPr>
      </w:pPr>
    </w:p>
    <w:p>
      <w:pPr>
        <w:ind w:left="980" w:right="320" w:hanging="329"/>
        <w:spacing w:after="0" w:line="194" w:lineRule="exact"/>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Mountaineer is located on approximately 1,730 acres of land that we own in Chester, Hancock County, West Virginia. Included in the 1,730 acres of land is approximately 1,350 acres of land that are considered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properties that we intend to sell.</w:t>
      </w:r>
    </w:p>
    <w:p>
      <w:pPr>
        <w:spacing w:after="0" w:line="163" w:lineRule="exact"/>
        <w:rPr>
          <w:rFonts w:ascii="Arial" w:cs="Arial" w:eastAsia="Arial" w:hAnsi="Arial"/>
          <w:sz w:val="18"/>
          <w:szCs w:val="18"/>
          <w:color w:val="auto"/>
        </w:rPr>
      </w:pPr>
    </w:p>
    <w:p>
      <w:pPr>
        <w:ind w:left="940" w:hanging="289"/>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Scioto Downs is located on approximately 208 acres of land that we own in Columbus, Ohio.</w:t>
      </w:r>
    </w:p>
    <w:p>
      <w:pPr>
        <w:spacing w:after="0" w:line="184" w:lineRule="exact"/>
        <w:rPr>
          <w:rFonts w:ascii="Arial" w:cs="Arial" w:eastAsia="Arial" w:hAnsi="Arial"/>
          <w:sz w:val="18"/>
          <w:szCs w:val="18"/>
          <w:color w:val="auto"/>
        </w:rPr>
      </w:pPr>
    </w:p>
    <w:p>
      <w:pPr>
        <w:ind w:left="980" w:right="1000" w:hanging="329"/>
        <w:spacing w:after="0" w:line="235" w:lineRule="auto"/>
        <w:tabs>
          <w:tab w:leader="none" w:pos="9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Presque Isle Downs is located on 272 acres of land that we own in Summit Township, Erie County, Pennsylvania.</w:t>
      </w:r>
    </w:p>
    <w:p>
      <w:pPr>
        <w:spacing w:after="0" w:line="157" w:lineRule="exact"/>
        <w:rPr>
          <w:rFonts w:ascii="Arial" w:cs="Arial" w:eastAsia="Arial" w:hAnsi="Arial"/>
          <w:sz w:val="18"/>
          <w:szCs w:val="18"/>
          <w:color w:val="auto"/>
        </w:rPr>
      </w:pPr>
    </w:p>
    <w:p>
      <w:pPr>
        <w:ind w:left="940" w:hanging="289"/>
        <w:spacing w:after="0" w:line="196" w:lineRule="exact"/>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addition, we own two other parcels of land: a 213</w:t>
      </w:r>
      <w:r>
        <w:rPr>
          <w:rFonts w:ascii="MS PGothic" w:cs="MS PGothic" w:eastAsia="MS PGothic" w:hAnsi="MS PGothic"/>
          <w:sz w:val="17"/>
          <w:szCs w:val="17"/>
          <w:color w:val="auto"/>
        </w:rPr>
        <w:t>‑</w:t>
      </w:r>
      <w:r>
        <w:rPr>
          <w:rFonts w:ascii="Arial" w:cs="Arial" w:eastAsia="Arial" w:hAnsi="Arial"/>
          <w:sz w:val="17"/>
          <w:szCs w:val="17"/>
          <w:color w:val="auto"/>
        </w:rPr>
        <w:t>acre site in McKean Township, Pennsylvania and an</w:t>
      </w:r>
    </w:p>
    <w:p>
      <w:pPr>
        <w:ind w:left="980" w:right="160"/>
        <w:spacing w:after="0" w:line="195" w:lineRule="exact"/>
        <w:rPr>
          <w:sz w:val="20"/>
          <w:szCs w:val="20"/>
          <w:color w:val="auto"/>
        </w:rPr>
      </w:pPr>
      <w:r>
        <w:rPr>
          <w:rFonts w:ascii="Arial" w:cs="Arial" w:eastAsia="Arial" w:hAnsi="Arial"/>
          <w:sz w:val="18"/>
          <w:szCs w:val="18"/>
          <w:color w:val="auto"/>
        </w:rPr>
        <w:t>11</w:t>
      </w:r>
      <w:r>
        <w:rPr>
          <w:rFonts w:ascii="MS PGothic" w:cs="MS PGothic" w:eastAsia="MS PGothic" w:hAnsi="MS PGothic"/>
          <w:sz w:val="18"/>
          <w:szCs w:val="18"/>
          <w:color w:val="auto"/>
        </w:rPr>
        <w:t>‑</w:t>
      </w:r>
      <w:r>
        <w:rPr>
          <w:rFonts w:ascii="Arial" w:cs="Arial" w:eastAsia="Arial" w:hAnsi="Arial"/>
          <w:sz w:val="18"/>
          <w:szCs w:val="18"/>
          <w:color w:val="auto"/>
        </w:rPr>
        <w:t>acre site in Summit Township that formerly housed an off</w:t>
      </w:r>
      <w:r>
        <w:rPr>
          <w:rFonts w:ascii="MS PGothic" w:cs="MS PGothic" w:eastAsia="MS PGothic" w:hAnsi="MS PGothic"/>
          <w:sz w:val="18"/>
          <w:szCs w:val="18"/>
          <w:color w:val="auto"/>
        </w:rPr>
        <w:t>‑</w:t>
      </w:r>
      <w:r>
        <w:rPr>
          <w:rFonts w:ascii="Arial" w:cs="Arial" w:eastAsia="Arial" w:hAnsi="Arial"/>
          <w:sz w:val="18"/>
          <w:szCs w:val="18"/>
          <w:color w:val="auto"/>
        </w:rPr>
        <w:t>track wagering facility. These two properties are considered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properties that we intend to sell.</w:t>
      </w:r>
    </w:p>
    <w:p>
      <w:pPr>
        <w:spacing w:after="0" w:line="161"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Substantially all of our assets are pledged to secure our outstanding indebtedness under the Senior Notes and credit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We are a party to various lawsuits, which have arisen in the normal course of our business. Estimated losses are accrued for these lawsuits and claims when the loss is probable and can be estimated. The current liability for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99"/>
        <w:spacing w:after="0" w:line="235" w:lineRule="auto"/>
        <w:rPr>
          <w:sz w:val="20"/>
          <w:szCs w:val="20"/>
          <w:color w:val="auto"/>
        </w:rPr>
      </w:pPr>
      <w:r>
        <w:rPr>
          <w:rFonts w:ascii="Arial" w:cs="Arial" w:eastAsia="Arial" w:hAnsi="Arial"/>
          <w:sz w:val="18"/>
          <w:szCs w:val="18"/>
          <w:color w:val="auto"/>
        </w:rPr>
        <w:t>estimated losses associated with those lawsuits is not material to our consolidated financial condition and those estimated losses are not expected to have a material impact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780" w:right="240" w:hanging="777"/>
        <w:spacing w:after="0" w:line="237"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62" w:lineRule="exact"/>
        <w:rPr>
          <w:sz w:val="20"/>
          <w:szCs w:val="20"/>
          <w:color w:val="auto"/>
        </w:rPr>
      </w:pPr>
    </w:p>
    <w:p>
      <w:pPr>
        <w:ind w:right="40" w:firstLine="648"/>
        <w:spacing w:after="0" w:line="189" w:lineRule="exact"/>
        <w:rPr>
          <w:sz w:val="20"/>
          <w:szCs w:val="20"/>
          <w:color w:val="auto"/>
        </w:rPr>
      </w:pPr>
      <w:r>
        <w:rPr>
          <w:rFonts w:ascii="Arial" w:cs="Arial" w:eastAsia="Arial" w:hAnsi="Arial"/>
          <w:sz w:val="17"/>
          <w:szCs w:val="17"/>
          <w:color w:val="auto"/>
        </w:rPr>
        <w:t>On September 19, 2014, the Company issued an aggregate of 23,311,492 shares of common stock to former members of HoldCo upon consummation of the Merger. In December 2014, pursuant to the terms of the Merger Agreement, 25,290 shares were returned to the Company as a result of a post</w:t>
      </w:r>
      <w:r>
        <w:rPr>
          <w:rFonts w:ascii="MS PGothic" w:cs="MS PGothic" w:eastAsia="MS PGothic" w:hAnsi="MS PGothic"/>
          <w:sz w:val="17"/>
          <w:szCs w:val="17"/>
          <w:color w:val="auto"/>
        </w:rPr>
        <w:t>‑</w:t>
      </w:r>
      <w:r>
        <w:rPr>
          <w:rFonts w:ascii="Arial" w:cs="Arial" w:eastAsia="Arial" w:hAnsi="Arial"/>
          <w:sz w:val="17"/>
          <w:szCs w:val="17"/>
          <w:color w:val="auto"/>
        </w:rPr>
        <w:t>closing adjustment, resulting in a total of 23,286,202 shares of common stock issued to former members of HoldCo as a result of the Merger.</w:t>
      </w:r>
    </w:p>
    <w:p>
      <w:pPr>
        <w:spacing w:after="0" w:line="163"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Our Common Stock began trading on September 22, 2014 and is quoted on the NASDAQ Global Select Market under the symbol “ERI”. On March 2, 2016, the NASDAQ Official Closing Price for our common stock was $10.50. As of March 2, 2016, there were 671 of record holders of our common stock.</w:t>
      </w:r>
    </w:p>
    <w:p>
      <w:pPr>
        <w:spacing w:after="0" w:line="16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The agreements governing our outstanding indebtedness restrict our ability to pay dividends. We historically have not paid cash dividends and do not intend to pay such dividends in the foreseeable future. For further information relating to our and our subsidiaries’ dividend policies, see Part II, Item 7, Liquidity and Capital Resources, included in this report.</w:t>
      </w:r>
    </w:p>
    <w:p>
      <w:pPr>
        <w:spacing w:after="0" w:line="147"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The following table sets forth the range of high and low closing sale prices for our common stock since it began trading on September 22,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Stock Price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0" w:type="dxa"/>
            <w:vAlign w:val="bottom"/>
            <w:tcBorders>
              <w:bottom w:val="single" w:sz="8" w:color="CCEEFF"/>
            </w:tcBorders>
          </w:tcPr>
          <w:p>
            <w:pPr>
              <w:spacing w:after="0"/>
              <w:rPr>
                <w:sz w:val="11"/>
                <w:szCs w:val="11"/>
                <w:color w:val="auto"/>
              </w:rPr>
            </w:pPr>
          </w:p>
        </w:tc>
        <w:tc>
          <w:tcPr>
            <w:tcW w:w="22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11"/>
                <w:szCs w:val="1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5.68</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2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The following table sets forth information as of December 31, 2015, with respect to compensation plans under which equity securities of the Company are authorized for issuance.</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9159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MTR Gaming Group, Inc. 2010 Long Term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 2015 Equity Incentive Plan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w:t>
            </w:r>
          </w:p>
        </w:tc>
      </w:tr>
      <w:tr>
        <w:trPr>
          <w:trHeight w:val="216"/>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available for</w:t>
            </w:r>
          </w:p>
        </w:tc>
      </w:tr>
      <w:tr>
        <w:trPr>
          <w:trHeight w:val="216"/>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future issuance under</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w:t>
            </w:r>
          </w:p>
        </w:tc>
        <w:tc>
          <w:tcPr>
            <w:tcW w:w="8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equity compensation</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be issued upon exercise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exercise price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plans (excluding</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of outstanding options,</w:t>
            </w: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outstanding options,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 reflected</w:t>
            </w:r>
          </w:p>
        </w:tc>
      </w:tr>
      <w:tr>
        <w:trPr>
          <w:trHeight w:val="201"/>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80" w:type="dxa"/>
            <w:vAlign w:val="bottom"/>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warrants and rights</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w:t>
            </w:r>
          </w:p>
        </w:tc>
      </w:tr>
      <w:tr>
        <w:trPr>
          <w:trHeight w:val="195"/>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60"/>
              <w:spacing w:after="0"/>
              <w:rPr>
                <w:sz w:val="20"/>
                <w:szCs w:val="20"/>
                <w:color w:val="auto"/>
              </w:rPr>
            </w:pPr>
            <w:r>
              <w:rPr>
                <w:rFonts w:ascii="Arial" w:cs="Arial" w:eastAsia="Arial" w:hAnsi="Arial"/>
                <w:sz w:val="14"/>
                <w:szCs w:val="14"/>
                <w:b w:val="1"/>
                <w:bCs w:val="1"/>
                <w:color w:val="auto"/>
              </w:rPr>
              <w:t>(b)</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57"/>
        </w:trPr>
        <w:tc>
          <w:tcPr>
            <w:tcW w:w="1460" w:type="dxa"/>
            <w:vAlign w:val="bottom"/>
          </w:tcPr>
          <w:p>
            <w:pPr>
              <w:jc w:val="right"/>
              <w:spacing w:after="0"/>
              <w:rPr>
                <w:sz w:val="20"/>
                <w:szCs w:val="20"/>
                <w:color w:val="auto"/>
              </w:rPr>
            </w:pPr>
            <w:r>
              <w:rPr>
                <w:rFonts w:ascii="Arial" w:cs="Arial" w:eastAsia="Arial" w:hAnsi="Arial"/>
                <w:sz w:val="18"/>
                <w:szCs w:val="18"/>
                <w:color w:val="auto"/>
              </w:rPr>
              <w:t>312,200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1,747,759</w:t>
            </w:r>
          </w:p>
        </w:tc>
      </w:tr>
      <w:tr>
        <w:trPr>
          <w:trHeight w:val="432"/>
        </w:trPr>
        <w:tc>
          <w:tcPr>
            <w:tcW w:w="1460" w:type="dxa"/>
            <w:vAlign w:val="bottom"/>
          </w:tcPr>
          <w:p>
            <w:pPr>
              <w:jc w:val="right"/>
              <w:spacing w:after="0"/>
              <w:rPr>
                <w:sz w:val="20"/>
                <w:szCs w:val="20"/>
                <w:color w:val="auto"/>
              </w:rPr>
            </w:pPr>
            <w:r>
              <w:rPr>
                <w:rFonts w:ascii="Arial" w:cs="Arial" w:eastAsia="Arial" w:hAnsi="Arial"/>
                <w:sz w:val="18"/>
                <w:szCs w:val="18"/>
                <w:color w:val="auto"/>
              </w:rPr>
              <w:t>917,283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3,882,717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-427990</wp:posOffset>
            </wp:positionV>
            <wp:extent cx="57543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-153670</wp:posOffset>
            </wp:positionV>
            <wp:extent cx="57543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460"/>
            <w:col w:w="4380"/>
          </w:cols>
          <w:pgMar w:left="1420" w:top="111" w:right="1419" w:bottom="1440" w:gutter="0" w:footer="0" w:header="0"/>
          <w:type w:val="continuous"/>
        </w:sectPr>
      </w:pPr>
    </w:p>
    <w:p>
      <w:pPr>
        <w:spacing w:after="0" w:line="137"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The Eldorado Resorts, Inc. 2015 Equity Incentive Plan was approved by our shareholders in June 2015. No future equity awards will be made pursuant to the MTR Gaming Group, Inc. 2010 Long Term Incentive Plan (“MTR Plan”). However, outstanding awards granted under the MTR Plan will continue unaffected.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The following graph demonstrates a comparison of cumulative total returns of the Company, the NASDAQ Market Index (which is considered to be a broad index) and the Dow Jones US Gambling Index for the period since the Company’s common stock began trading on September 22, 2014. The following graph assumes $100 invested in each of the above groups and the reinvestment of dividends, if applicable.</w:t>
      </w:r>
    </w:p>
    <w:p>
      <w:pPr>
        <w:spacing w:after="0" w:line="14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Comparison of Cumulative Total Return Since the Merger Date</w:t>
      </w:r>
    </w:p>
    <w:p>
      <w:pPr>
        <w:ind w:left="3520"/>
        <w:spacing w:after="0" w:line="203" w:lineRule="auto"/>
        <w:rPr>
          <w:sz w:val="20"/>
          <w:szCs w:val="20"/>
          <w:color w:val="auto"/>
        </w:rPr>
      </w:pPr>
      <w:r>
        <w:rPr>
          <w:rFonts w:ascii="Arial" w:cs="Arial" w:eastAsia="Arial" w:hAnsi="Arial"/>
          <w:sz w:val="18"/>
          <w:szCs w:val="18"/>
          <w:b w:val="1"/>
          <w:bCs w:val="1"/>
          <w:color w:val="auto"/>
        </w:rPr>
        <w:t>Assumes Initial Investment of $100</w:t>
      </w:r>
    </w:p>
    <w:p>
      <w:pPr>
        <w:ind w:left="4040"/>
        <w:spacing w:after="0"/>
        <w:rPr>
          <w:sz w:val="20"/>
          <w:szCs w:val="20"/>
          <w:color w:val="auto"/>
        </w:rPr>
      </w:pPr>
      <w:r>
        <w:rPr>
          <w:rFonts w:ascii="Arial" w:cs="Arial" w:eastAsia="Arial" w:hAnsi="Arial"/>
          <w:sz w:val="18"/>
          <w:szCs w:val="18"/>
          <w:b w:val="1"/>
          <w:bCs w:val="1"/>
          <w:color w:val="auto"/>
        </w:rPr>
        <w:t>December 2015</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following table sets forth selected consolidated financial data of the Company for each of the five years ended December 31, 2015. This information should be read in conjunction with the audited consolidated financial statements contained elsewhere in this report. Operating results for the periods presented below are not necessarily indicative of the results that may be expected for future years.</w:t>
      </w:r>
    </w:p>
    <w:p>
      <w:pPr>
        <w:spacing w:after="0" w:line="163"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On November 24, 2015 (the “Acquisition Date”), we consummated the acquisition of all of the assets and properties of Circus Reno and the other 50% membership interest in the Silver Legacy Joint Venture owned by MGM Resorts International (collectively, the “Circus Reno/Silver Legacy Purchase” or the “Acquisition”). On the Acquisition Date, Eldorado Resorts LLC also exercised its right to acquire the 3.8% interest in ELLC held by certain affiliates and shareholders of the Company. As a result of these transactions, ELLC became a wholly-owned subsidiary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indirect subsidiary of ERI.</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merger with MTR Gaming closed on September 19, 2014 (the “Merger Date”) and has been accounted for as a reverse acquisition of MTR Gaming by HoldCo under accounting principles generally accepted in the United States. As a result, HoldCo is considered the acquirer of MTR Gaming for accounting purposes. The financial information included in the following table for periods prior to the Merger Date are those of Resorts and its subsidiaries. The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spacing w:after="0" w:line="232" w:lineRule="auto"/>
        <w:rPr>
          <w:sz w:val="20"/>
          <w:szCs w:val="20"/>
          <w:color w:val="auto"/>
        </w:rPr>
      </w:pPr>
      <w:r>
        <w:rPr>
          <w:rFonts w:ascii="Arial" w:cs="Arial" w:eastAsia="Arial" w:hAnsi="Arial"/>
          <w:sz w:val="17"/>
          <w:szCs w:val="17"/>
          <w:color w:val="auto"/>
        </w:rPr>
        <w:t>presentation of information herein for periods prior to the Merger Date and the Acquisition Date and after the Merger Date and Acquisition Date, respectively, are not fully comparable because the results of operations for MTR Gaming and Circus Reno are not included for periods prior to the Merger Date or Acquisition Date, respectively, and the results of operations of the Silver Legacy Joint Venture were not consolidated prior to the Acquisition Date (see Note 1 below).</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SELECTED CONSOLIDATED FINANCIAL DATA</w:t>
      </w: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44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Operating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Casino</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614,227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298,848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192,379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200,292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Pari-mutuel commissions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Food and beverage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Hotel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37,466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28,007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26,934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26,203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10,384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784,541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410,272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290,253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296,270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297,469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promotional allowances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(64,757)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(48,449)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(41,530)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Net operating revenues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719,784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361,823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247,186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254,740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256,072</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Casino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357,572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167,792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104,044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104,057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Pari-mutuel commissions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Food and beverage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52,606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37,411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29,238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Hotel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Marketing and promotions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96,870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58,738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43,713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44,936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44,817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Corporate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19,780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648,270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339,478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224,560</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229,749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232,265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4"/>
                <w:szCs w:val="14"/>
                <w:color w:val="auto"/>
              </w:rPr>
              <w:t>Loss on sale or disposition of property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Acquisition charges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Equity in income (losses) of unconsolidated affiliates(1)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Impairment of investment in joint venture(2)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income (loss)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72,516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17,555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15,841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(61,558)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(30,734)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(15,665)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(16,055)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Gain on extinguishment of debt of unconsolidated affiliate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Gain on valuation of unconsolidated affiliate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8"/>
              </w:rPr>
              <w:t>Gain on termination of supplemental executive retirement plan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Loss on property donation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(Loss) gain on early retirement of debt, net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other expense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(27,913)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(30,109)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(15,946)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 before income taxes</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44,603</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(12,554)</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18,897</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(29,020)</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Benefit (provision) for income taxes(3)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114,183</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(14,322)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18,897</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(29,020)</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Less net (income) loss attributable to non-controlling interest(4)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the Company(4)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114,183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Basic net income (loss) per common share</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40" w:type="dxa"/>
            <w:vAlign w:val="bottom"/>
            <w:vMerge w:val="continue"/>
          </w:tcPr>
          <w:p>
            <w:pPr>
              <w:spacing w:after="0"/>
              <w:rPr>
                <w:sz w:val="15"/>
                <w:szCs w:val="15"/>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2.45</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(0.48)</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0.81</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(0.04)</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Diluted net income (loss) per common share</w:t>
            </w: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Data: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Net cash provided by (used 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activities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28,366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(158,754)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40,413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36,762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Data(5):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Number of hotel rooms(6)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hotel occupancy rate(7)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4"/>
                <w:szCs w:val="14"/>
                <w:color w:val="auto"/>
              </w:rPr>
              <w:t>Number of slot machines(6)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Number of table games(6)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98"/>
              </w:rPr>
              <w:t>At December 31,</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64"/>
        </w:trPr>
        <w:tc>
          <w:tcPr>
            <w:tcW w:w="2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r>
      <w:tr>
        <w:trPr>
          <w:trHeight w:val="210"/>
        </w:trPr>
        <w:tc>
          <w:tcPr>
            <w:tcW w:w="3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   78,278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87,604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  29,813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  25,303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  30,150</w:t>
            </w:r>
          </w:p>
        </w:tc>
        <w:tc>
          <w:tcPr>
            <w:tcW w:w="4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1,171,559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270,182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262,525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272,662</w:t>
            </w:r>
          </w:p>
        </w:tc>
        <w:tc>
          <w:tcPr>
            <w:tcW w:w="4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892,192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778,862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170,760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176,102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183,502</w:t>
            </w:r>
          </w:p>
        </w:tc>
        <w:tc>
          <w:tcPr>
            <w:tcW w:w="4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151,622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66,023</w:t>
            </w:r>
          </w:p>
        </w:tc>
        <w:tc>
          <w:tcPr>
            <w:tcW w:w="4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Selected Consolidated Financial Data:</w:t>
      </w:r>
    </w:p>
    <w:p>
      <w:pPr>
        <w:spacing w:after="0" w:line="216" w:lineRule="exact"/>
        <w:rPr>
          <w:sz w:val="20"/>
          <w:szCs w:val="20"/>
          <w:color w:val="auto"/>
        </w:rPr>
      </w:pPr>
    </w:p>
    <w:p>
      <w:pPr>
        <w:ind w:left="660" w:right="20" w:hanging="657"/>
        <w:spacing w:after="0" w:line="245" w:lineRule="auto"/>
        <w:tabs>
          <w:tab w:leader="none" w:pos="709" w:val="left"/>
        </w:tabs>
        <w:numPr>
          <w:ilvl w:val="0"/>
          <w:numId w:val="26"/>
        </w:numPr>
        <w:rPr>
          <w:rFonts w:ascii="Arial" w:cs="Arial" w:eastAsia="Arial" w:hAnsi="Arial"/>
          <w:sz w:val="22"/>
          <w:szCs w:val="22"/>
          <w:color w:val="auto"/>
        </w:rPr>
      </w:pPr>
      <w:r>
        <w:rPr>
          <w:rFonts w:ascii="Arial" w:cs="Arial" w:eastAsia="Arial" w:hAnsi="Arial"/>
          <w:sz w:val="18"/>
          <w:szCs w:val="18"/>
          <w:color w:val="auto"/>
        </w:rPr>
        <w:t>Except as explained in note (2) below, equity in income (losses) of unconsolidated affiliates prior to the Acquisition Date represents (a) Resorts’ 48.1% joint venture interest in the Silver Legacy Joint Venture (or, prior to the Merger Date, its 50% interest in ELLC) and (b) for periods prior to September 1, 2014, Resorts’ 21.3% interest in Tamarack. Since the Company operates in the same line of business as the Silver Legacy and Tamarack, each with casino and/or hotel operations, the Company’s equity in the income (losses) of such affiliates is included in operating income (loss).</w:t>
      </w:r>
    </w:p>
    <w:p>
      <w:pPr>
        <w:spacing w:after="0" w:line="180" w:lineRule="exact"/>
        <w:rPr>
          <w:rFonts w:ascii="Arial" w:cs="Arial" w:eastAsia="Arial" w:hAnsi="Arial"/>
          <w:sz w:val="22"/>
          <w:szCs w:val="22"/>
          <w:color w:val="auto"/>
        </w:rPr>
      </w:pPr>
    </w:p>
    <w:p>
      <w:pPr>
        <w:ind w:left="700" w:hanging="697"/>
        <w:spacing w:after="0" w:line="196" w:lineRule="exact"/>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a result of the Company’s identification of triggering events, it recognized non</w:t>
      </w:r>
      <w:r>
        <w:rPr>
          <w:rFonts w:ascii="MS PGothic" w:cs="MS PGothic" w:eastAsia="MS PGothic" w:hAnsi="MS PGothic"/>
          <w:sz w:val="17"/>
          <w:szCs w:val="17"/>
          <w:color w:val="auto"/>
        </w:rPr>
        <w:t>‑</w:t>
      </w:r>
      <w:r>
        <w:rPr>
          <w:rFonts w:ascii="Arial" w:cs="Arial" w:eastAsia="Arial" w:hAnsi="Arial"/>
          <w:sz w:val="17"/>
          <w:szCs w:val="17"/>
          <w:color w:val="auto"/>
        </w:rPr>
        <w:t>cash impairment charges of</w:t>
      </w:r>
    </w:p>
    <w:p>
      <w:pPr>
        <w:ind w:left="660" w:right="60"/>
        <w:spacing w:after="0" w:line="180" w:lineRule="exact"/>
        <w:rPr>
          <w:sz w:val="20"/>
          <w:szCs w:val="20"/>
          <w:color w:val="auto"/>
        </w:rPr>
      </w:pPr>
      <w:r>
        <w:rPr>
          <w:rFonts w:ascii="Arial" w:cs="Arial" w:eastAsia="Arial" w:hAnsi="Arial"/>
          <w:sz w:val="16"/>
          <w:szCs w:val="16"/>
          <w:color w:val="auto"/>
        </w:rPr>
        <w:t>$33.1 million in 2011 for its investment in the Silver Legacy Joint Venture, which is included in the consolidated statement of operations and comprehensive income. Such impairment charge eliminated the Company’s remaining investment in the Silver Legacy Joint Venture. Non</w:t>
      </w:r>
      <w:r>
        <w:rPr>
          <w:rFonts w:ascii="MS PGothic" w:cs="MS PGothic" w:eastAsia="MS PGothic" w:hAnsi="MS PGothic"/>
          <w:sz w:val="16"/>
          <w:szCs w:val="16"/>
          <w:color w:val="auto"/>
        </w:rPr>
        <w:t>‑</w:t>
      </w:r>
      <w:r>
        <w:rPr>
          <w:rFonts w:ascii="Arial" w:cs="Arial" w:eastAsia="Arial" w:hAnsi="Arial"/>
          <w:sz w:val="16"/>
          <w:szCs w:val="16"/>
          <w:color w:val="auto"/>
        </w:rPr>
        <w:t>controlling interests in the Silver Legacy Joint Venture were allocated $4.8 million of the non</w:t>
      </w:r>
      <w:r>
        <w:rPr>
          <w:rFonts w:ascii="MS PGothic" w:cs="MS PGothic" w:eastAsia="MS PGothic" w:hAnsi="MS PGothic"/>
          <w:sz w:val="16"/>
          <w:szCs w:val="16"/>
          <w:color w:val="auto"/>
        </w:rPr>
        <w:t>‑</w:t>
      </w:r>
      <w:r>
        <w:rPr>
          <w:rFonts w:ascii="Arial" w:cs="Arial" w:eastAsia="Arial" w:hAnsi="Arial"/>
          <w:sz w:val="16"/>
          <w:szCs w:val="16"/>
          <w:color w:val="auto"/>
        </w:rPr>
        <w:t>cash impairments, eliminating the remaining non</w:t>
      </w:r>
      <w:r>
        <w:rPr>
          <w:rFonts w:ascii="MS PGothic" w:cs="MS PGothic" w:eastAsia="MS PGothic" w:hAnsi="MS PGothic"/>
          <w:sz w:val="16"/>
          <w:szCs w:val="16"/>
          <w:color w:val="auto"/>
        </w:rPr>
        <w:t>‑</w:t>
      </w:r>
      <w:r>
        <w:rPr>
          <w:rFonts w:ascii="Arial" w:cs="Arial" w:eastAsia="Arial" w:hAnsi="Arial"/>
          <w:sz w:val="16"/>
          <w:szCs w:val="16"/>
          <w:color w:val="auto"/>
        </w:rPr>
        <w:t>controlling interest. As a result of the elimination of the Company’s remaining investment in the Silver Legacy Joint Venture as of December 31, 2011, we discontinued the equity method of accounting for our investment in the Silver Legacy Joint Venture until the fourth quarter of 2012 when additional investments in the Silver Legacy were made. At such time, the Company recognized its share of the Silver Legacy Joint Venture’s suspended net losses not recognized during the period the equity method of accounting was discontinued and resumed the equity method of accounting for its investment.</w:t>
      </w:r>
    </w:p>
    <w:p>
      <w:pPr>
        <w:spacing w:after="0" w:line="166" w:lineRule="exact"/>
        <w:rPr>
          <w:sz w:val="20"/>
          <w:szCs w:val="20"/>
          <w:color w:val="auto"/>
        </w:rPr>
      </w:pPr>
    </w:p>
    <w:p>
      <w:pPr>
        <w:ind w:left="660" w:right="100" w:hanging="657"/>
        <w:spacing w:after="0" w:line="184" w:lineRule="exact"/>
        <w:tabs>
          <w:tab w:leader="none" w:pos="7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Prior to September 19, 2014, HoldCo was taxed as a partnership under the Internal Revenue Code pursuant to which income taxes were primarily the responsibility of the partners. On September 18, 2014, as part of the merger with MTR Gaming, ERI became a C Corporation subject to the federal and state corporate</w:t>
      </w:r>
      <w:r>
        <w:rPr>
          <w:rFonts w:ascii="MS PGothic" w:cs="MS PGothic" w:eastAsia="MS PGothic" w:hAnsi="MS PGothic"/>
          <w:sz w:val="16"/>
          <w:szCs w:val="16"/>
          <w:color w:val="auto"/>
        </w:rPr>
        <w:t>‑</w:t>
      </w:r>
      <w:r>
        <w:rPr>
          <w:rFonts w:ascii="Arial" w:cs="Arial" w:eastAsia="Arial" w:hAnsi="Arial"/>
          <w:sz w:val="16"/>
          <w:szCs w:val="16"/>
          <w:color w:val="auto"/>
        </w:rPr>
        <w:t>level income taxes at prevailing corporate tax rates. While taxed as a partnership, HoldCo was not subject to federal income tax liability. Because holders of membership interests in HoldCo were required to include their respective shares of HoldCo and Resorts’ taxable income (loss) in their individual income tax returns, Resorts made distributions to its member, HoldCo and HoldCo made distributions to its members to cover such liabilities.</w:t>
      </w:r>
    </w:p>
    <w:p>
      <w:pPr>
        <w:spacing w:after="0" w:line="162" w:lineRule="exact"/>
        <w:rPr>
          <w:rFonts w:ascii="Arial" w:cs="Arial" w:eastAsia="Arial" w:hAnsi="Arial"/>
          <w:sz w:val="16"/>
          <w:szCs w:val="16"/>
          <w:color w:val="auto"/>
        </w:rPr>
      </w:pPr>
    </w:p>
    <w:p>
      <w:pPr>
        <w:ind w:left="660" w:right="20" w:hanging="657"/>
        <w:spacing w:after="0" w:line="187" w:lineRule="exact"/>
        <w:tabs>
          <w:tab w:leader="none" w:pos="708"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the Acquisition Date, non</w:t>
      </w:r>
      <w:r>
        <w:rPr>
          <w:rFonts w:ascii="MS PGothic" w:cs="MS PGothic" w:eastAsia="MS PGothic" w:hAnsi="MS PGothic"/>
          <w:sz w:val="17"/>
          <w:szCs w:val="17"/>
          <w:color w:val="auto"/>
        </w:rPr>
        <w:t>‑</w:t>
      </w:r>
      <w:r>
        <w:rPr>
          <w:rFonts w:ascii="Arial" w:cs="Arial" w:eastAsia="Arial" w:hAnsi="Arial"/>
          <w:sz w:val="17"/>
          <w:szCs w:val="17"/>
          <w:color w:val="auto"/>
        </w:rPr>
        <w:t>controlling interest represented the minority partners’ share of ELLC’s 50% joint venture interest in the Silver Legacy Joint Venture. The non</w:t>
      </w:r>
      <w:r>
        <w:rPr>
          <w:rFonts w:ascii="MS PGothic" w:cs="MS PGothic" w:eastAsia="MS PGothic" w:hAnsi="MS PGothic"/>
          <w:sz w:val="17"/>
          <w:szCs w:val="17"/>
          <w:color w:val="auto"/>
        </w:rPr>
        <w:t>‑</w:t>
      </w:r>
      <w:r>
        <w:rPr>
          <w:rFonts w:ascii="Arial" w:cs="Arial" w:eastAsia="Arial" w:hAnsi="Arial"/>
          <w:sz w:val="17"/>
          <w:szCs w:val="17"/>
          <w:color w:val="auto"/>
        </w:rPr>
        <w:t>controlling interest in ELLC was owned by certain HoldCo equity holders and was approximately 4%. The non</w:t>
      </w:r>
      <w:r>
        <w:rPr>
          <w:rFonts w:ascii="MS PGothic" w:cs="MS PGothic" w:eastAsia="MS PGothic" w:hAnsi="MS PGothic"/>
          <w:sz w:val="17"/>
          <w:szCs w:val="17"/>
          <w:color w:val="auto"/>
        </w:rPr>
        <w:t>‑</w:t>
      </w:r>
      <w:r>
        <w:rPr>
          <w:rFonts w:ascii="Arial" w:cs="Arial" w:eastAsia="Arial" w:hAnsi="Arial"/>
          <w:sz w:val="17"/>
          <w:szCs w:val="17"/>
          <w:color w:val="auto"/>
        </w:rPr>
        <w:t>controlling interest in the Silver Legacy was 1.9%. The Company acquired the remaining 50% joint venture interest pursuant to the Circus Reno/Silver Legacy Purchase and exercised its rights to acquire the non</w:t>
      </w:r>
      <w:r>
        <w:rPr>
          <w:rFonts w:ascii="MS PGothic" w:cs="MS PGothic" w:eastAsia="MS PGothic" w:hAnsi="MS PGothic"/>
          <w:sz w:val="17"/>
          <w:szCs w:val="17"/>
          <w:color w:val="auto"/>
        </w:rPr>
        <w:t>‑</w:t>
      </w:r>
      <w:r>
        <w:rPr>
          <w:rFonts w:ascii="Arial" w:cs="Arial" w:eastAsia="Arial" w:hAnsi="Arial"/>
          <w:sz w:val="17"/>
          <w:szCs w:val="17"/>
          <w:color w:val="auto"/>
        </w:rPr>
        <w:t>controlling interest of ELLC.</w:t>
      </w:r>
    </w:p>
    <w:p>
      <w:pPr>
        <w:spacing w:after="0" w:line="161" w:lineRule="exact"/>
        <w:rPr>
          <w:rFonts w:ascii="Arial" w:cs="Arial" w:eastAsia="Arial" w:hAnsi="Arial"/>
          <w:sz w:val="17"/>
          <w:szCs w:val="17"/>
          <w:color w:val="auto"/>
        </w:rPr>
      </w:pPr>
    </w:p>
    <w:p>
      <w:pPr>
        <w:ind w:left="700" w:hanging="697"/>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Excludes the operating data of the Silver Legacy, Circus Reno and Tamarack prior to the Acquisition Date.</w:t>
      </w:r>
    </w:p>
    <w:p>
      <w:pPr>
        <w:spacing w:after="0" w:line="196" w:lineRule="exact"/>
        <w:rPr>
          <w:rFonts w:ascii="Arial" w:cs="Arial" w:eastAsia="Arial" w:hAnsi="Arial"/>
          <w:sz w:val="17"/>
          <w:szCs w:val="17"/>
          <w:color w:val="auto"/>
        </w:rPr>
      </w:pPr>
    </w:p>
    <w:p>
      <w:pPr>
        <w:ind w:left="660" w:right="340" w:hanging="657"/>
        <w:spacing w:after="0" w:line="235" w:lineRule="auto"/>
        <w:tabs>
          <w:tab w:leader="none" w:pos="7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the end of each period presented. Total table games does not include poker games and total slot machines includes VLTs.</w:t>
      </w:r>
    </w:p>
    <w:p>
      <w:pPr>
        <w:spacing w:after="0" w:line="161" w:lineRule="exact"/>
        <w:rPr>
          <w:rFonts w:ascii="Arial" w:cs="Arial" w:eastAsia="Arial" w:hAnsi="Arial"/>
          <w:sz w:val="18"/>
          <w:szCs w:val="18"/>
          <w:color w:val="auto"/>
        </w:rPr>
      </w:pPr>
    </w:p>
    <w:p>
      <w:pPr>
        <w:ind w:left="860" w:hanging="857"/>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each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Eldorado Resorts, Inc. (“ERI” or the “Company”), a Nevada corporation,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 owned subsidiary of ERI and, as a result of such transactions, Resorts became an indirect wholly owned subsidiary of ERI.</w:t>
      </w:r>
    </w:p>
    <w:p>
      <w:pPr>
        <w:spacing w:after="0" w:line="165"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(the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Prior to the Acquisition Date, Resorts owned a 48.1% interest in the joint venture (the “Silver Legacy Joint Venture”) which owns the Silver Legacy Resort Casino (the “Silver Legacy”), a major themed hotel and casino situated between and seamlessly connected at the mezzanine level to the Eldorado Reno and Circus Reno, (collectively the “Reno Tri-Properties”), a hotel and casino previously owned and operated by Galleon, Inc., an indirect, wholly owned subsidiary of MGM Resorts International.</w:t>
      </w:r>
    </w:p>
    <w:p>
      <w:pPr>
        <w:spacing w:after="0" w:line="16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7"/>
          <w:szCs w:val="17"/>
          <w:color w:val="auto"/>
        </w:rPr>
        <w:t>On November 24, 2015, Resorts consummated the Circus Reno/Silver Legacy Purchase pursuant to that certain Purchase and Sale Agreement, dated as of July 7, 2015 (the “Purchase Agreement”), entered into by certain of our subsidiaries with Circus Circus Casinos, Inc. and Galleon, Inc., each an affiliate of MGM Resorts International, with respect to the acquisition. On the Acquisition Date, Eldorado Resorts LLC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162"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Merger, Resorts distributed to HoldCo, and HoldCo subsequently distributed to its members on a pro rata basis Resorts’ interest in Tamarack. No gain or loss was recognized in the accompanying consolidated financial statements as a result of such distribution because the distribution was in the amount of the book value of Tamarack and totaled $5.5 million.</w:t>
      </w:r>
    </w:p>
    <w:p>
      <w:pPr>
        <w:spacing w:after="0" w:line="16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 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89"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ERI, HoldCo and MTR Gaming are collectively referred to as “we,” “us,” “our” or the “Company.” The financial information included in this Item 7 for periods prior to the Acquisition Date are those of Resorts and its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including Eldorado Reno, Eldorado Shreveport, MTR Gaming and its interest in the Silver Legacy Joint Venture.</w:t>
      </w:r>
    </w:p>
    <w:p>
      <w:pPr>
        <w:spacing w:after="0" w:line="208"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Merger closed on the Merger Date and has been accounted for as a reverse acquisition of MTR Gaming by HoldCo under accounting principles generally accepted in the United States (“US GAAP”). As a result, HoldCo is considered the acquirer of MTR Gaming for accounting purposes. The financial information included in this Item 7 for periods prior to the Merger Date are those of HoldCo and its subsidiaries. The presentation of information herein for periods prior to the Merger Date and the Acquisition Date and after the Merger Date and Acquisition Date, respectively, are not fully comparable because the results of operations for MTR Gaming and Circus Reno are not included for periods prior to the Merger Date or Acquisition Date, respectively, and the results of operations of the Silver Legacy Joint Venture were not consolidated prior to the Acquisition Date. Summary financial results of MTR Gaming for the year ended December 31, 2014 and 2013 are included in MTR Gaming’s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as filed with the Securities and Exchange Commission (“SEC”).</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audited consolidated financial statements and the notes to those statements included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85"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Company has aggregated its operating segments into three reportable segments: Eldorado Reno, Silver Legacy and Circus Reno as Nevada, Eldorado Shreveport as Louisiana, and Scioto Downs, Presque Isle Downs and Mountaineer as Eastern.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89"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 following summary highlights the significant factors impacting our financial results during the years ended December 31, 2015, 2014 and 2013.</w:t>
      </w:r>
    </w:p>
    <w:p>
      <w:pPr>
        <w:spacing w:after="0" w:line="162" w:lineRule="exact"/>
        <w:rPr>
          <w:sz w:val="20"/>
          <w:szCs w:val="20"/>
          <w:color w:val="auto"/>
        </w:rPr>
      </w:pPr>
    </w:p>
    <w:p>
      <w:pPr>
        <w:ind w:left="760" w:right="60" w:hanging="109"/>
        <w:spacing w:after="0" w:line="21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MTR Gaming Merger </w:t>
      </w:r>
      <w:r>
        <w:rPr>
          <w:rFonts w:ascii="Arial" w:cs="Arial" w:eastAsia="Arial" w:hAnsi="Arial"/>
          <w:sz w:val="18"/>
          <w:szCs w:val="18"/>
          <w:color w:val="auto"/>
        </w:rPr>
        <w:t>- The Merger has been accounted for as a reverse acquisition of MTR Gaming by HoldCo</w:t>
      </w:r>
      <w:r>
        <w:rPr>
          <w:rFonts w:ascii="Arial" w:cs="Arial" w:eastAsia="Arial" w:hAnsi="Arial"/>
          <w:sz w:val="18"/>
          <w:szCs w:val="18"/>
          <w:i w:val="1"/>
          <w:iCs w:val="1"/>
          <w:color w:val="auto"/>
        </w:rPr>
        <w:t xml:space="preserve"> </w:t>
      </w:r>
      <w:r>
        <w:rPr>
          <w:rFonts w:ascii="Arial" w:cs="Arial" w:eastAsia="Arial" w:hAnsi="Arial"/>
          <w:sz w:val="18"/>
          <w:szCs w:val="18"/>
          <w:color w:val="auto"/>
        </w:rPr>
        <w:t>under accounting principles generally accepted in the United States. Our results of operations for the years ended December 31, 2015 and 2014 reflect incremental increases in revenues and expenses attributable to the addition of the MTR Gaming properties. Additionally, we incurred costs associated with the Merger totaling $7.4 million and $3.2 million in 2014 and 2013,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60" w:hanging="109"/>
        <w:spacing w:after="0" w:line="23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Circus Reno/Silver Legacy Purchase </w:t>
      </w:r>
      <w:r>
        <w:rPr>
          <w:rFonts w:ascii="Arial" w:cs="Arial" w:eastAsia="Arial" w:hAnsi="Arial"/>
          <w:sz w:val="16"/>
          <w:szCs w:val="16"/>
          <w:color w:val="auto"/>
        </w:rPr>
        <w:t>- Pursuant to the Purchase Agreement, ERI paid $80.2 million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comprised of the $72.5 million purchase price plus $7.7 million in working capital adjustments and the assumption of the amounts outstanding under Silver Legacy’s senior secured term loan facility. An additional $0.3 million was accrued as of Acquisition Date representing the final working capital adjustment. ERI funded the purchase price for the Acquisition and repaid the borrowings outstanding under the Silver Legacy Credit Faculty using a portion of the proceeds from the sale of its Senior Notes, borrowings under its revolving credit facility and cash on hand. Information presented prior to the Acquisition Date does not reflect the results of operations for Circus Reno, and only includes our interest in the Silver Legacy Joint Venture prior to the Acquisition as an investment in unconsolidated affiliate. As a result, incremental increases in revenues and expenses attributable to the addition of Circus Reno and Silver Legacy are reflected in our results of operations for the year ended December 31, 2015. In conjunction with the Acquisition, we incurred costs totaling $2.5 million and recorded a $35.6 million gain related to the valuation of our pre-acquisition investment in the Silver Legacy Joint Venture. We also expensed fees totaling $0.6 million, which are included in corporate costs, related to our equity offering initially intended to fund the Acquisition. These fees were expensed as a result of our election to fund the final component of the Acquisition with existing revolver capacity in lieu of an equity offering.</w:t>
      </w:r>
    </w:p>
    <w:p>
      <w:pPr>
        <w:spacing w:after="0" w:line="129" w:lineRule="exact"/>
        <w:rPr>
          <w:rFonts w:ascii="Arial" w:cs="Arial" w:eastAsia="Arial" w:hAnsi="Arial"/>
          <w:sz w:val="16"/>
          <w:szCs w:val="16"/>
          <w:color w:val="auto"/>
        </w:rPr>
      </w:pPr>
    </w:p>
    <w:p>
      <w:pPr>
        <w:ind w:left="760" w:right="100" w:hanging="109"/>
        <w:spacing w:after="0" w:line="23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Execution of Cost Savings Program </w:t>
      </w:r>
      <w:r>
        <w:rPr>
          <w:rFonts w:ascii="Arial" w:cs="Arial" w:eastAsia="Arial" w:hAnsi="Arial"/>
          <w:sz w:val="16"/>
          <w:szCs w:val="16"/>
          <w:color w:val="auto"/>
        </w:rPr>
        <w:t>– We identified several areas to improve property level and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margins through operating and cost efficiencies and exercising financial discipline throughout the Company without impacting the player experience. In addition to cost savings relating to duplicative executive compensation, legal and accounting fees and other corporate expenses that we have eliminated as a result of the Merger, we have achieved savings in marketing, food and beverage costs, selling, general and administrative expenses and other operating departments as a result of operating efficiencies and purchasing power of the combined MTR and Eldorado organization. These cost savings were reflected in our operating results for the year ended December 31, 2015 and exceeded our projected $10 million annual target a full quarter ahead of plan. Moreover, in addition to generating incremental revenues, we expect to realize savings resulting from cost synergies across the Reno Tri-Properties in 2016 as a result of the recent Acquisition.</w:t>
      </w:r>
    </w:p>
    <w:p>
      <w:pPr>
        <w:spacing w:after="0" w:line="122" w:lineRule="exact"/>
        <w:rPr>
          <w:rFonts w:ascii="Arial" w:cs="Arial" w:eastAsia="Arial" w:hAnsi="Arial"/>
          <w:sz w:val="16"/>
          <w:szCs w:val="16"/>
          <w:color w:val="auto"/>
        </w:rPr>
      </w:pPr>
    </w:p>
    <w:p>
      <w:pPr>
        <w:ind w:left="760" w:right="60" w:hanging="109"/>
        <w:spacing w:after="0" w:line="212"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Refinancing and Reduction in Interest Expense </w:t>
      </w:r>
      <w:r>
        <w:rPr>
          <w:rFonts w:ascii="Arial" w:cs="Arial" w:eastAsia="Arial" w:hAnsi="Arial"/>
          <w:sz w:val="18"/>
          <w:szCs w:val="18"/>
          <w:color w:val="auto"/>
        </w:rPr>
        <w:t>- In July 2015, we successfully refinanced all of our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debt we assumed in the Merger in 2014. We issued $375 million in Senior Notes and entered into a new $425 million term loan and a new $150 million revolving credit facility and applied the net proceeds to, among other things, purchase our Resorts senior secured notes and MTR second lien notes. The refinancing reduced our annualized cash interest payments by $35 million. As a result of the July 2015 refinancing, we recognized a $1.9 million net loss on the early retirement of debt. See “Liquidity and Capital Resources” for more information related to our recent refinancing.</w:t>
      </w:r>
    </w:p>
    <w:p>
      <w:pPr>
        <w:spacing w:after="0" w:line="124" w:lineRule="exact"/>
        <w:rPr>
          <w:rFonts w:ascii="Arial" w:cs="Arial" w:eastAsia="Arial" w:hAnsi="Arial"/>
          <w:sz w:val="18"/>
          <w:szCs w:val="18"/>
          <w:color w:val="auto"/>
        </w:rPr>
      </w:pPr>
    </w:p>
    <w:p>
      <w:pPr>
        <w:ind w:left="760" w:right="20" w:hanging="109"/>
        <w:spacing w:after="0" w:line="21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 2015, the Company recorded a $69.6 million net benefit for income taxes resulting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to its valuation allowance. This adjustment was based on management’s consideration of all evidence, including the positive impact of the Company’s recent refinancing and the Acquisition, related to the realization of its federal deferred tax assets. As a result, net income increased significantly in 2015 compared to 2014. (See “Income Taxes” below).</w:t>
      </w:r>
    </w:p>
    <w:p>
      <w:pPr>
        <w:spacing w:after="0" w:line="121" w:lineRule="exact"/>
        <w:rPr>
          <w:rFonts w:ascii="Arial" w:cs="Arial" w:eastAsia="Arial" w:hAnsi="Arial"/>
          <w:sz w:val="18"/>
          <w:szCs w:val="18"/>
          <w:color w:val="auto"/>
        </w:rPr>
      </w:pPr>
    </w:p>
    <w:p>
      <w:pPr>
        <w:ind w:left="760" w:right="60" w:hanging="109"/>
        <w:spacing w:after="0" w:line="223"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West Virginia Smoking Ban - </w:t>
      </w:r>
      <w:r>
        <w:rPr>
          <w:rFonts w:ascii="Arial" w:cs="Arial" w:eastAsia="Arial" w:hAnsi="Arial"/>
          <w:sz w:val="17"/>
          <w:szCs w:val="17"/>
          <w:color w:val="auto"/>
        </w:rPr>
        <w:t>On August 26, 2014, the Board of Health of Hancock County, West Virginia adopted</w:t>
      </w:r>
      <w:r>
        <w:rPr>
          <w:rFonts w:ascii="Arial" w:cs="Arial" w:eastAsia="Arial" w:hAnsi="Arial"/>
          <w:sz w:val="17"/>
          <w:szCs w:val="17"/>
          <w:i w:val="1"/>
          <w:iCs w:val="1"/>
          <w:color w:val="auto"/>
        </w:rPr>
        <w:t xml:space="preserve"> </w:t>
      </w:r>
      <w:r>
        <w:rPr>
          <w:rFonts w:ascii="Arial" w:cs="Arial" w:eastAsia="Arial" w:hAnsi="Arial"/>
          <w:sz w:val="17"/>
          <w:szCs w:val="17"/>
          <w:color w:val="auto"/>
        </w:rPr>
        <w:t>and approved the Clean Air Regulation Act of 2014 (“Regulation”), which became effective July 1, 2015. The Regulation bans smoking in public places in Hancock County including at Mountaineer. To comply with the Regulation upon its effective date, Mountaineer built a 9,300 square foot smoking pavilion which opened on July 1, 2015 and currently houses 261 slot machines and six table games. Notwithstanding our efforts to mitigate the impact of the smoking ban, the Regulation has had a negative impact on our business and results of operations at Mountaineer and we expect that it will continue to negatively impact our business and results of operations and that such impact may be material.</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60" w:hanging="109"/>
        <w:spacing w:after="0" w:line="180" w:lineRule="exact"/>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Major Bowling Tournaments in the Reno Market - </w:t>
      </w:r>
      <w:r>
        <w:rPr>
          <w:rFonts w:ascii="Arial" w:cs="Arial" w:eastAsia="Arial" w:hAnsi="Arial"/>
          <w:sz w:val="17"/>
          <w:szCs w:val="17"/>
          <w:color w:val="auto"/>
        </w:rPr>
        <w:t>The National Bowling Stadium, located one block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Reno Tri-Properties is one of the largest bowling complexes in North America and has been selected to host multi</w:t>
      </w:r>
      <w:r>
        <w:rPr>
          <w:rFonts w:ascii="MS PGothic" w:cs="MS PGothic" w:eastAsia="MS PGothic" w:hAnsi="MS PGothic"/>
          <w:sz w:val="17"/>
          <w:szCs w:val="17"/>
          <w:color w:val="auto"/>
        </w:rPr>
        <w:t>‑</w:t>
      </w:r>
      <w:r>
        <w:rPr>
          <w:rFonts w:ascii="Arial" w:cs="Arial" w:eastAsia="Arial" w:hAnsi="Arial"/>
          <w:sz w:val="17"/>
          <w:szCs w:val="17"/>
          <w:color w:val="auto"/>
        </w:rPr>
        <w:t>month tournaments every year through 2018 except for 2017. It has also been selected to host ten United States Bowling Congress (“USBC”) tournaments from 2019 through 2026. During this period, two of the ten USBC Tournaments may be held in the same year. Historically, these multi</w:t>
      </w:r>
      <w:r>
        <w:rPr>
          <w:rFonts w:ascii="MS PGothic" w:cs="MS PGothic" w:eastAsia="MS PGothic" w:hAnsi="MS PGothic"/>
          <w:sz w:val="17"/>
          <w:szCs w:val="17"/>
          <w:color w:val="auto"/>
        </w:rPr>
        <w:t>‑</w:t>
      </w:r>
      <w:r>
        <w:rPr>
          <w:rFonts w:ascii="Arial" w:cs="Arial" w:eastAsia="Arial" w:hAnsi="Arial"/>
          <w:sz w:val="17"/>
          <w:szCs w:val="17"/>
          <w:color w:val="auto"/>
        </w:rPr>
        <w:t>month bowling tournaments have attracted a significant number of visitors to the Reno market and have benefited business in the downtown area, including the Reno Tri-Properties. The USBC Tournaments returned to Reno in 2014 and brought approximately 62,000 bowlers to the Reno area during the 2014 tournament period which began on February 28th and continued through July 12th. The USBC Tournament attracted approximately 15,600 women bowlers to the Reno market from March to July in 2015. This decline in bowler attendance resulted in lower hotel occupancy in the downtown Reno market during the tournament period in comparison to the same prior year period. Both tournaments return to Reno in 2016 and are expected to attract approximately 38,000 bowlers beginning in March and continuing through July 10th.</w:t>
      </w:r>
    </w:p>
    <w:p>
      <w:pPr>
        <w:spacing w:after="0" w:line="344" w:lineRule="exact"/>
        <w:rPr>
          <w:rFonts w:ascii="Arial" w:cs="Arial" w:eastAsia="Arial" w:hAnsi="Arial"/>
          <w:sz w:val="17"/>
          <w:szCs w:val="17"/>
          <w:color w:val="auto"/>
        </w:rPr>
      </w:pPr>
    </w:p>
    <w:p>
      <w:pPr>
        <w:ind w:left="760" w:right="160" w:hanging="109"/>
        <w:spacing w:after="0" w:line="237"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Property Enhancement Capital Expenditures </w:t>
      </w:r>
      <w:r>
        <w:rPr>
          <w:rFonts w:ascii="Arial" w:cs="Arial" w:eastAsia="Arial" w:hAnsi="Arial"/>
          <w:sz w:val="16"/>
          <w:szCs w:val="16"/>
          <w:color w:val="auto"/>
        </w:rPr>
        <w:t>- We began to realize the benefits of our property enhancement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initiatives that targeted product and service offering upgrades across our entire portfolio during the fourth quarter of 2015 as all of them were completed by year-end and helped drive increased volume to our properties. Most notably, the opening of </w:t>
      </w:r>
      <w:r>
        <w:rPr>
          <w:rFonts w:ascii="Arial" w:cs="Arial" w:eastAsia="Arial" w:hAnsi="Arial"/>
          <w:sz w:val="16"/>
          <w:szCs w:val="16"/>
          <w:i w:val="1"/>
          <w:iCs w:val="1"/>
          <w:color w:val="auto"/>
        </w:rPr>
        <w:t>The Brew Brothers</w:t>
      </w:r>
      <w:r>
        <w:rPr>
          <w:rFonts w:ascii="Arial" w:cs="Arial" w:eastAsia="Arial" w:hAnsi="Arial"/>
          <w:sz w:val="16"/>
          <w:szCs w:val="16"/>
          <w:color w:val="auto"/>
        </w:rPr>
        <w:t>, our restaurant and microbrewery at Scioto Downs, provided a meaningful increase in traffic and slot revenues in 2015. Additionally, we completed a $5.0 million five-phase design and facility enhancement program at Presque Isle Downs that added a new casino center bar, an improved high limit gaming area and new slot product. In 2015, over 200 rooms were remodeled at Eldorado Reno and we completely refurbished the exterior of the Eldorado Shreveport.</w:t>
      </w:r>
    </w:p>
    <w:p>
      <w:pPr>
        <w:spacing w:after="0" w:line="126" w:lineRule="exact"/>
        <w:rPr>
          <w:rFonts w:ascii="Arial" w:cs="Arial" w:eastAsia="Arial" w:hAnsi="Arial"/>
          <w:sz w:val="16"/>
          <w:szCs w:val="16"/>
          <w:color w:val="auto"/>
        </w:rPr>
      </w:pPr>
    </w:p>
    <w:p>
      <w:pPr>
        <w:ind w:left="760" w:right="20" w:hanging="109"/>
        <w:spacing w:after="0" w:line="235"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Competition - </w:t>
      </w:r>
      <w:r>
        <w:rPr>
          <w:rFonts w:ascii="Arial" w:cs="Arial" w:eastAsia="Arial" w:hAnsi="Arial"/>
          <w:sz w:val="18"/>
          <w:szCs w:val="18"/>
          <w:color w:val="auto"/>
        </w:rPr>
        <w:t>Our results of operations over the past three years have been adversely impacted by the expansion of</w:t>
      </w:r>
      <w:r>
        <w:rPr>
          <w:rFonts w:ascii="Arial" w:cs="Arial" w:eastAsia="Arial" w:hAnsi="Arial"/>
          <w:sz w:val="18"/>
          <w:szCs w:val="18"/>
          <w:i w:val="1"/>
          <w:iCs w:val="1"/>
          <w:color w:val="auto"/>
        </w:rPr>
        <w:t xml:space="preserve"> </w:t>
      </w:r>
      <w:r>
        <w:rPr>
          <w:rFonts w:ascii="Arial" w:cs="Arial" w:eastAsia="Arial" w:hAnsi="Arial"/>
          <w:sz w:val="18"/>
          <w:szCs w:val="18"/>
          <w:color w:val="auto"/>
        </w:rPr>
        <w:t>Native American gaming and the expansion of gaming in our regional markets.</w:t>
      </w:r>
    </w:p>
    <w:p>
      <w:pPr>
        <w:spacing w:after="0" w:line="121" w:lineRule="exact"/>
        <w:rPr>
          <w:sz w:val="20"/>
          <w:szCs w:val="20"/>
          <w:color w:val="auto"/>
        </w:rPr>
      </w:pPr>
    </w:p>
    <w:p>
      <w:pPr>
        <w:ind w:left="980" w:right="40" w:firstLine="648"/>
        <w:spacing w:after="0" w:line="181" w:lineRule="exact"/>
        <w:rPr>
          <w:sz w:val="20"/>
          <w:szCs w:val="20"/>
          <w:color w:val="auto"/>
        </w:rPr>
      </w:pPr>
      <w:r>
        <w:rPr>
          <w:rFonts w:ascii="Arial" w:cs="Arial" w:eastAsia="Arial" w:hAnsi="Arial"/>
          <w:sz w:val="16"/>
          <w:szCs w:val="16"/>
          <w:b w:val="1"/>
          <w:bCs w:val="1"/>
          <w:i w:val="1"/>
          <w:iCs w:val="1"/>
          <w:color w:val="auto"/>
        </w:rPr>
        <w:t xml:space="preserve">Nevada. </w:t>
      </w:r>
      <w:r>
        <w:rPr>
          <w:rFonts w:ascii="Arial" w:cs="Arial" w:eastAsia="Arial" w:hAnsi="Arial"/>
          <w:sz w:val="16"/>
          <w:szCs w:val="16"/>
          <w:color w:val="auto"/>
        </w:rPr>
        <w:t>A significant portion of our revenues and operating income are generated from patrons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residents of northern California, and as such, our operations have been adversely impacted by the growth in Native American gaming in northern California. Many existing Native American gaming facilities in northern California are modest compared to the Reno Tri-Properties. However, a number of Native American tribes have established large</w:t>
      </w:r>
      <w:r>
        <w:rPr>
          <w:rFonts w:ascii="MS PGothic" w:cs="MS PGothic" w:eastAsia="MS PGothic" w:hAnsi="MS PGothic"/>
          <w:sz w:val="16"/>
          <w:szCs w:val="16"/>
          <w:color w:val="auto"/>
        </w:rPr>
        <w:t>‑</w:t>
      </w:r>
      <w:r>
        <w:rPr>
          <w:rFonts w:ascii="Arial" w:cs="Arial" w:eastAsia="Arial" w:hAnsi="Arial"/>
          <w:sz w:val="16"/>
          <w:szCs w:val="16"/>
          <w:color w:val="auto"/>
        </w:rPr>
        <w:t>scale gaming facilities in California and some Native American tribes have announced that they are in the process of expanding, developing, or are considering establishing, large</w:t>
      </w:r>
      <w:r>
        <w:rPr>
          <w:rFonts w:ascii="MS PGothic" w:cs="MS PGothic" w:eastAsia="MS PGothic" w:hAnsi="MS PGothic"/>
          <w:sz w:val="16"/>
          <w:szCs w:val="16"/>
          <w:color w:val="auto"/>
        </w:rPr>
        <w:t>‑</w:t>
      </w:r>
      <w:r>
        <w:rPr>
          <w:rFonts w:ascii="Arial" w:cs="Arial" w:eastAsia="Arial" w:hAnsi="Arial"/>
          <w:sz w:val="16"/>
          <w:szCs w:val="16"/>
          <w:color w:val="auto"/>
        </w:rPr>
        <w:t>scale hotel and gaming facilities in northern California. As northern California Native American gaming operations have expanded, we believe the increasing competition generated by these gaming operations has had a negative impact, principally on drive</w:t>
      </w:r>
      <w:r>
        <w:rPr>
          <w:rFonts w:ascii="MS PGothic" w:cs="MS PGothic" w:eastAsia="MS PGothic" w:hAnsi="MS PGothic"/>
          <w:sz w:val="16"/>
          <w:szCs w:val="16"/>
          <w:color w:val="auto"/>
        </w:rPr>
        <w:t>‑</w:t>
      </w:r>
      <w:r>
        <w:rPr>
          <w:rFonts w:ascii="Arial" w:cs="Arial" w:eastAsia="Arial" w:hAnsi="Arial"/>
          <w:sz w:val="16"/>
          <w:szCs w:val="16"/>
          <w:color w:val="auto"/>
        </w:rPr>
        <w:t>in, day</w:t>
      </w:r>
      <w:r>
        <w:rPr>
          <w:rFonts w:ascii="MS PGothic" w:cs="MS PGothic" w:eastAsia="MS PGothic" w:hAnsi="MS PGothic"/>
          <w:sz w:val="16"/>
          <w:szCs w:val="16"/>
          <w:color w:val="auto"/>
        </w:rPr>
        <w:t>‑</w:t>
      </w:r>
      <w:r>
        <w:rPr>
          <w:rFonts w:ascii="Arial" w:cs="Arial" w:eastAsia="Arial" w:hAnsi="Arial"/>
          <w:sz w:val="16"/>
          <w:szCs w:val="16"/>
          <w:color w:val="auto"/>
        </w:rPr>
        <w:t>trip visitor traffic from our main feeder markets in northern California. A 320,000 square foot gaming facility located in Sonoma County, California opened on November 5, 2013.</w:t>
      </w:r>
    </w:p>
    <w:p>
      <w:pPr>
        <w:spacing w:after="0" w:line="163" w:lineRule="exact"/>
        <w:rPr>
          <w:sz w:val="20"/>
          <w:szCs w:val="20"/>
          <w:color w:val="auto"/>
        </w:rPr>
      </w:pPr>
    </w:p>
    <w:p>
      <w:pPr>
        <w:ind w:left="980" w:right="20" w:firstLine="648"/>
        <w:spacing w:after="0" w:line="180" w:lineRule="exact"/>
        <w:rPr>
          <w:sz w:val="20"/>
          <w:szCs w:val="20"/>
          <w:color w:val="auto"/>
        </w:rPr>
      </w:pPr>
      <w:r>
        <w:rPr>
          <w:rFonts w:ascii="Arial" w:cs="Arial" w:eastAsia="Arial" w:hAnsi="Arial"/>
          <w:sz w:val="16"/>
          <w:szCs w:val="16"/>
          <w:b w:val="1"/>
          <w:bCs w:val="1"/>
          <w:i w:val="1"/>
          <w:iCs w:val="1"/>
          <w:color w:val="auto"/>
        </w:rPr>
        <w:t xml:space="preserve">Louisiana. </w:t>
      </w:r>
      <w:r>
        <w:rPr>
          <w:rFonts w:ascii="Arial" w:cs="Arial" w:eastAsia="Arial" w:hAnsi="Arial"/>
          <w:sz w:val="16"/>
          <w:szCs w:val="16"/>
          <w:color w:val="auto"/>
        </w:rPr>
        <w:t>Casino gaming is currently prohibited in several jurisdictions from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Shreveport/Bossier City market draws customers, primarily Texas. Although casino gaming is currently not permitted in Texas, the Texas legislature has from time to time considered proposals to authorize casino gaming and there can be no assurance that casino gaming will not be approved in Texas in the future, which would have a material adverse effect on our business. Eldorado Shreveport competes with several Native American casinos located in Oklahoma, certain of which are located near our core Texas markets. Because we draw a significant amount of our customers from the Dallas/Fort Worth area, but are located approximately 190 miles from that area, we believe we will continue to face increased competition from gaming operations in Oklahoma, including the WinStar and Choctaw casinos, and would face significant competition that may have a material adverse effect on our business and results of operations if casino gaming is approved in Texas. In June 2013, construction was completed on a 30,000 square foot casino and 400</w:t>
      </w:r>
      <w:r>
        <w:rPr>
          <w:rFonts w:ascii="MS PGothic" w:cs="MS PGothic" w:eastAsia="MS PGothic" w:hAnsi="MS PGothic"/>
          <w:sz w:val="16"/>
          <w:szCs w:val="16"/>
          <w:color w:val="auto"/>
        </w:rPr>
        <w:t>‑</w:t>
      </w:r>
      <w:r>
        <w:rPr>
          <w:rFonts w:ascii="Arial" w:cs="Arial" w:eastAsia="Arial" w:hAnsi="Arial"/>
          <w:sz w:val="16"/>
          <w:szCs w:val="16"/>
          <w:color w:val="auto"/>
        </w:rPr>
        <w:t>room hotel in Bossier City across the Red River from Eldorado Shreveport. The facility, which also includes several restaurants and a 1,000</w:t>
      </w:r>
      <w:r>
        <w:rPr>
          <w:rFonts w:ascii="MS PGothic" w:cs="MS PGothic" w:eastAsia="MS PGothic" w:hAnsi="MS PGothic"/>
          <w:sz w:val="16"/>
          <w:szCs w:val="16"/>
          <w:color w:val="auto"/>
        </w:rPr>
        <w:t>‑</w:t>
      </w:r>
      <w:r>
        <w:rPr>
          <w:rFonts w:ascii="Arial" w:cs="Arial" w:eastAsia="Arial" w:hAnsi="Arial"/>
          <w:sz w:val="16"/>
          <w:szCs w:val="16"/>
          <w:color w:val="auto"/>
        </w:rPr>
        <w:t>seat entertainment arena, opened on June 15, 2013. In December 2014, a new luxury, land</w:t>
      </w:r>
      <w:r>
        <w:rPr>
          <w:rFonts w:ascii="MS PGothic" w:cs="MS PGothic" w:eastAsia="MS PGothic" w:hAnsi="MS PGothic"/>
          <w:sz w:val="16"/>
          <w:szCs w:val="16"/>
          <w:color w:val="auto"/>
        </w:rPr>
        <w:t>‑</w:t>
      </w:r>
      <w:r>
        <w:rPr>
          <w:rFonts w:ascii="Arial" w:cs="Arial" w:eastAsia="Arial" w:hAnsi="Arial"/>
          <w:sz w:val="16"/>
          <w:szCs w:val="16"/>
          <w:color w:val="auto"/>
        </w:rPr>
        <w:t>based casino with 1,600 slot machines, 72 gaming tables, a poker room, and a</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140"/>
        <w:spacing w:after="0" w:line="203" w:lineRule="exact"/>
        <w:rPr>
          <w:sz w:val="20"/>
          <w:szCs w:val="20"/>
          <w:color w:val="auto"/>
        </w:rPr>
      </w:pPr>
      <w:r>
        <w:rPr>
          <w:rFonts w:ascii="Arial" w:cs="Arial" w:eastAsia="Arial" w:hAnsi="Arial"/>
          <w:sz w:val="18"/>
          <w:szCs w:val="18"/>
          <w:color w:val="auto"/>
        </w:rPr>
        <w:t>740</w:t>
      </w:r>
      <w:r>
        <w:rPr>
          <w:rFonts w:ascii="MS PGothic" w:cs="MS PGothic" w:eastAsia="MS PGothic" w:hAnsi="MS PGothic"/>
          <w:sz w:val="18"/>
          <w:szCs w:val="18"/>
          <w:color w:val="auto"/>
        </w:rPr>
        <w:t>‑</w:t>
      </w:r>
      <w:r>
        <w:rPr>
          <w:rFonts w:ascii="Arial" w:cs="Arial" w:eastAsia="Arial" w:hAnsi="Arial"/>
          <w:sz w:val="18"/>
          <w:szCs w:val="18"/>
          <w:color w:val="auto"/>
        </w:rPr>
        <w:t>room hotel with a ballroom and spa, opened in Lake Charles, Louisiana approximately 200 miles south of Eldorado Shreveport, but closer to the Houston, Texas market.</w:t>
      </w:r>
    </w:p>
    <w:p>
      <w:pPr>
        <w:spacing w:after="0" w:line="162" w:lineRule="exact"/>
        <w:rPr>
          <w:sz w:val="20"/>
          <w:szCs w:val="20"/>
          <w:color w:val="auto"/>
        </w:rPr>
      </w:pPr>
    </w:p>
    <w:p>
      <w:pPr>
        <w:ind w:left="980" w:right="40" w:firstLine="648"/>
        <w:spacing w:after="0" w:line="222" w:lineRule="auto"/>
        <w:rPr>
          <w:sz w:val="20"/>
          <w:szCs w:val="20"/>
          <w:color w:val="auto"/>
        </w:rPr>
      </w:pPr>
      <w:r>
        <w:rPr>
          <w:rFonts w:ascii="Arial" w:cs="Arial" w:eastAsia="Arial" w:hAnsi="Arial"/>
          <w:sz w:val="17"/>
          <w:szCs w:val="17"/>
          <w:b w:val="1"/>
          <w:bCs w:val="1"/>
          <w:i w:val="1"/>
          <w:iCs w:val="1"/>
          <w:color w:val="auto"/>
        </w:rPr>
        <w:t xml:space="preserve">Eastern. </w:t>
      </w:r>
      <w:r>
        <w:rPr>
          <w:rFonts w:ascii="Arial" w:cs="Arial" w:eastAsia="Arial" w:hAnsi="Arial"/>
          <w:sz w:val="17"/>
          <w:szCs w:val="17"/>
          <w:color w:val="auto"/>
        </w:rPr>
        <w:t>The MTR Gaming properties experience varying competitive pressures, from casinos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western Pennsylvania, western New York, northern West Virginia and Ohio. We believe the expansion of gaming in Ohio, which includes casinos that opened in Cleveland in May 2012 and Columbus in October 2012 and additional casinos in Cincinnati and Toledo, as well as the installation of VLTs at existing horse race tracks near Cleveland, one of which opened in April 2013 and the other in December 2013 and the relocation of a racetrack to Austintown, Ohio, which opened in September 2014, has had and will continue to have a negative impact on our results of operations at all our properties and such impact may be material. In order to sustain our market share in the increased competitive environment, we continuously reevaluate our advertising strategies and promotional offers to our guests to ensure our reinvestment levels reflect the appropriate level of offerings to sustain our margins.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2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Change %</w:t>
            </w:r>
          </w:p>
        </w:tc>
      </w:tr>
      <w:tr>
        <w:trPr>
          <w:trHeight w:val="129"/>
        </w:trPr>
        <w:tc>
          <w:tcPr>
            <w:tcW w:w="28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8"/>
              <w:spacing w:after="0" w:line="129"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2015 vs 2014</w:t>
            </w:r>
          </w:p>
        </w:tc>
        <w:tc>
          <w:tcPr>
            <w:tcW w:w="24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w w:val="98"/>
              </w:rPr>
              <w:t>2014 vs 2013</w:t>
            </w:r>
          </w:p>
        </w:tc>
      </w:tr>
      <w:tr>
        <w:trPr>
          <w:trHeight w:val="19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Net revenues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719,784</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361,823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247,186</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46.4 %</w:t>
            </w:r>
          </w:p>
        </w:tc>
      </w:tr>
      <w:tr>
        <w:trPr>
          <w:trHeight w:val="216"/>
        </w:trPr>
        <w:tc>
          <w:tcPr>
            <w:tcW w:w="2840" w:type="dxa"/>
            <w:vAlign w:val="bottom"/>
          </w:tcPr>
          <w:p>
            <w:pPr>
              <w:spacing w:after="0"/>
              <w:rPr>
                <w:sz w:val="20"/>
                <w:szCs w:val="20"/>
                <w:color w:val="auto"/>
              </w:rPr>
            </w:pPr>
            <w:r>
              <w:rPr>
                <w:rFonts w:ascii="Arial" w:cs="Arial" w:eastAsia="Arial" w:hAnsi="Arial"/>
                <w:sz w:val="14"/>
                <w:szCs w:val="14"/>
                <w:color w:val="auto"/>
              </w:rPr>
              <w:t>Operating income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72,516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17,555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22,582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313.1</w:t>
            </w: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attributable to ERI</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891.6</w:t>
            </w:r>
          </w:p>
        </w:tc>
        <w:tc>
          <w:tcPr>
            <w:tcW w:w="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(176.3)%</w:t>
            </w:r>
          </w:p>
        </w:tc>
      </w:tr>
    </w:tbl>
    <w:p>
      <w:pPr>
        <w:spacing w:after="0" w:line="188"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i w:val="1"/>
          <w:iCs w:val="1"/>
          <w:color w:val="auto"/>
        </w:rPr>
        <w:t xml:space="preserve">Operating Results. </w:t>
      </w:r>
      <w:r>
        <w:rPr>
          <w:rFonts w:ascii="Arial" w:cs="Arial" w:eastAsia="Arial" w:hAnsi="Arial"/>
          <w:sz w:val="16"/>
          <w:szCs w:val="16"/>
          <w:color w:val="auto"/>
        </w:rPr>
        <w:t>Our net revenues increased 98.9% and 46.4% in 2015 and 2014, respectively, over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periods primarily due to incremental revenues, consisting primarily of casino revenues, attributable to the aforementioned Merger and Acquisition. Improvements in revenues in Louisiana and Nevada also contributed to the increase in net revenues in 2015 compared to 2014. Operating income increased 313.1% in 2015 compared to 2014 as a result of post-closing operating activity resulting from the Merger and Acquisition while operating income declined in 2014 compared to 2013 primarily due to costs associated with the Merger combined with higher depreciation expense. Net income increased 891.6% in 2015 compared to 2014 as a result of the same factors impacting operating income combined with a $35.6 million gain related to the valuation of the Silver Legacy Joint Venture in conjunction with the Acquisition and the aforementioned $69.6 million in benefit for income taxes recorded in 2015. The decline in net income of 176.3% in 2014 compared to 2013 was due to the increase in interest expense associated with the Merger, a decline in the gain on retirement of debt of unconsolidated affiliate and the establishment of a tax provision in 2014 resulting from the Merger.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Revenues and Operating Income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highlights our net revenues and operating income by reportable segment (dollars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4"/>
                <w:szCs w:val="14"/>
                <w:b w:val="1"/>
                <w:bCs w:val="1"/>
                <w:color w:val="auto"/>
                <w:w w:val="95"/>
              </w:rPr>
              <w:t>Net Revenues for the Year Ended December 31,</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jc w:val="right"/>
              <w:ind w:right="133"/>
              <w:spacing w:after="0"/>
              <w:rPr>
                <w:sz w:val="20"/>
                <w:szCs w:val="20"/>
                <w:color w:val="auto"/>
              </w:rPr>
            </w:pPr>
            <w:r>
              <w:rPr>
                <w:rFonts w:ascii="Arial" w:cs="Arial" w:eastAsia="Arial" w:hAnsi="Arial"/>
                <w:sz w:val="14"/>
                <w:szCs w:val="14"/>
                <w:b w:val="1"/>
                <w:bCs w:val="1"/>
                <w:color w:val="auto"/>
                <w:w w:val="94"/>
              </w:rPr>
              <w:t>Operating Income for the Year Ended December 31,</w:t>
            </w:r>
          </w:p>
        </w:tc>
      </w:tr>
      <w:tr>
        <w:trPr>
          <w:trHeight w:val="210"/>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10"/>
        </w:trPr>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127,802</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103,695</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Louisiana</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136,342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133,960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140,495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17,726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455,640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719,784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w:t>
            </w:r>
          </w:p>
        </w:tc>
      </w:tr>
      <w:tr>
        <w:trPr>
          <w:trHeight w:val="27"/>
        </w:trPr>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4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Variance</w:t>
            </w:r>
          </w:p>
        </w:tc>
        <w:tc>
          <w:tcPr>
            <w:tcW w:w="8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Percent</w:t>
            </w:r>
          </w:p>
        </w:tc>
      </w:tr>
      <w:tr>
        <w:trPr>
          <w:trHeight w:val="210"/>
        </w:trPr>
        <w:tc>
          <w:tcPr>
            <w:tcW w:w="43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Gaming and Pari-Mutuel Commissions: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Nevada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61,946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12,680</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20.5 %</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423,261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115,660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307,601</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266.0 %</w:t>
            </w:r>
          </w:p>
        </w:tc>
      </w:tr>
      <w:tr>
        <w:trPr>
          <w:trHeight w:val="210"/>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623,258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300,834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322,424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Non-gaming:</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259.0 %</w:t>
            </w:r>
          </w:p>
        </w:tc>
      </w:tr>
      <w:tr>
        <w:trPr>
          <w:trHeight w:val="21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161,283</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109,438</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51,845</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784,541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374,269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228.0 %</w:t>
            </w:r>
          </w:p>
        </w:tc>
      </w:tr>
      <w:tr>
        <w:trPr>
          <w:trHeight w:val="21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Promotional Allowances</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(64,757)</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719,784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361,823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357,961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Gaming and Pari-Mutuel Commissions: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18.2 %</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264,811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194,599</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277.2 %</w:t>
            </w:r>
          </w:p>
        </w:tc>
      </w:tr>
      <w:tr>
        <w:trPr>
          <w:trHeight w:val="210"/>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367,545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170,203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Non-gaming</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159.5 %</w:t>
            </w:r>
          </w:p>
        </w:tc>
      </w:tr>
      <w:tr>
        <w:trPr>
          <w:trHeight w:val="21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79,238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55,295</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23,943</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42.1 %</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64.9 %</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Corporate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11,852</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256.7 %</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98.7 %</w:t>
            </w:r>
          </w:p>
        </w:tc>
      </w:tr>
      <w:tr>
        <w:trPr>
          <w:trHeight w:val="210"/>
        </w:trPr>
        <w:tc>
          <w:tcPr>
            <w:tcW w:w="43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648,270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339,478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308,792</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Nevada gaming revenues increased $12.7 million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2014 primarily due to incremental gaming revenues attributable to Circus Reno and Silver Legacy from the Acquisition Date through December 31, 2015 combined with improvements in gaming revenues at Eldorado Reno. Gaming revenues increased $2.1 million in 2015 compared to 2014 in Louisiana due to higher slot revenues. The Eastern segment recorded $423.3 million of gaming revenues and pari-mutuel commissions in 2015 resulting in a 266.0% increase compared to 2014 primarily due to inclusion of a full year of operating results for the properties in the Eastern segment, but also due to improvements in gaming revenues at Scioto Downs, which were offset by declines in revenues at Mountaineer and a slight decline in gaming revenues at Presque Isle Downs. As a result, total gaming revenues and pari-mutuel commissions increased 107.2% in 2015 compared to 2014.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i w:val="1"/>
          <w:iCs w:val="1"/>
          <w:color w:val="auto"/>
        </w:rPr>
        <w:t xml:space="preserve">Non-gaming Revenues. </w:t>
      </w:r>
      <w:r>
        <w:rPr>
          <w:rFonts w:ascii="Arial" w:cs="Arial" w:eastAsia="Arial" w:hAnsi="Arial"/>
          <w:sz w:val="16"/>
          <w:szCs w:val="16"/>
          <w:color w:val="auto"/>
        </w:rPr>
        <w:t>Non-gaming revenues increased $51.8 million in 2015 compared to 2014 and was driven by</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non-gaming revenues consisting of food, beverage, hotel, entertainment, retail and other primarily as a result of the Merger and Acquisition and also reflect an increase in non-gaming revenues at Eldorado Reno in the Nevada segment. The Louisiana segment reported flat non-gaming revenues in 2015 compared to 2014 while the Eastern segment posted a decline resulting from improvements at Scioto Downs and Presque Isle Downs offset by declines at Mountaineer.</w:t>
      </w:r>
    </w:p>
    <w:p>
      <w:pPr>
        <w:spacing w:after="0" w:line="159"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i w:val="1"/>
          <w:iCs w:val="1"/>
          <w:color w:val="auto"/>
        </w:rPr>
        <w:t xml:space="preserve">Promotional Allowances. </w:t>
      </w:r>
      <w:r>
        <w:rPr>
          <w:rFonts w:ascii="Arial" w:cs="Arial" w:eastAsia="Arial" w:hAnsi="Arial"/>
          <w:sz w:val="17"/>
          <w:szCs w:val="17"/>
          <w:color w:val="auto"/>
        </w:rPr>
        <w:t>Promotional allowances, expressed as a percentage of gaming revenues and pari-mutuel</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decreased to 10.4% in 2015 compared to 16.1% in 2014. Nevada promotional allowances, as a percentage of segment revenues, were relatively flat in 2015 compared to 2014. Promotional allowances decreased slightly in Louisiana despite an increase in gaming revenues, and Eastern promotional allowances declined to 4.6% as a percentage of the segment’s gaming revenues and pari-mutuel commissions compared to 5.1% in 2014. Reductions in the overall percentage, specifically in the Louisiana and Eastern segments, were due to strategic revisions to our casino marketing programs in 2015 in an effort to increase margins and maximize profitability.</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Nevada gaming expenses increased $5.1 million in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2014 primarily due to incremental gaming expenses generated as a result of the Acquisition, but reflect a reduction of casino marketing costs at Eldorado Reno. Louisiana gaming expenses decreased 3.2% in 2015 compared to 2014 despite a 1.7% increase in gaming revenues due to efforts to reduce variable costs including promotional offers, direct mail and marketing expenses. The Eastern segment recorded $264.8 million of gaming expenses and pari-mutuel commissions in 2015 compared to $70.2 million in 2014 due to the inclusion of results of operations for the full year for the properties in the Eastern segment, but reflect a reduction in operational expenses, including payroll, associated with our cost savings program. As a result, total gaming expenses and pari-mutuel commissions increased 115.9% in 2015 compared to 2014 mainly due to incremental costs associated with the Acquisition and Merger, offset by the aforementioned declines in each segment.</w:t>
      </w:r>
    </w:p>
    <w:p>
      <w:pPr>
        <w:spacing w:after="0" w:line="16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i w:val="1"/>
          <w:iCs w:val="1"/>
          <w:color w:val="auto"/>
        </w:rPr>
        <w:t>Non-gaming Expenses</w:t>
      </w:r>
      <w:r>
        <w:rPr>
          <w:rFonts w:ascii="Arial" w:cs="Arial" w:eastAsia="Arial" w:hAnsi="Arial"/>
          <w:sz w:val="16"/>
          <w:szCs w:val="16"/>
          <w:color w:val="auto"/>
        </w:rPr>
        <w:t>. Non-gaming expenses increased $23.9 million in 2015 compared to 2014, of which Nevada</w:t>
      </w:r>
      <w:r>
        <w:rPr>
          <w:rFonts w:ascii="Arial" w:cs="Arial" w:eastAsia="Arial" w:hAnsi="Arial"/>
          <w:sz w:val="16"/>
          <w:szCs w:val="16"/>
          <w:i w:val="1"/>
          <w:iCs w:val="1"/>
          <w:color w:val="auto"/>
        </w:rPr>
        <w:t xml:space="preserve"> </w:t>
      </w:r>
      <w:r>
        <w:rPr>
          <w:rFonts w:ascii="Arial" w:cs="Arial" w:eastAsia="Arial" w:hAnsi="Arial"/>
          <w:sz w:val="16"/>
          <w:szCs w:val="16"/>
          <w:color w:val="auto"/>
        </w:rPr>
        <w:t>non-gaming expenses increased $6.1 million due to incremental expenses incurred as a result of the Acquisition but reflect a reduction of food and entertainment expenses at Eldorado Reno. Non-gaming expenses in Louisiana decreased slightly in 2015 compared to 2014 due to lower food and beverage expenses associated with a decline in customer counts. The Eastern segment contributed $29.3 million of non-gaming expenses in 2015 representing an $18.0 million increase over 2014 due to inclusion of results of operations for the full year for the properties in the Eastern segment.</w:t>
      </w:r>
    </w:p>
    <w:p>
      <w:pPr>
        <w:spacing w:after="0" w:line="16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i w:val="1"/>
          <w:iCs w:val="1"/>
          <w:color w:val="auto"/>
        </w:rPr>
        <w:t xml:space="preserve">Marketing and Promotions Expenses. </w:t>
      </w:r>
      <w:r>
        <w:rPr>
          <w:rFonts w:ascii="Arial" w:cs="Arial" w:eastAsia="Arial" w:hAnsi="Arial"/>
          <w:sz w:val="18"/>
          <w:szCs w:val="18"/>
          <w:color w:val="auto"/>
        </w:rPr>
        <w:t>Consolidated marketing and promotions expense increased 42.1% in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2014. This increase was attributable to incremental expenses associated with the Acquisition combined with a full year of operations in the Eastern segment in 2015 compared to the partial period in 2014 offset by overall savings in each segment due to reductions in advertising and marketing programs.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Total general and administrative expenses increased 64.9%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2014 partially due to incremental expenses resulting from the Acquisition, and reflect a reduction of costs associated with lower professional services. Louisiana general and administrative expenses increased 1.3% in 2015 compared to 2014. The Eastern segment contributed $52.0 million of general and administrative expenses in 2015 compared to $14.9 million in 2014. The increase in the Eastern segment was associated with the partial period reporting as a result of the Merger in 2014 due to inclusion of results of operations for the full year for the properties in the Eastern segment, offset by declines associated with our cost savings initiatives.</w:t>
      </w:r>
    </w:p>
    <w:p>
      <w:pPr>
        <w:spacing w:after="0" w:line="162" w:lineRule="exact"/>
        <w:rPr>
          <w:sz w:val="20"/>
          <w:szCs w:val="20"/>
          <w:color w:val="auto"/>
        </w:rPr>
      </w:pPr>
    </w:p>
    <w:p>
      <w:pPr>
        <w:ind w:right="80" w:firstLine="693"/>
        <w:spacing w:after="0" w:line="219" w:lineRule="auto"/>
        <w:rPr>
          <w:sz w:val="20"/>
          <w:szCs w:val="20"/>
          <w:color w:val="auto"/>
        </w:rPr>
      </w:pPr>
      <w:r>
        <w:rPr>
          <w:rFonts w:ascii="Arial" w:cs="Arial" w:eastAsia="Arial" w:hAnsi="Arial"/>
          <w:sz w:val="18"/>
          <w:szCs w:val="18"/>
          <w:i w:val="1"/>
          <w:iCs w:val="1"/>
          <w:color w:val="auto"/>
        </w:rPr>
        <w:t xml:space="preserve">Corporate Expenses. </w:t>
      </w:r>
      <w:r>
        <w:rPr>
          <w:rFonts w:ascii="Arial" w:cs="Arial" w:eastAsia="Arial" w:hAnsi="Arial"/>
          <w:sz w:val="18"/>
          <w:szCs w:val="18"/>
          <w:color w:val="auto"/>
        </w:rPr>
        <w:t>We incurred $16.5 million in corporate expenses in 2015 compared to $4.6 million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mainly due to incremental costs associated with the Merger including additional payroll, accounting fees and professional services. Additionally, we expensed $0.6 million in costs attributable to the initiation of our equity offering in conjunction with the Acquisition.</w:t>
      </w:r>
    </w:p>
    <w:p>
      <w:pPr>
        <w:spacing w:after="0" w:line="176"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Total depreciation and amortization expense increased 98.7%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2014 mainly due to additional depreciation associated with acquired assets in conjunction with the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Acquisition and Merger. The Eastern segment contributed $39.3 million of depreciation and amortization expense in 2015 compared to $12.3 million in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the Year Ended December 31, 2013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1"/>
        </w:trPr>
        <w:tc>
          <w:tcPr>
            <w:tcW w:w="4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Variance</w:t>
            </w:r>
          </w:p>
        </w:tc>
        <w:tc>
          <w:tcPr>
            <w:tcW w:w="8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Percent</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123,228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129,377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(6,149)</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300,834</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192,379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108,455</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Non-gaming: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14,427</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109,438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tcPr>
          <w:p>
            <w:pPr>
              <w:ind w:left="440"/>
              <w:spacing w:after="0"/>
              <w:rPr>
                <w:sz w:val="20"/>
                <w:szCs w:val="20"/>
                <w:color w:val="auto"/>
              </w:rPr>
            </w:pPr>
            <w:r>
              <w:rPr>
                <w:rFonts w:ascii="Arial" w:cs="Arial" w:eastAsia="Arial" w:hAnsi="Arial"/>
                <w:sz w:val="18"/>
                <w:szCs w:val="18"/>
                <w:color w:val="auto"/>
              </w:rPr>
              <w:t>Total Gross Revenues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410,272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290,253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120,019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Promotional Allowances</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361,823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247,186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114,637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Gaming and Pari-Mutuel Commissions</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170,203</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101,913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68,290</w:t>
            </w: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Non-gaming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Nevada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Eastern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11,292</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Non-gaming</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15,025</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34.4 %</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11,612</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68.2 %</w:t>
            </w:r>
          </w:p>
        </w:tc>
      </w:tr>
      <w:tr>
        <w:trPr>
          <w:trHeight w:val="210"/>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339,478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224,560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114,918</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i w:val="1"/>
          <w:iCs w:val="1"/>
          <w:color w:val="auto"/>
        </w:rPr>
        <w:t xml:space="preserve">Gaming Revenues and Pari-Mutuel Commissions. </w:t>
      </w:r>
      <w:r>
        <w:rPr>
          <w:rFonts w:ascii="Arial" w:cs="Arial" w:eastAsia="Arial" w:hAnsi="Arial"/>
          <w:sz w:val="16"/>
          <w:szCs w:val="16"/>
          <w:color w:val="auto"/>
        </w:rPr>
        <w:t>Gaming revenues, excluding Eastern revenues, decreased 3.7%</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compared to 2013. Nevada gaming revenues decreased 1.7% in 2014 compared to 2013 primarily due to decreases in slot handle and table games credit drop. Louisiana gaming revenues decreased 4.8% in 2014 compared to 2013 mainly due to lower slot volume. The decrease in gaming revenues associated with the decline in slot volume was partially offset by an increase in table games revenues resulting from an increase in the table games hold percentage, which more than offset a decrease in table games drop in 2014 compared to 2013. The results of operations in Louisiana were negatively impacted by the addition of a new competitor in the Shreveport/Bossier City market in June of 2013 that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reduced the market share of all of the other casino operators in the market for the year ended December 31, 2014, including Eldorado Shreveport.</w:t>
      </w:r>
    </w:p>
    <w:p>
      <w:pPr>
        <w:spacing w:after="0" w:line="16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6"/>
          <w:szCs w:val="16"/>
          <w:color w:val="auto"/>
        </w:rPr>
        <w:t>The Eastern segment contributed $115.7 million of gaming revenues and pari-mutuel commissions for the period from the Merger Date through December 31, 2014 consisting primarily of net win from slot operations, table games and poker. As a result, total gaming revenues and pari-mutuel commissions increased 56.4% in 2014 compared to 2013.</w:t>
      </w:r>
    </w:p>
    <w:p>
      <w:pPr>
        <w:spacing w:after="0" w:line="147"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i w:val="1"/>
          <w:iCs w:val="1"/>
          <w:color w:val="auto"/>
        </w:rPr>
        <w:t xml:space="preserve">Non-gaming Revenues. </w:t>
      </w:r>
      <w:r>
        <w:rPr>
          <w:rFonts w:ascii="Arial" w:cs="Arial" w:eastAsia="Arial" w:hAnsi="Arial"/>
          <w:sz w:val="16"/>
          <w:szCs w:val="16"/>
          <w:color w:val="auto"/>
        </w:rPr>
        <w:t>Consolidated non-gaming revenues increased $11.6 million in 2014 compared to 2013.</w:t>
      </w:r>
      <w:r>
        <w:rPr>
          <w:rFonts w:ascii="Arial" w:cs="Arial" w:eastAsia="Arial" w:hAnsi="Arial"/>
          <w:sz w:val="16"/>
          <w:szCs w:val="16"/>
          <w:i w:val="1"/>
          <w:iCs w:val="1"/>
          <w:color w:val="auto"/>
        </w:rPr>
        <w:t xml:space="preserve"> </w:t>
      </w:r>
      <w:r>
        <w:rPr>
          <w:rFonts w:ascii="Arial" w:cs="Arial" w:eastAsia="Arial" w:hAnsi="Arial"/>
          <w:sz w:val="16"/>
          <w:szCs w:val="16"/>
          <w:color w:val="auto"/>
        </w:rPr>
        <w:t>Non-gaming revenues decreased in both Nevada and Louisiana in 2014 compared to 2013 due to lower food and beverage revenues along with decreased entertainment revenues associated with lower attendance at the Eldorado Reno theater. Hotel revenues declined slightly in both Nevada and Louisiana in 2014 compared to 2013 due to lower hotel occupancy. The Eastern segment contributed $14.4 million for the period from the Merger Date through December 31, 2014. Non-gaming revenues, excluding Eastern non-gaming revenues, decreased $2.9 million in 2014 compared to 2013.</w:t>
      </w:r>
    </w:p>
    <w:p>
      <w:pPr>
        <w:spacing w:after="0" w:line="161"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i w:val="1"/>
          <w:iCs w:val="1"/>
          <w:color w:val="auto"/>
        </w:rPr>
        <w:t xml:space="preserve">Promotional Allowances. </w:t>
      </w:r>
      <w:r>
        <w:rPr>
          <w:rFonts w:ascii="Arial" w:cs="Arial" w:eastAsia="Arial" w:hAnsi="Arial"/>
          <w:sz w:val="18"/>
          <w:szCs w:val="18"/>
          <w:color w:val="auto"/>
        </w:rPr>
        <w:t>Promotional allowances, expressed as a percentage of gaming revenues and pari-mutuel</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decreased to 16.1% in 2014 compared to 22.4% in 2013; however, the total promotional allowances incurred increased 12.5%. Promotional allowances in Nevada increased slightly in 2014 compared to 2013 reflecting an increase in our casino direct mail program. Promotional allowances decreased 2.5% in Louisiana in association with the 4.8% decrease in gaming revenues. Eastern promotional allowances represented 5.1% of its gaming revenues and pari-mutuel commissions for the period after the Merger Date.</w:t>
      </w:r>
    </w:p>
    <w:p>
      <w:pPr>
        <w:spacing w:after="0" w:line="1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i w:val="1"/>
          <w:iCs w:val="1"/>
          <w:color w:val="auto"/>
        </w:rPr>
        <w:t xml:space="preserve">Gaming Expenses and Pari-Mutuel Commissions. </w:t>
      </w:r>
      <w:r>
        <w:rPr>
          <w:rFonts w:ascii="Arial" w:cs="Arial" w:eastAsia="Arial" w:hAnsi="Arial"/>
          <w:sz w:val="16"/>
          <w:szCs w:val="16"/>
          <w:color w:val="auto"/>
        </w:rPr>
        <w:t>Nevada gaming expenses decreased 1.8% in 2014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2013 due to lower gaming taxes and declines in bad debt expense. Louisiana gaming expenses decreased 1.9% in 2014 compared to 2013 primarily as a result of lower gaming taxes and payroll costs reflecting the decrease in visitor volume.</w:t>
      </w:r>
    </w:p>
    <w:p>
      <w:pPr>
        <w:spacing w:after="0" w:line="147" w:lineRule="exact"/>
        <w:rPr>
          <w:sz w:val="20"/>
          <w:szCs w:val="20"/>
          <w:color w:val="auto"/>
        </w:rPr>
      </w:pPr>
    </w:p>
    <w:p>
      <w:pPr>
        <w:ind w:right="320" w:firstLine="648"/>
        <w:spacing w:after="0" w:line="224" w:lineRule="auto"/>
        <w:rPr>
          <w:sz w:val="20"/>
          <w:szCs w:val="20"/>
          <w:color w:val="auto"/>
        </w:rPr>
      </w:pPr>
      <w:r>
        <w:rPr>
          <w:rFonts w:ascii="Arial" w:cs="Arial" w:eastAsia="Arial" w:hAnsi="Arial"/>
          <w:sz w:val="18"/>
          <w:szCs w:val="18"/>
          <w:color w:val="auto"/>
        </w:rPr>
        <w:t>The Eastern segment contributed $70.2 million of gaming expenses and pari-mutuel commissions for the period from the Merger Date through December 31, 2014. As a result, total gaming expenses and pari-mutuel commissions increased 67.0% in 2014 compared to 2013.</w:t>
      </w:r>
    </w:p>
    <w:p>
      <w:pPr>
        <w:spacing w:after="0" w:line="163" w:lineRule="exact"/>
        <w:rPr>
          <w:sz w:val="20"/>
          <w:szCs w:val="20"/>
          <w:color w:val="auto"/>
        </w:rPr>
      </w:pPr>
    </w:p>
    <w:p>
      <w:pPr>
        <w:ind w:right="280" w:firstLine="648"/>
        <w:spacing w:after="0" w:line="238" w:lineRule="auto"/>
        <w:rPr>
          <w:sz w:val="20"/>
          <w:szCs w:val="20"/>
          <w:color w:val="auto"/>
        </w:rPr>
      </w:pPr>
      <w:r>
        <w:rPr>
          <w:rFonts w:ascii="Arial" w:cs="Arial" w:eastAsia="Arial" w:hAnsi="Arial"/>
          <w:sz w:val="17"/>
          <w:szCs w:val="17"/>
          <w:i w:val="1"/>
          <w:iCs w:val="1"/>
          <w:color w:val="auto"/>
        </w:rPr>
        <w:t xml:space="preserve">Non-gaming Expenses. </w:t>
      </w:r>
      <w:r>
        <w:rPr>
          <w:rFonts w:ascii="Arial" w:cs="Arial" w:eastAsia="Arial" w:hAnsi="Arial"/>
          <w:sz w:val="17"/>
          <w:szCs w:val="17"/>
          <w:color w:val="auto"/>
        </w:rPr>
        <w:t>Non-gaming expenses increased $11.1 million in 2014 compared to 2013 of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Eastern segment contributed $11.3 million for the period from the Merger Date through December 31, 2014. Non-gaming expenses, excluding Eastern non-gaming expenses, decreased $0.2 million in 2014 compared to 2013.</w:t>
      </w:r>
    </w:p>
    <w:p>
      <w:pPr>
        <w:spacing w:after="0" w:line="161"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i w:val="1"/>
          <w:iCs w:val="1"/>
          <w:color w:val="auto"/>
        </w:rPr>
        <w:t xml:space="preserve">Marketing and Promotions Expenses. </w:t>
      </w:r>
      <w:r>
        <w:rPr>
          <w:rFonts w:ascii="Arial" w:cs="Arial" w:eastAsia="Arial" w:hAnsi="Arial"/>
          <w:sz w:val="18"/>
          <w:szCs w:val="18"/>
          <w:color w:val="auto"/>
        </w:rPr>
        <w:t>The Eastern segment contributed $4.4 million of marketing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the period from the Merger Date through December 31, 2014. As a result, total marketing and promotions expense increased 23.9% in 2014 compared to 2013. Excluding the Eastern segment, marketing and promotional expenses did not change significantly in 2014 compared to 2013.</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Eastern segment contributed $14.9 million of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the period from the Merger Date through December 31, 2014. As a result, consolidated general and administrative expenses increased 34.4% in 2014 compared to 2013. Excluding the Eastern segment, general and administrative expenses remained flat in 2014 compared to 2013.</w:t>
      </w:r>
    </w:p>
    <w:p>
      <w:pPr>
        <w:spacing w:after="0" w:line="163"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i w:val="1"/>
          <w:iCs w:val="1"/>
          <w:color w:val="auto"/>
        </w:rPr>
        <w:t xml:space="preserve">Corporate Expenses. </w:t>
      </w:r>
      <w:r>
        <w:rPr>
          <w:rFonts w:ascii="Arial" w:cs="Arial" w:eastAsia="Arial" w:hAnsi="Arial"/>
          <w:sz w:val="18"/>
          <w:szCs w:val="18"/>
          <w:color w:val="auto"/>
        </w:rPr>
        <w:t>We incurred $4.6 million from the Merger Date through December 31, 2014 as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were previously incurred at the property level prior to the Merger.</w:t>
      </w:r>
    </w:p>
    <w:p>
      <w:pPr>
        <w:spacing w:after="0" w:line="162"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Total depreciation expense decreased 4.0% in 2014 compared to 2013 in</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Louisiana as more assets became fully depreciated. The Eastern segment contributed $12.3 million of depreciation expense for the period from the Merger Date through December 31, 2014. As a result, depreciation and amortization expense increased 68.2% in 2014 compared to 2013.</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(“EBITDA”) for the Years Ended December 31, 2015 and 2014</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(gain) loss on the sale or disposal of property, equity in income of unconsolidated affiliates, acquisition charges, S-1 expenses and other regulatory gaming assessments,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69" w:lineRule="exact"/>
        <w:rPr>
          <w:sz w:val="20"/>
          <w:szCs w:val="20"/>
          <w:color w:val="auto"/>
        </w:rPr>
      </w:pPr>
    </w:p>
    <w:p>
      <w:pPr>
        <w:jc w:val="both"/>
        <w:ind w:right="220" w:firstLine="648"/>
        <w:spacing w:after="0" w:line="224" w:lineRule="auto"/>
        <w:rPr>
          <w:sz w:val="20"/>
          <w:szCs w:val="20"/>
          <w:color w:val="auto"/>
        </w:rPr>
      </w:pPr>
      <w:r>
        <w:rPr>
          <w:rFonts w:ascii="Arial" w:cs="Arial" w:eastAsia="Arial" w:hAnsi="Arial"/>
          <w:sz w:val="18"/>
          <w:szCs w:val="18"/>
          <w:color w:val="auto"/>
        </w:rPr>
        <w:t>The following table summarizes our net revenues and Adjusted EBITDA for our operating segments for the years ended December 31, 2015 and 2014, in addition to reconciling Adjusted EBITDA to net income (loss) in accordance with U.S. GAAP (unaudited,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Year Ended December 31, 2015 (1)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 in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Depreciation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Stock-Based</w:t>
            </w:r>
          </w:p>
        </w:tc>
        <w:tc>
          <w:tcPr>
            <w:tcW w:w="120" w:type="dxa"/>
            <w:vAlign w:val="bottom"/>
          </w:tcPr>
          <w:p>
            <w:pPr>
              <w:spacing w:after="0"/>
              <w:rPr>
                <w:sz w:val="11"/>
                <w:szCs w:val="1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Unconsolidated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Expenses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Affiliate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1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34,372</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19,022</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(3,460)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Louisiana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4"/>
                <w:szCs w:val="14"/>
                <w:color w:val="auto"/>
              </w:rPr>
              <w:t>Eastern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Corporate</w:t>
            </w:r>
          </w:p>
        </w:tc>
        <w:tc>
          <w:tcPr>
            <w:tcW w:w="9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rPr>
                <w:sz w:val="20"/>
                <w:szCs w:val="20"/>
                <w:color w:val="auto"/>
              </w:rPr>
            </w:pPr>
            <w:r>
              <w:rPr>
                <w:rFonts w:ascii="Arial" w:cs="Arial" w:eastAsia="Arial" w:hAnsi="Arial"/>
                <w:sz w:val="14"/>
                <w:szCs w:val="14"/>
                <w:b w:val="1"/>
                <w:bCs w:val="1"/>
                <w:color w:val="auto"/>
              </w:rPr>
              <w:t>Total (1)</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92,899</w:t>
            </w:r>
          </w:p>
        </w:tc>
        <w:tc>
          <w:tcPr>
            <w:tcW w:w="2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66,396</w:t>
            </w:r>
          </w:p>
        </w:tc>
        <w:tc>
          <w:tcPr>
            <w:tcW w:w="4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1,488</w:t>
            </w:r>
          </w:p>
        </w:tc>
        <w:tc>
          <w:tcPr>
            <w:tcW w:w="4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3,069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(3,460)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(232)</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160,160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7"/>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Year Ended December 31, 2014 (1)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 in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Depreciation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Stock-Based</w:t>
            </w:r>
          </w:p>
        </w:tc>
        <w:tc>
          <w:tcPr>
            <w:tcW w:w="120" w:type="dxa"/>
            <w:vAlign w:val="bottom"/>
          </w:tcPr>
          <w:p>
            <w:pPr>
              <w:spacing w:after="0"/>
              <w:rPr>
                <w:sz w:val="11"/>
                <w:szCs w:val="1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Unconsolidated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85"/>
              </w:rPr>
              <w:t>(Loss)</w:t>
            </w:r>
          </w:p>
        </w:tc>
        <w:tc>
          <w:tcPr>
            <w:tcW w:w="940" w:type="dxa"/>
            <w:vAlign w:val="bottom"/>
            <w:gridSpan w:val="3"/>
          </w:tcPr>
          <w:p>
            <w:pPr>
              <w:ind w:left="120"/>
              <w:spacing w:after="0"/>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Affiliate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19,418</w:t>
            </w:r>
          </w:p>
        </w:tc>
        <w:tc>
          <w:tcPr>
            <w:tcW w:w="4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2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Eastern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34,478</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(22,199)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70,117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62,341</w:t>
            </w:r>
          </w:p>
        </w:tc>
        <w:tc>
          <w:tcPr>
            <w:tcW w:w="40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1,310</w:t>
            </w:r>
          </w:p>
        </w:tc>
        <w:tc>
          <w:tcPr>
            <w:tcW w:w="4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15,031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(2,705)</w:t>
            </w:r>
          </w:p>
        </w:tc>
        <w:tc>
          <w:tcPr>
            <w:tcW w:w="2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146,627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20" w:right="100" w:hanging="397"/>
        <w:spacing w:after="0" w:line="238" w:lineRule="auto"/>
        <w:tabs>
          <w:tab w:leader="none" w:pos="577" w:val="left"/>
        </w:tabs>
        <w:numPr>
          <w:ilvl w:val="0"/>
          <w:numId w:val="31"/>
        </w:numPr>
        <w:rPr>
          <w:rFonts w:ascii="Arial" w:cs="Arial" w:eastAsia="Arial" w:hAnsi="Arial"/>
          <w:sz w:val="15"/>
          <w:szCs w:val="15"/>
          <w:color w:val="auto"/>
        </w:rPr>
      </w:pPr>
      <w:r>
        <w:rPr>
          <w:rFonts w:ascii="Arial" w:cs="Arial" w:eastAsia="Arial" w:hAnsi="Arial"/>
          <w:sz w:val="15"/>
          <w:szCs w:val="15"/>
          <w:color w:val="auto"/>
        </w:rPr>
        <w:t>Amounts include the operations of Silver Legacy and Circus Reno, which were acquired by ERI on November 24, 2015 (the “Acquisition Date”), as if the acquisition occurred on January 1, 2014 and the operations of MTR Gaming Group, Inc. (“MTR”), which merged with the Company on September 19, 2014 (the “Merger Date”), as if the merger occurred on January 1, 2014.</w:t>
      </w:r>
    </w:p>
    <w:p>
      <w:pPr>
        <w:ind w:left="620" w:right="100" w:hanging="397"/>
        <w:spacing w:after="0" w:line="239" w:lineRule="auto"/>
        <w:tabs>
          <w:tab w:leader="none" w:pos="57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Transaction expenses for the year ended December 31, 2015 include acquisition charges of $2.5 million and S-1 expenses of $0.6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500" w:firstLine="648"/>
        <w:spacing w:after="0" w:line="235" w:lineRule="auto"/>
        <w:rPr>
          <w:sz w:val="20"/>
          <w:szCs w:val="20"/>
          <w:color w:val="auto"/>
        </w:rPr>
      </w:pPr>
      <w:r>
        <w:rPr>
          <w:rFonts w:ascii="Arial" w:cs="Arial" w:eastAsia="Arial" w:hAnsi="Arial"/>
          <w:sz w:val="18"/>
          <w:szCs w:val="18"/>
          <w:color w:val="auto"/>
        </w:rPr>
        <w:t>The primary sources of liquidity and capital resources have been existing cash, cash flow from operations and proceeds from the issuance of debt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6" w:lineRule="auto"/>
        <w:rPr>
          <w:sz w:val="20"/>
          <w:szCs w:val="20"/>
          <w:color w:val="auto"/>
        </w:rPr>
      </w:pPr>
      <w:r>
        <w:rPr>
          <w:rFonts w:ascii="Arial" w:cs="Arial" w:eastAsia="Arial" w:hAnsi="Arial"/>
          <w:sz w:val="17"/>
          <w:szCs w:val="17"/>
          <w:color w:val="auto"/>
        </w:rPr>
        <w:t>We expect that our primary capital requirements going forward will relate to the operation and maintenance of our properties and servicing our outstanding indebtedness. In 2016, we plan to spend $50.0 million, net of reimbursements from West Virginia, on qualified capital expenditures, $46.8 million to pay interest on our Senior Notes and our new credit facility and $4.3 million for principal payments on our term loan. We expect that cash generated from operations will be sufficient to fund our operations and capital requirements and service our outstanding indebtedness for the foreseeable future; however, we cannot provide assurance that operating cash flows will be sufficient to do so.</w:t>
      </w:r>
    </w:p>
    <w:p>
      <w:pPr>
        <w:spacing w:after="0" w:line="165" w:lineRule="exact"/>
        <w:rPr>
          <w:sz w:val="20"/>
          <w:szCs w:val="20"/>
          <w:color w:val="auto"/>
        </w:rPr>
      </w:pPr>
    </w:p>
    <w:p>
      <w:pPr>
        <w:jc w:val="both"/>
        <w:ind w:right="159" w:firstLine="648"/>
        <w:spacing w:after="0" w:line="224"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63"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color w:val="auto"/>
        </w:rPr>
        <w:t>At December 31, 2015, we had consolidated cash and cash equivalents of $83.5 million, including restricted cash of $5.3 million. At December 31, 2014, we had consolidated cash and cash equivalents of $95.8 million, including restricted cash of $8.2 million.</w:t>
      </w:r>
    </w:p>
    <w:p>
      <w:pPr>
        <w:spacing w:after="0" w:line="163" w:lineRule="exact"/>
        <w:rPr>
          <w:sz w:val="20"/>
          <w:szCs w:val="20"/>
          <w:color w:val="auto"/>
        </w:rPr>
      </w:pPr>
    </w:p>
    <w:p>
      <w:pPr>
        <w:ind w:right="59" w:firstLine="648"/>
        <w:spacing w:after="0" w:line="232" w:lineRule="auto"/>
        <w:rPr>
          <w:sz w:val="20"/>
          <w:szCs w:val="20"/>
          <w:color w:val="auto"/>
        </w:rPr>
      </w:pPr>
      <w:r>
        <w:rPr>
          <w:rFonts w:ascii="Arial" w:cs="Arial" w:eastAsia="Arial" w:hAnsi="Arial"/>
          <w:sz w:val="17"/>
          <w:szCs w:val="17"/>
          <w:i w:val="1"/>
          <w:iCs w:val="1"/>
          <w:color w:val="auto"/>
        </w:rPr>
        <w:t xml:space="preserve">Operating Cash Flow. </w:t>
      </w:r>
      <w:r>
        <w:rPr>
          <w:rFonts w:ascii="Arial" w:cs="Arial" w:eastAsia="Arial" w:hAnsi="Arial"/>
          <w:sz w:val="17"/>
          <w:szCs w:val="17"/>
          <w:color w:val="auto"/>
        </w:rPr>
        <w:t>In 2015, we generated cash flows from operating activities of $56.7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$31.6 million in 2014. The increase in operating cash was primarily due to the increase in net income during the current year associated with improvements in operations along with incremental cash flow associated with the Merger and Acquisition combined with various changes in the balance sheet accounts in the normal course of business.</w:t>
      </w:r>
    </w:p>
    <w:p>
      <w:pPr>
        <w:spacing w:after="0" w:line="163" w:lineRule="exact"/>
        <w:rPr>
          <w:sz w:val="20"/>
          <w:szCs w:val="20"/>
          <w:color w:val="auto"/>
        </w:rPr>
      </w:pPr>
    </w:p>
    <w:p>
      <w:pPr>
        <w:jc w:val="both"/>
        <w:ind w:right="519" w:firstLine="648"/>
        <w:spacing w:after="0" w:line="259" w:lineRule="auto"/>
        <w:rPr>
          <w:sz w:val="20"/>
          <w:szCs w:val="20"/>
          <w:color w:val="auto"/>
        </w:rPr>
      </w:pPr>
      <w:r>
        <w:rPr>
          <w:rFonts w:ascii="Arial" w:cs="Arial" w:eastAsia="Arial" w:hAnsi="Arial"/>
          <w:sz w:val="16"/>
          <w:szCs w:val="16"/>
          <w:i w:val="1"/>
          <w:iCs w:val="1"/>
          <w:color w:val="auto"/>
        </w:rPr>
        <w:t xml:space="preserve">Investing Cash Flow. </w:t>
      </w:r>
      <w:r>
        <w:rPr>
          <w:rFonts w:ascii="Arial" w:cs="Arial" w:eastAsia="Arial" w:hAnsi="Arial"/>
          <w:sz w:val="16"/>
          <w:szCs w:val="16"/>
          <w:color w:val="auto"/>
        </w:rPr>
        <w:t>Net cash flows used in investing activities totaled $158.8 million in 2015 and partially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$35.5 million in capital expenditures, net of cash reimbursements in West Virginia, for various renovation projects and equipment purchases. Additionally, $125.0 million of net assets were acquired in the Acquisition.</w:t>
      </w:r>
    </w:p>
    <w:p>
      <w:pPr>
        <w:spacing w:after="0" w:line="147" w:lineRule="exact"/>
        <w:rPr>
          <w:sz w:val="20"/>
          <w:szCs w:val="20"/>
          <w:color w:val="auto"/>
        </w:rPr>
      </w:pPr>
    </w:p>
    <w:p>
      <w:pPr>
        <w:ind w:right="159" w:firstLine="648"/>
        <w:spacing w:after="0" w:line="224" w:lineRule="auto"/>
        <w:rPr>
          <w:sz w:val="20"/>
          <w:szCs w:val="20"/>
          <w:color w:val="auto"/>
        </w:rPr>
      </w:pPr>
      <w:r>
        <w:rPr>
          <w:rFonts w:ascii="Arial" w:cs="Arial" w:eastAsia="Arial" w:hAnsi="Arial"/>
          <w:sz w:val="18"/>
          <w:szCs w:val="18"/>
          <w:color w:val="auto"/>
        </w:rPr>
        <w:t>Net cash flows provided in investing activities for 2014 primarily consisted of $40.4 million representing acquired cash associated with the Merger. This increase was partially offset by $10.6 million in capital expenditures for various renovation projects and equipment purchases.</w:t>
      </w:r>
    </w:p>
    <w:p>
      <w:pPr>
        <w:spacing w:after="0" w:line="163" w:lineRule="exact"/>
        <w:rPr>
          <w:sz w:val="20"/>
          <w:szCs w:val="20"/>
          <w:color w:val="auto"/>
        </w:rPr>
      </w:pPr>
    </w:p>
    <w:p>
      <w:pPr>
        <w:ind w:right="39" w:firstLine="648"/>
        <w:spacing w:after="0" w:line="214" w:lineRule="auto"/>
        <w:rPr>
          <w:sz w:val="20"/>
          <w:szCs w:val="20"/>
          <w:color w:val="auto"/>
        </w:rPr>
      </w:pPr>
      <w:r>
        <w:rPr>
          <w:rFonts w:ascii="Arial" w:cs="Arial" w:eastAsia="Arial" w:hAnsi="Arial"/>
          <w:sz w:val="18"/>
          <w:szCs w:val="18"/>
          <w:i w:val="1"/>
          <w:iCs w:val="1"/>
          <w:color w:val="auto"/>
        </w:rPr>
        <w:t xml:space="preserve">Financing Cash Flow. </w:t>
      </w:r>
      <w:r>
        <w:rPr>
          <w:rFonts w:ascii="Arial" w:cs="Arial" w:eastAsia="Arial" w:hAnsi="Arial"/>
          <w:sz w:val="18"/>
          <w:szCs w:val="18"/>
          <w:color w:val="auto"/>
        </w:rPr>
        <w:t>Net cash flows provided by financing activities in 2015 totaled $92.7 million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mainly of the proceeds and associated costs with the issuance of the Senior Notes and New Credit Facility and the retirement of the Resorts Senior Secured Notes and MTR Second Lien Notes. Subsequent to our refinancing transaction, we made payments of $2.1 million and $37.5 million under the New Term Loan and New Revolving Credit Facility, respectively, in 2015. We had total borrowings of $131 million under the New Revolving Credit Facility attributable to our refinancing and the Acquisition in 2015.</w:t>
      </w:r>
    </w:p>
    <w:p>
      <w:pPr>
        <w:spacing w:after="0" w:line="162" w:lineRule="exact"/>
        <w:rPr>
          <w:sz w:val="20"/>
          <w:szCs w:val="20"/>
          <w:color w:val="auto"/>
        </w:rPr>
      </w:pPr>
    </w:p>
    <w:p>
      <w:pPr>
        <w:ind w:right="19" w:firstLine="648"/>
        <w:spacing w:after="0" w:line="232" w:lineRule="auto"/>
        <w:rPr>
          <w:sz w:val="20"/>
          <w:szCs w:val="20"/>
          <w:color w:val="auto"/>
        </w:rPr>
      </w:pPr>
      <w:r>
        <w:rPr>
          <w:rFonts w:ascii="Arial" w:cs="Arial" w:eastAsia="Arial" w:hAnsi="Arial"/>
          <w:sz w:val="17"/>
          <w:szCs w:val="17"/>
          <w:color w:val="auto"/>
        </w:rPr>
        <w:t>Net cash used for financing activities in 2014 totaled $14.2 million and partially consisted of payments totaling $2.5 million on the Resorts credit facility, $0.6 million in distributions representing Louisiana state tax payments and an increase in restricted cash of $3.2 million due to a decrease in funds related to horsemen’s fines and simulcasting funds that are restricted to payments for improving horsemen’s facilities and racing purse at Scioto Downs.</w:t>
      </w:r>
    </w:p>
    <w:p>
      <w:pPr>
        <w:spacing w:after="0" w:line="163" w:lineRule="exact"/>
        <w:rPr>
          <w:sz w:val="20"/>
          <w:szCs w:val="20"/>
          <w:color w:val="auto"/>
        </w:rPr>
      </w:pPr>
    </w:p>
    <w:p>
      <w:pPr>
        <w:ind w:right="159" w:firstLine="648"/>
        <w:spacing w:after="0" w:line="244" w:lineRule="auto"/>
        <w:rPr>
          <w:sz w:val="20"/>
          <w:szCs w:val="20"/>
          <w:color w:val="auto"/>
        </w:rPr>
      </w:pPr>
      <w:r>
        <w:rPr>
          <w:rFonts w:ascii="Arial" w:cs="Arial" w:eastAsia="Arial" w:hAnsi="Arial"/>
          <w:sz w:val="16"/>
          <w:szCs w:val="16"/>
          <w:color w:val="auto"/>
        </w:rPr>
        <w:t>Additionally, the repurchase of MTR Gaming common stock totaled $5.0 million and represented the amount paid in cash by HoldCo upon closing of the Merger in 2014. An additional $30.0 million of MTR Gaming common stock was purchased by MTR Gaming upon closing of the Merger and was reflected as a reduction of the net cash acquired under investing activities. Also during 2014, MTR Gaming used $11.0 million to repurchase $10.0 million in aggregate principal amount of MTR Senior Lien Notes at a price of $110.25 per $100 in principal amount of the purchased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79" w:firstLine="648"/>
        <w:spacing w:after="0" w:line="259" w:lineRule="auto"/>
        <w:rPr>
          <w:sz w:val="20"/>
          <w:szCs w:val="20"/>
          <w:color w:val="auto"/>
        </w:rPr>
      </w:pPr>
      <w:r>
        <w:rPr>
          <w:rFonts w:ascii="Arial" w:cs="Arial" w:eastAsia="Arial" w:hAnsi="Arial"/>
          <w:sz w:val="16"/>
          <w:szCs w:val="16"/>
          <w:color w:val="auto"/>
        </w:rPr>
        <w:t>During the year ended December 31, 2015, additions to property and equipment, primarily slot machines, and other capital projects aggregated $31.9 million, which included $5.1 million in Nevada, $4.4 million in Louisiana, $21.9 million attributable to the Eastern properties, net of $3.9 million in West Virginia reimbursements, and $0.5 million at corporate.</w:t>
      </w:r>
    </w:p>
    <w:p>
      <w:pPr>
        <w:spacing w:after="0" w:line="66" w:lineRule="exact"/>
        <w:rPr>
          <w:sz w:val="20"/>
          <w:szCs w:val="20"/>
          <w:color w:val="auto"/>
        </w:rPr>
      </w:pPr>
    </w:p>
    <w:p>
      <w:pPr>
        <w:ind w:right="99" w:firstLine="648"/>
        <w:spacing w:after="0" w:line="258" w:lineRule="auto"/>
        <w:rPr>
          <w:sz w:val="20"/>
          <w:szCs w:val="20"/>
          <w:color w:val="auto"/>
        </w:rPr>
      </w:pPr>
      <w:r>
        <w:rPr>
          <w:rFonts w:ascii="Arial" w:cs="Arial" w:eastAsia="Arial" w:hAnsi="Arial"/>
          <w:sz w:val="17"/>
          <w:szCs w:val="17"/>
          <w:color w:val="auto"/>
        </w:rPr>
        <w:t>Under legislation approved by West Virginia in July 2011, Mountaineer participates in a modernization fund which provides for reimbursement from amounts paid to the West Virginia Lottery Commission in an amount equal to</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As of December 31, 2015, Mountaineer remains eligible for $3.0 million under annual modernization fund grants that expire in varying dates through June 30, 2017. We can make no assurances Mountaineer will be able to make qualifying capital expenditures purchases sufficient to receive reimbursement of the available funds prior to their expiration nor that the modernization funds will continue to be available.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spending up to a total of $50 million on capital expenditures during 2016.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Legacy Joint Venture Loan and Credit Support</w:t>
      </w:r>
    </w:p>
    <w:p>
      <w:pPr>
        <w:spacing w:after="0" w:line="121"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ELLC and Galleon were each required to provide credit support by depositing $5.0 million of cash into bank accounts that were subject to a security interest in favor of the lender under the Silver Legacy credit agreement. In November 2015 in conjunction with the Acquisition, the indebtedness under the Silver Legacy credit agreement was paid in full by ERI and the credit support obligation was eliminated.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On July 23, 2015, the Company issued $375 million in aggregate principal amount of 7.0% senior notes due 2023 pursuant to the indenture, dated as of July 23, 2015 (the “Indenture”), at an issue price equal to 100.0% of the aggregate principal amount of the Senior Notes. The Senior Notes are guaranteed by all of the Company’s direct and indirect restricted subsidiaries other than immaterial subsidiaries, CC-Reno, LLC and the Silver Legacy Joint Venture. CC-Reno, LLC and the Silver Legacy Joint Venture will become guarantors upon receipt of the requisite gaming approvals. The Senior Notes will mature on August 1, 2023, with interest payable semi-annually in arrears on February 1 and August 1 of each year.</w:t>
      </w:r>
    </w:p>
    <w:p>
      <w:pPr>
        <w:spacing w:after="0" w:line="120"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color w:val="auto"/>
        </w:rPr>
        <w:t>The Company used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Acquisition Date. As a result of the July 2015 refinancing, we recognized a $1.9 million net loss on the early retirement of debt.</w:t>
      </w:r>
    </w:p>
    <w:p>
      <w:pPr>
        <w:ind w:firstLine="648"/>
        <w:spacing w:after="0" w:line="227"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160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Percentage</w:t>
            </w:r>
          </w:p>
        </w:tc>
      </w:tr>
      <w:tr>
        <w:trPr>
          <w:trHeight w:val="216"/>
        </w:trPr>
        <w:tc>
          <w:tcPr>
            <w:tcW w:w="80" w:type="dxa"/>
            <w:vAlign w:val="bottom"/>
            <w:shd w:val="clear" w:color="auto" w:fill="CCEEFF"/>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3"/>
              </w:rPr>
              <w:t>105.250%</w:t>
            </w:r>
          </w:p>
        </w:tc>
        <w:tc>
          <w:tcPr>
            <w:tcW w:w="8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2019</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w w:val="93"/>
              </w:rPr>
              <w:t>103.500%</w:t>
            </w: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3"/>
              </w:rPr>
              <w:t>101.750%</w:t>
            </w:r>
          </w:p>
        </w:tc>
      </w:tr>
      <w:tr>
        <w:trPr>
          <w:trHeight w:val="230"/>
        </w:trPr>
        <w:tc>
          <w:tcPr>
            <w:tcW w:w="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2021 and thereafter</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w w:val="93"/>
              </w:rPr>
              <w:t>100.000%</w:t>
            </w:r>
          </w:p>
        </w:tc>
      </w:tr>
    </w:tbl>
    <w:p>
      <w:pPr>
        <w:spacing w:after="0" w:line="17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14"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06" w:lineRule="exact"/>
        <w:rPr>
          <w:sz w:val="20"/>
          <w:szCs w:val="20"/>
          <w:color w:val="auto"/>
        </w:rPr>
      </w:pPr>
    </w:p>
    <w:p>
      <w:pPr>
        <w:ind w:left="440" w:hanging="113"/>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ind w:left="440" w:right="280" w:hanging="113"/>
        <w:spacing w:after="0" w:line="20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ind w:left="880" w:hanging="553"/>
        <w:spacing w:after="0" w:line="20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w:t>
      </w:r>
    </w:p>
    <w:p>
      <w:pPr>
        <w:ind w:left="660" w:hanging="333"/>
        <w:spacing w:after="0" w:line="20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and sell assets;</w:t>
      </w:r>
    </w:p>
    <w:p>
      <w:pPr>
        <w:ind w:left="440" w:hanging="113"/>
        <w:spacing w:after="0" w:line="20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ind w:left="520" w:hanging="193"/>
        <w:spacing w:after="0" w:line="20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ind w:left="440" w:hanging="113"/>
        <w:spacing w:after="0" w:line="20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ind w:left="460" w:hanging="133"/>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128"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December 31, 2015, the Company was in compliance with all of the covenants under the Indenture relating to the Senior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85"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On July 23, 2015, the Company entered into a new $425.0 million seven year term loan (the “New Term Loan”) and a new $150.0 million five year revolving credit facility (the “New Revolving Credit Facility” and, together with the New Term Loan, the “New Credit Facility”). Also on July 23, 2015, the Company borrowed $40.0 million under the New Revolving Credit Facility. As of December 31, 2015, the Company had $422.9 million outstanding on the New Term Loan and $93.5 million in borrowings outstanding under the New Revolving Credit Facility. The Company had $56.5 million of available borrowing capacity under its New Revolving Credit Facility as of December 31, 2015. At December 31, 2015, the interest rate on the New Term Loan was 4.25% and the average interest rate on the New Revolving Credit Facility was 3.7%.</w:t>
      </w:r>
    </w:p>
    <w:p>
      <w:pPr>
        <w:spacing w:after="0" w:line="163"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New Revolving Credit Facility not being utilized in the amount of 0.50% per annum.</w:t>
      </w:r>
    </w:p>
    <w:p>
      <w:pPr>
        <w:spacing w:after="0" w:line="16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credit agreement governing the New Credit Facility also includes requirements that the Company maintain a maximum total leverage ratio and a minimum interest coverage ratio (adjusting over time). The Company is required to maintain a maximum total leverage ratio of 6.75 to 1.00 from the closing date through December 31, 2015, 6.00 to 1.00 from January 1, 2016 to December 31, 2017 and 5.00 to 1.00 thereafter. In addition, the Company is required to maintain a minimum interest coverage ratio of 2.50 to 1.00 from the closing date through December 31, 2015, and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68" w:lineRule="exact"/>
        <w:rPr>
          <w:sz w:val="20"/>
          <w:szCs w:val="20"/>
          <w:color w:val="auto"/>
        </w:rPr>
      </w:pPr>
    </w:p>
    <w:p>
      <w:pPr>
        <w:ind w:right="180" w:firstLine="648"/>
        <w:spacing w:after="0" w:line="237" w:lineRule="auto"/>
        <w:rPr>
          <w:sz w:val="20"/>
          <w:szCs w:val="20"/>
          <w:color w:val="auto"/>
        </w:rPr>
      </w:pPr>
      <w:r>
        <w:rPr>
          <w:rFonts w:ascii="Arial" w:cs="Arial" w:eastAsia="Arial" w:hAnsi="Arial"/>
          <w:sz w:val="16"/>
          <w:szCs w:val="16"/>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December 31, 2015, the Company was in compliance with the covenants under the New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189" w:lineRule="exact"/>
        <w:rPr>
          <w:sz w:val="20"/>
          <w:szCs w:val="20"/>
          <w:color w:val="auto"/>
        </w:rPr>
      </w:pPr>
    </w:p>
    <w:p>
      <w:pPr>
        <w:ind w:right="600" w:firstLine="648"/>
        <w:spacing w:after="0" w:line="235" w:lineRule="auto"/>
        <w:rPr>
          <w:sz w:val="20"/>
          <w:szCs w:val="20"/>
          <w:color w:val="auto"/>
        </w:rPr>
      </w:pPr>
      <w:r>
        <w:rPr>
          <w:rFonts w:ascii="Arial" w:cs="Arial" w:eastAsia="Arial" w:hAnsi="Arial"/>
          <w:sz w:val="18"/>
          <w:szCs w:val="18"/>
          <w:color w:val="auto"/>
        </w:rPr>
        <w:t>The following table summarizes our estimated contractual payment obligations as of December 31, 2015 (in thousands):</w:t>
      </w:r>
    </w:p>
    <w:p>
      <w:pPr>
        <w:sectPr>
          <w:pgSz w:w="11900" w:h="16838" w:orient="portrait"/>
          <w:cols w:equalWidth="0" w:num="1">
            <w:col w:w="9040"/>
          </w:cols>
          <w:pgMar w:left="1420" w:top="11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on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Gaming tax and license fees(3)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Purchase and other contractual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Minimum purse obligations(4)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Contingent earn-out payments(5)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gaming assessments(6)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4408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01"/>
        </w:trPr>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1 - 3 years</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3 - 5 years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5 years</w:t>
            </w: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w w:val="85"/>
              </w:rPr>
              <w:t>See note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1,368.4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7</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8"/>
                <w:szCs w:val="18"/>
                <w:color w:val="auto"/>
              </w:rPr>
            </w:pPr>
          </w:p>
        </w:tc>
        <w:tc>
          <w:tcPr>
            <w:tcW w:w="2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898.</w:t>
            </w:r>
            <w:r>
              <w:rPr>
                <w:rFonts w:ascii="Arial" w:cs="Arial" w:eastAsia="Arial" w:hAnsi="Arial"/>
                <w:sz w:val="18"/>
                <w:szCs w:val="18"/>
                <w:u w:val="single" w:color="auto"/>
                <w:color w:val="auto"/>
              </w:rPr>
              <w:t>1</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-1482725</wp:posOffset>
            </wp:positionV>
            <wp:extent cx="57543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-1208405</wp:posOffset>
            </wp:positionV>
            <wp:extent cx="57543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-934085</wp:posOffset>
            </wp:positionV>
            <wp:extent cx="575437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22885"/>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-574040</wp:posOffset>
            </wp:positionV>
            <wp:extent cx="57543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-299720</wp:posOffset>
            </wp:positionV>
            <wp:extent cx="575437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720"/>
            <w:col w:w="4360"/>
          </w:cols>
          <w:pgMar w:left="1420" w:top="112" w:right="1439" w:bottom="1440" w:gutter="0" w:footer="0" w:header="0"/>
          <w:type w:val="continuous"/>
        </w:sectPr>
      </w:pPr>
    </w:p>
    <w:p>
      <w:pPr>
        <w:spacing w:after="0" w:line="2" w:lineRule="exact"/>
        <w:rPr>
          <w:sz w:val="20"/>
          <w:szCs w:val="20"/>
          <w:color w:val="auto"/>
        </w:rPr>
      </w:pPr>
    </w:p>
    <w:p>
      <w:pPr>
        <w:ind w:left="220" w:right="40" w:hanging="215"/>
        <w:spacing w:after="0" w:line="258" w:lineRule="auto"/>
        <w:rPr>
          <w:sz w:val="20"/>
          <w:szCs w:val="20"/>
          <w:color w:val="auto"/>
        </w:rPr>
      </w:pPr>
      <w:r>
        <w:rPr>
          <w:rFonts w:ascii="Arial" w:cs="Arial" w:eastAsia="Arial" w:hAnsi="Arial"/>
          <w:sz w:val="17"/>
          <w:szCs w:val="17"/>
          <w:color w:val="auto"/>
        </w:rPr>
        <w:t>(1)These amounts are included in our consolidated balance sheets, which are included elsewhere in this report. See Note 9 to our consolidated financial statements for additional information about our debt and related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 Our operating lease obligations are described in Note 16 to our consolidated financial statements.</w:t>
      </w:r>
    </w:p>
    <w:p>
      <w:pPr>
        <w:spacing w:after="0" w:line="77" w:lineRule="exact"/>
        <w:rPr>
          <w:sz w:val="20"/>
          <w:szCs w:val="20"/>
          <w:color w:val="auto"/>
        </w:rPr>
      </w:pPr>
    </w:p>
    <w:p>
      <w:pPr>
        <w:ind w:left="220" w:right="60" w:hanging="215"/>
        <w:spacing w:after="0" w:line="214" w:lineRule="auto"/>
        <w:rPr>
          <w:sz w:val="20"/>
          <w:szCs w:val="20"/>
          <w:color w:val="auto"/>
        </w:rPr>
      </w:pPr>
      <w:r>
        <w:rPr>
          <w:rFonts w:ascii="Arial" w:cs="Arial" w:eastAsia="Arial" w:hAnsi="Arial"/>
          <w:sz w:val="18"/>
          <w:szCs w:val="18"/>
          <w:color w:val="auto"/>
        </w:rPr>
        <w:t>(3)Includes an annual table gaming license fee of $2.5 million for Mountaineer which is due on July 1st of each year as long as Mountaineer operates table games. Includes our obligation for gaming taxes at Presque Isle Downs, which is set at a minimum of $10.0 million per year, as required by the Pennsylvania Gaming Control Board. Also includes our obligation at Presque Isle Downs, as the holder of a Category 1 license, to create a fund to be used for the improvement and maintenance of the backside area of the racetrack with an amount of not less than $250,000 or more than $1 million annually for a five-year period beginning in 2017.</w:t>
      </w:r>
    </w:p>
    <w:p>
      <w:pPr>
        <w:spacing w:after="0" w:line="54" w:lineRule="exact"/>
        <w:rPr>
          <w:sz w:val="20"/>
          <w:szCs w:val="20"/>
          <w:color w:val="auto"/>
        </w:rPr>
      </w:pPr>
    </w:p>
    <w:p>
      <w:pPr>
        <w:ind w:left="220" w:hanging="215"/>
        <w:spacing w:after="0" w:line="232" w:lineRule="auto"/>
        <w:rPr>
          <w:sz w:val="20"/>
          <w:szCs w:val="20"/>
          <w:color w:val="auto"/>
        </w:rPr>
      </w:pPr>
      <w:r>
        <w:rPr>
          <w:rFonts w:ascii="Arial" w:cs="Arial" w:eastAsia="Arial" w:hAnsi="Arial"/>
          <w:sz w:val="17"/>
          <w:szCs w:val="17"/>
          <w:color w:val="auto"/>
        </w:rPr>
        <w:t>(4)Pursuant to an agreement with the Mountaineer Park Horsemen’s Benevolent and Protective Association, Inc. and/or in accordance with the West Virginia racing statute, Mountaineer is required to utilize its best efforts to conduct racing for a minimum of 210 days and pay average daily minimum purses established by Mountaineer prior to the first live racing date each year ($95,000 for 2015) for the term of the agreement which expires on December 31, 2018.</w:t>
      </w:r>
    </w:p>
    <w:p>
      <w:pPr>
        <w:spacing w:after="0" w:line="54" w:lineRule="exact"/>
        <w:rPr>
          <w:sz w:val="20"/>
          <w:szCs w:val="20"/>
          <w:color w:val="auto"/>
        </w:rPr>
      </w:pPr>
    </w:p>
    <w:p>
      <w:pPr>
        <w:jc w:val="center"/>
        <w:ind w:left="4440" w:right="540" w:hanging="4437"/>
        <w:spacing w:after="0" w:line="857" w:lineRule="auto"/>
        <w:tabs>
          <w:tab w:leader="none" w:pos="2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2003 purchase of Scioto Downs, certain shareholders of Scioto Downs elected the option to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type w:val="continuous"/>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320" w:right="180"/>
        <w:spacing w:after="0" w:line="187" w:lineRule="exact"/>
        <w:rPr>
          <w:sz w:val="20"/>
          <w:szCs w:val="20"/>
          <w:color w:val="auto"/>
        </w:rPr>
      </w:pPr>
      <w:r>
        <w:rPr>
          <w:rFonts w:ascii="Arial" w:cs="Arial" w:eastAsia="Arial" w:hAnsi="Arial"/>
          <w:sz w:val="17"/>
          <w:szCs w:val="17"/>
          <w:color w:val="auto"/>
        </w:rPr>
        <w:t>receive cash and contingent earn</w:t>
      </w:r>
      <w:r>
        <w:rPr>
          <w:rFonts w:ascii="MS PGothic" w:cs="MS PGothic" w:eastAsia="MS PGothic" w:hAnsi="MS PGothic"/>
          <w:sz w:val="17"/>
          <w:szCs w:val="17"/>
          <w:color w:val="auto"/>
        </w:rPr>
        <w:t>‑</w:t>
      </w:r>
      <w:r>
        <w:rPr>
          <w:rFonts w:ascii="Arial" w:cs="Arial" w:eastAsia="Arial" w:hAnsi="Arial"/>
          <w:sz w:val="17"/>
          <w:szCs w:val="17"/>
          <w:color w:val="auto"/>
        </w:rPr>
        <w:t>out payments (“CEP Rights”) in lieu of all cash for their outstanding shares of Scioto Downs’ common stock. The triggering event occurred when Scioto Downs received its permanent VLT license in May 2012 and commenced gaming operations. As a result, we recorded a liability for the estimated ten year payout to the stockholders who elected to receive the CEP Rights. The future obligation was calculated based on Scioto Downs’ projected EBITDA for the ten calendar years beginning January 1, 2013.</w:t>
      </w:r>
    </w:p>
    <w:p>
      <w:pPr>
        <w:spacing w:after="0" w:line="53" w:lineRule="exact"/>
        <w:rPr>
          <w:sz w:val="20"/>
          <w:szCs w:val="20"/>
          <w:color w:val="auto"/>
        </w:rPr>
      </w:pPr>
    </w:p>
    <w:p>
      <w:pPr>
        <w:ind w:left="220" w:right="160" w:hanging="215"/>
        <w:spacing w:after="0" w:line="289" w:lineRule="auto"/>
        <w:rPr>
          <w:sz w:val="20"/>
          <w:szCs w:val="20"/>
          <w:color w:val="auto"/>
        </w:rPr>
      </w:pPr>
      <w:r>
        <w:rPr>
          <w:rFonts w:ascii="Arial" w:cs="Arial" w:eastAsia="Arial" w:hAnsi="Arial"/>
          <w:sz w:val="16"/>
          <w:szCs w:val="16"/>
          <w:color w:val="auto"/>
        </w:rPr>
        <w:t>(6)These amounts are included in our consolidated balance sheets, which are included elsewhere in this report. See Note 16 to our consolidated financial statements for additional information regarding our regulatory gaming assessments.</w:t>
      </w:r>
    </w:p>
    <w:p>
      <w:pPr>
        <w:spacing w:after="0" w:line="16" w:lineRule="exact"/>
        <w:rPr>
          <w:sz w:val="20"/>
          <w:szCs w:val="20"/>
          <w:color w:val="auto"/>
        </w:rPr>
      </w:pPr>
    </w:p>
    <w:p>
      <w:pPr>
        <w:ind w:right="460" w:firstLine="648"/>
        <w:spacing w:after="0" w:line="224" w:lineRule="auto"/>
        <w:rPr>
          <w:sz w:val="20"/>
          <w:szCs w:val="20"/>
          <w:color w:val="auto"/>
        </w:rPr>
      </w:pPr>
      <w:r>
        <w:rPr>
          <w:rFonts w:ascii="Arial" w:cs="Arial" w:eastAsia="Arial" w:hAnsi="Arial"/>
          <w:sz w:val="18"/>
          <w:szCs w:val="18"/>
          <w:color w:val="auto"/>
        </w:rPr>
        <w:t>The table above excludes certain commitments as of December 31, 2015, for which the timing of expenditures associated with such commitments is unknown, or contractual agreements have not been executed, or the guaranteed maximum price for such contractual agreements has not been agreed upon.</w:t>
      </w:r>
    </w:p>
    <w:p>
      <w:pPr>
        <w:spacing w:after="0" w:line="163"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8"/>
          <w:szCs w:val="18"/>
          <w:color w:val="auto"/>
        </w:rPr>
        <w:t>The repayment of our long</w:t>
      </w:r>
      <w:r>
        <w:rPr>
          <w:rFonts w:ascii="MS PGothic" w:cs="MS PGothic" w:eastAsia="MS PGothic" w:hAnsi="MS PGothic"/>
          <w:sz w:val="18"/>
          <w:szCs w:val="18"/>
          <w:color w:val="auto"/>
        </w:rPr>
        <w:t>‑</w:t>
      </w:r>
      <w:r>
        <w:rPr>
          <w:rFonts w:ascii="Arial" w:cs="Arial" w:eastAsia="Arial" w:hAnsi="Arial"/>
          <w:sz w:val="18"/>
          <w:szCs w:val="18"/>
          <w:color w:val="auto"/>
        </w:rPr>
        <w:t>term debt, which consists of indebtedness evidenced by the Senior Notes and the New Credit Facility is subject to acceleration upon the occurrence of an event of default under the indentures governing these obligations.</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routinely enter into operational contracts in the ordinary course of our business, including construction contracts for minor projects that are not material to our business or financial condition as a whole. Our commitments relating to these contracts are recognized as liabilities in our consolidated balance sheets when services are provided with respect to such contracts.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currently have any off 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do not believe that inflation has had a significant impact on our revenues, results of operations or cash flows since inception.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borrowings and estimated that our total proportionate share of the aggregate $36.1 million to all fourteen gaming facilities will be $2.1 million.</w:t>
      </w:r>
    </w:p>
    <w:p>
      <w:pPr>
        <w:spacing w:after="0" w:line="162"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Our estimated total obligation at December 31, 2015 is $4.3 million. The Company paid $0.4 million during the year ended December 31, 2015.</w:t>
      </w:r>
    </w:p>
    <w:p>
      <w:pPr>
        <w:spacing w:after="0" w:line="163"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We are faced with certain contingencies involving litigation and environmental remediation and compliance. These commitments and contingencies are discussed in greater detail in “Part I, Item 3. Legal Proceedings” and Note 16 to our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elsewhere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320" w:firstLine="648"/>
        <w:spacing w:after="0" w:line="232" w:lineRule="auto"/>
        <w:rPr>
          <w:sz w:val="20"/>
          <w:szCs w:val="20"/>
          <w:color w:val="auto"/>
        </w:rPr>
      </w:pPr>
      <w:r>
        <w:rPr>
          <w:rFonts w:ascii="Arial" w:cs="Arial" w:eastAsia="Arial" w:hAnsi="Arial"/>
          <w:sz w:val="17"/>
          <w:szCs w:val="17"/>
          <w:color w:val="auto"/>
        </w:rPr>
        <w:t>Our significant accounting policies are included in Note 2 to our consolidated financial statements, which is included elsewhere in this report. These policies, along with the underlying assumptions and judgments made by our management in their application, have a significant impact on our consolidated financial statements. These judgments are subject to an inherent degree of uncertainty and actual results could differ from our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85" w:lineRule="exact"/>
        <w:rPr>
          <w:sz w:val="20"/>
          <w:szCs w:val="20"/>
          <w:color w:val="auto"/>
        </w:rPr>
      </w:pPr>
    </w:p>
    <w:p>
      <w:pPr>
        <w:ind w:right="60" w:firstLine="648"/>
        <w:spacing w:after="0" w:line="209" w:lineRule="auto"/>
        <w:rPr>
          <w:sz w:val="20"/>
          <w:szCs w:val="20"/>
          <w:color w:val="auto"/>
        </w:rPr>
      </w:pPr>
      <w:r>
        <w:rPr>
          <w:rFonts w:ascii="Arial" w:cs="Arial" w:eastAsia="Arial" w:hAnsi="Arial"/>
          <w:sz w:val="18"/>
          <w:szCs w:val="18"/>
          <w:color w:val="auto"/>
        </w:rPr>
        <w:t>The Company applied the provisions of Accounting Standards Codification (“ASC”) Topic 805, “Business Combinations”, in the accounting for the Circus Reno/Silver Legacy Purchase and the Merger. It required us to recognize the assets acquired and the liabilities assumed at their acquisition date fair values. Goodwill as of the Acquisition Date was measured as the excess of consideration transferred over the net of the acquisition date fair values of the assets acquired and the liabilities assumed. While we used our best estimates and assumptions to accurately value assets acquired and liabilities assumed at the Acquisition Date, our estimates were inherently uncertain and subject to refinement. As a result, during the measurement period, which may be up to one year from the Acquisition Date, we may record adjustments to the assets acquired and liabilities assumed with the corresponding offset to goodwill. Upon the final determination of the values of assets acquired or liabilities assumed any subsequent adjustments will be recorded in our consolidated statements of operations.</w:t>
      </w:r>
    </w:p>
    <w:p>
      <w:pPr>
        <w:spacing w:after="0" w:line="16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Accounting for business combinations required our management to make significant estimates and assumptions, including our estimate of intangible assets, such as gaming licenses, trade names and loyalty programs. Although we believe the assumptions and estimates made have been reasonable and appropriate, they are inherently uncertain. For our gaming license valuation, our properties estimated future cash flows were the primary assumption in the respective intangible valuations. Cash flow estimates included assumptions regarding factors such as recent and budgeted operating performance, net win per unit (revenue), patron visits and growth percentages. The growth percentages were developed considering general macroeconomic conditions as well as competitive impacts from current and anticipated competition through a review of customer market data, operating margins, and current regulatory, social and economic climates. The most significant of the assumptions used in the valuations included: (1) revenue growth/decline percentages; (2) discount rates; (3) effective income tax rates; (4) future terminal values and (5) capital expenditure assumptions. These assumptions were developed for each of our properties based on historical trends in the current competitive markets in which they operate, and projections of future performance and competition. The primary assumptions with respect to our trade names and loyalty program intangibles primary assumptions were selecting the appropriate royalty rates and cost estimates for replacement cost analyses.</w:t>
      </w:r>
    </w:p>
    <w:p>
      <w:pPr>
        <w:spacing w:after="0" w:line="166"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In addition, uncertain tax positions and tax related valuation allowances assumed in connection with a business combination are initially estimated as of the business combination date. The Company reevaluated these items quarterly based upon facts and circumstances that existed as of the business combination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 related valuation allowances will affect our provision for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income taxes in our consolidated statement of operations and could have material impact on our results of operations and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Unconsolidated Affiliates</w:t>
      </w:r>
    </w:p>
    <w:p>
      <w:pPr>
        <w:spacing w:after="0" w:line="185"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consolidated financial statements include the accounts of the Company and its subsidiaries. Investments in unconsolidated affiliates which are 50% or less owned and do not meet the consolidation criteria of ASC 810, “Consolidation” are accounted for under the equity method. All intercompany balances and transactions have been eliminated in consolidation. Certain amendments of ASC 810 became effective for us beginning January 1, 2010. Such amendments include changes to the quantitative approach to determine the primary beneficiary of a variable interest entity (“VIE”). An enterprise must determine if its variable interest or interests give it a controlling financial interest in a VIE by evaluating whether 1) the enterprise has the power to direct activities of the VIE that have a significant effect on economic performance, and 2) the enterprise has an obligation to absorb losses or the right to receive benefits from the entity that could potentially be significant to the VIE. The amendments to ASC 810 also require ongoing reassessments of whether an enterprise is the primary beneficiary of a VIE. The Company believes the adoption of these amendments did not have a material effect on our consolidated financial statements.</w:t>
      </w:r>
    </w:p>
    <w:p>
      <w:pPr>
        <w:spacing w:after="0" w:line="167"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The Company considers whether the fair values of any of its equity method investments have declined below their carrying value whenever adverse events or changes in circumstances indicate that recorded values may not be recoverable. If the Company considers any such decline to be other than temporary, then a write</w:t>
      </w:r>
      <w:r>
        <w:rPr>
          <w:rFonts w:ascii="MS PGothic" w:cs="MS PGothic" w:eastAsia="MS PGothic" w:hAnsi="MS PGothic"/>
          <w:sz w:val="17"/>
          <w:szCs w:val="17"/>
          <w:color w:val="auto"/>
        </w:rPr>
        <w:t>‑</w:t>
      </w:r>
      <w:r>
        <w:rPr>
          <w:rFonts w:ascii="Arial" w:cs="Arial" w:eastAsia="Arial" w:hAnsi="Arial"/>
          <w:sz w:val="17"/>
          <w:szCs w:val="17"/>
          <w:color w:val="auto"/>
        </w:rPr>
        <w:t>down would be recorded to the estimated fair value. Estimated fair value is determined using a discounted cash flow analysis based on estimated future results of the investee and market indicators of terminal year capitalization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Gaming revenues consist of the net win from gaming activities, which is the difference between amounts wagered and amounts paid to winning patrons, and is recognized at the time wagers are made net of winning payouts to patrons. Base and progressive jackpots are accrued and charged to revenue at the time the obligation to pay the jackpot is established. Pari</w:t>
      </w:r>
      <w:r>
        <w:rPr>
          <w:rFonts w:ascii="MS PGothic" w:cs="MS PGothic" w:eastAsia="MS PGothic" w:hAnsi="MS PGothic"/>
          <w:sz w:val="17"/>
          <w:szCs w:val="17"/>
          <w:color w:val="auto"/>
        </w:rPr>
        <w:t>‑</w:t>
      </w:r>
      <w:r>
        <w:rPr>
          <w:rFonts w:ascii="Arial" w:cs="Arial" w:eastAsia="Arial" w:hAnsi="Arial"/>
          <w:sz w:val="17"/>
          <w:szCs w:val="17"/>
          <w:color w:val="auto"/>
        </w:rPr>
        <w:t>mutuel commissions consist of commissions earned from thoroughbred and harness racing, and importing of simulcast signals from other race tracks. Pari</w:t>
      </w:r>
      <w:r>
        <w:rPr>
          <w:rFonts w:ascii="MS PGothic" w:cs="MS PGothic" w:eastAsia="MS PGothic" w:hAnsi="MS PGothic"/>
          <w:sz w:val="17"/>
          <w:szCs w:val="17"/>
          <w:color w:val="auto"/>
        </w:rPr>
        <w:t>‑</w:t>
      </w:r>
      <w:r>
        <w:rPr>
          <w:rFonts w:ascii="Arial" w:cs="Arial" w:eastAsia="Arial" w:hAnsi="Arial"/>
          <w:sz w:val="17"/>
          <w:szCs w:val="17"/>
          <w:color w:val="auto"/>
        </w:rPr>
        <w:t>mutuel commissions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We recognize revenues from fees earned through the exporting of simulcast signals to other race tracks at the time wagers are made. Such fees are based upon a predetermined percentage of handle as contracted with the other race tracks. Revenues from food and beverage are recognized at the time of sale and revenues from lodging are recognized on the date of stay. Other revenues are recorded at the time services are rendered or merchandise sold. We offer certain promotional allowances to our customers, including complimentary lodging, food and beverage, and promotional credits for free play on slot machines. The retail value of these promotional items is shown as a reduction in total revenues on our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2012.</w:t>
      </w:r>
    </w:p>
    <w:p>
      <w:pPr>
        <w:spacing w:after="0" w:line="163"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For the year ended December 31, 2014, the difference between the effective rate and the statutory rate is attributed primarily to the federal and state valuation allowances on the Company’s deferred tax assets. As a result of the Company’s net operating losses and net deferred tax asset position as of December 31, 2014 (after exclusion of certain deferred tax liabilities that generally cannot be offset against deferred tax assets, known as “Naked Credits”), the Company provided for a full valuation allowance against substantially all of the net federal and the net state deferred tax assets.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For the year ended December 31, 2015, the difference between the effective rate and the statutory rate is attributable primarily to the release of a majority of the federal and related state valuation allowances on the Company’s deferred tax assets. The Company continues to provide for a valuation allowance against net federal and state deferred tax assets associated with non-operating land, the sale of which could result in capital losses that can only be offset against capital gains. The Company also continues to provide for a valuation allowance against net state deferred tax assets relating to operations in Pennsylvania and West Virginia. Management determined it was not more-likely-than-not that the Company will realize these net deferred tax assets.</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For the year ended December 31, 2014, the Company was in a three-year cumulative loss position, which was significant negative evidence, and the Company did not have positive evidence to outweigh the negative evidence. For the year ended December 31, 2015, management has considered all available positive and negative evidence and concluded it is more-likely-than-not to realize its federal, Louisiana and City of Columbus, Ohio deferred tax assets, with the exception of non-operating land. The Company will continue to evaluate the realization of its deferred tax assets on a quarterly basis and make adjustments to its valuation allowance as appropriate.</w:t>
      </w:r>
    </w:p>
    <w:p>
      <w:pPr>
        <w:spacing w:after="0" w:line="162" w:lineRule="exact"/>
        <w:rPr>
          <w:sz w:val="20"/>
          <w:szCs w:val="20"/>
          <w:color w:val="auto"/>
        </w:rPr>
      </w:pPr>
    </w:p>
    <w:p>
      <w:pPr>
        <w:ind w:right="140" w:firstLine="648"/>
        <w:spacing w:after="0" w:line="185" w:lineRule="exact"/>
        <w:rPr>
          <w:sz w:val="20"/>
          <w:szCs w:val="20"/>
          <w:color w:val="auto"/>
        </w:rPr>
      </w:pPr>
      <w:r>
        <w:rPr>
          <w:rFonts w:ascii="Arial" w:cs="Arial" w:eastAsia="Arial" w:hAnsi="Arial"/>
          <w:sz w:val="18"/>
          <w:szCs w:val="18"/>
          <w:color w:val="auto"/>
        </w:rPr>
        <w:t>For income tax purposes the Company amortizes or depreciates certain assets that have been assigned an indefinite life for book purposes. For the year ended December 31, 2014, the incremental amortization or depreciation deductions for income tax purposes resulted in an increase in certain deferred tax liabilities that could not be used as a source of future taxable income for purposes of measuring the Company’s need for a valuation allowance against the net deferred tax assets. Therefore, the Company recorded non</w:t>
      </w:r>
      <w:r>
        <w:rPr>
          <w:rFonts w:ascii="MS PGothic" w:cs="MS PGothic" w:eastAsia="MS PGothic" w:hAnsi="MS PGothic"/>
          <w:sz w:val="18"/>
          <w:szCs w:val="18"/>
          <w:color w:val="auto"/>
        </w:rPr>
        <w:t>‑</w:t>
      </w:r>
      <w:r>
        <w:rPr>
          <w:rFonts w:ascii="Arial" w:cs="Arial" w:eastAsia="Arial" w:hAnsi="Arial"/>
          <w:sz w:val="18"/>
          <w:szCs w:val="18"/>
          <w:color w:val="auto"/>
        </w:rPr>
        <w:t>cash deferred tax expense of $1.1 million as the Company amortized these assets for tax purposes.</w:t>
      </w:r>
    </w:p>
    <w:p>
      <w:pPr>
        <w:spacing w:after="0" w:line="162"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Prior to the Merger Date, HoldCo was taxed as a partnership under the Internal Revenue Code pursuant to which income taxes were primarily the responsibility of the partners. The Company is a C Corporation subject to the federal and state corporate</w:t>
      </w:r>
      <w:r>
        <w:rPr>
          <w:rFonts w:ascii="MS PGothic" w:cs="MS PGothic" w:eastAsia="MS PGothic" w:hAnsi="MS PGothic"/>
          <w:sz w:val="17"/>
          <w:szCs w:val="17"/>
          <w:color w:val="auto"/>
        </w:rPr>
        <w:t>‑</w:t>
      </w:r>
      <w:r>
        <w:rPr>
          <w:rFonts w:ascii="Arial" w:cs="Arial" w:eastAsia="Arial" w:hAnsi="Arial"/>
          <w:sz w:val="17"/>
          <w:szCs w:val="17"/>
          <w:color w:val="auto"/>
        </w:rPr>
        <w:t>level income taxes at prevailing corporate tax rates. While taxed as a partnership, HoldCo was not subject to federal income tax liability. Because holders of membership interests in HoldCo were required to include their respective shares of HoldCo’s taxable income (including that of Resorts) in their individual income tax returns, distributions were made to their respective member(s) to cover such tax liabilities. Such distributions were subject to limitation in accordance with the provisions of their respective operating agreements. Eldorado Shreveport #2, LLC has elected as a single member limited liability company to be taxed as a C Corporation. Current and deferred income taxes associated with Eldorado Shreveport #2, LLC were not material.</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Under the applicable accounting standards, we may recognize the tax benefit from an uncertain tax position only if it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w:t>
      </w:r>
      <w:r>
        <w:rPr>
          <w:rFonts w:ascii="MS PGothic" w:cs="MS PGothic" w:eastAsia="MS PGothic" w:hAnsi="MS PGothic"/>
          <w:sz w:val="17"/>
          <w:szCs w:val="17"/>
          <w:color w:val="auto"/>
        </w:rPr>
        <w:t>‑</w:t>
      </w:r>
      <w:r>
        <w:rPr>
          <w:rFonts w:ascii="Arial" w:cs="Arial" w:eastAsia="Arial" w:hAnsi="Arial"/>
          <w:sz w:val="17"/>
          <w:szCs w:val="17"/>
          <w:color w:val="auto"/>
        </w:rPr>
        <w:t>recognition, classification, interest and penalties on income taxes, accounting in interim periods and disclosure requirements for uncertain tax positions. We have recorded no liability associated with uncertain tax positions at December 31, 2015 and 2014.</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Property and Equipment and Other 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Property and equipment is recorded at cost, except for the Silver Legacy, Circus Reno and the MTR Gaming properties, which were adjusted for fair value under ASC 805 and are depreciated over their remaining estimated useful life or lease term. Judgments are made in determining estimated useful lives and salvage values of these assets. The accuracy of these estimates affects the amount of depreciation expense recognized in our financial results and whether we have a gain or loss on the disposal of assets. We review depreciation estimates and methods as new events occur, more experience is acquired, and additional information is obtained that would possibly change our current estimates.</w:t>
      </w:r>
    </w:p>
    <w:p>
      <w:pPr>
        <w:spacing w:after="0" w:line="161" w:lineRule="exact"/>
        <w:rPr>
          <w:sz w:val="20"/>
          <w:szCs w:val="20"/>
          <w:color w:val="auto"/>
        </w:rPr>
      </w:pPr>
    </w:p>
    <w:p>
      <w:pPr>
        <w:jc w:val="both"/>
        <w:ind w:right="640" w:firstLine="648"/>
        <w:spacing w:after="0" w:line="203" w:lineRule="exact"/>
        <w:rPr>
          <w:sz w:val="20"/>
          <w:szCs w:val="20"/>
          <w:color w:val="auto"/>
        </w:rPr>
      </w:pPr>
      <w:r>
        <w:rPr>
          <w:rFonts w:ascii="Arial" w:cs="Arial" w:eastAsia="Arial" w:hAnsi="Arial"/>
          <w:sz w:val="16"/>
          <w:szCs w:val="16"/>
          <w:color w:val="auto"/>
        </w:rPr>
        <w:t>Property, equipment and other long</w:t>
      </w:r>
      <w:r>
        <w:rPr>
          <w:rFonts w:ascii="MS PGothic" w:cs="MS PGothic" w:eastAsia="MS PGothic" w:hAnsi="MS PGothic"/>
          <w:sz w:val="16"/>
          <w:szCs w:val="16"/>
          <w:color w:val="auto"/>
        </w:rPr>
        <w:t>‑</w:t>
      </w:r>
      <w:r>
        <w:rPr>
          <w:rFonts w:ascii="Arial" w:cs="Arial" w:eastAsia="Arial" w:hAnsi="Arial"/>
          <w:sz w:val="16"/>
          <w:szCs w:val="16"/>
          <w:color w:val="auto"/>
        </w:rPr>
        <w:t xml:space="preserve">lived assets are assessed for impairment in accordance with ASC 360— </w:t>
      </w:r>
      <w:r>
        <w:rPr>
          <w:rFonts w:ascii="Arial" w:cs="Arial" w:eastAsia="Arial" w:hAnsi="Arial"/>
          <w:sz w:val="16"/>
          <w:szCs w:val="16"/>
          <w:i w:val="1"/>
          <w:iCs w:val="1"/>
          <w:color w:val="auto"/>
        </w:rPr>
        <w:t>Property</w:t>
      </w:r>
      <w:r>
        <w:rPr>
          <w:rFonts w:ascii="Arial" w:cs="Arial" w:eastAsia="Arial" w:hAnsi="Arial"/>
          <w:sz w:val="16"/>
          <w:szCs w:val="16"/>
          <w:color w:val="auto"/>
        </w:rPr>
        <w:t>,</w:t>
      </w:r>
      <w:r>
        <w:rPr>
          <w:rFonts w:ascii="Arial" w:cs="Arial" w:eastAsia="Arial" w:hAnsi="Arial"/>
          <w:sz w:val="16"/>
          <w:szCs w:val="16"/>
          <w:i w:val="1"/>
          <w:iCs w:val="1"/>
          <w:color w:val="auto"/>
        </w:rPr>
        <w:t xml:space="preserve"> Plant</w:t>
      </w:r>
      <w:r>
        <w:rPr>
          <w:rFonts w:ascii="Arial" w:cs="Arial" w:eastAsia="Arial" w:hAnsi="Arial"/>
          <w:sz w:val="16"/>
          <w:szCs w:val="16"/>
          <w:color w:val="auto"/>
        </w:rPr>
        <w:t>,</w:t>
      </w:r>
      <w:r>
        <w:rPr>
          <w:rFonts w:ascii="Arial" w:cs="Arial" w:eastAsia="Arial" w:hAnsi="Arial"/>
          <w:sz w:val="16"/>
          <w:szCs w:val="16"/>
          <w:i w:val="1"/>
          <w:iCs w:val="1"/>
          <w:color w:val="auto"/>
        </w:rPr>
        <w:t xml:space="preserve"> and Equipment</w:t>
      </w:r>
      <w:r>
        <w:rPr>
          <w:rFonts w:ascii="Arial" w:cs="Arial" w:eastAsia="Arial" w:hAnsi="Arial"/>
          <w:sz w:val="16"/>
          <w:szCs w:val="16"/>
          <w:color w:val="auto"/>
        </w:rPr>
        <w:t>. The Company evaluates its long</w:t>
      </w:r>
      <w:r>
        <w:rPr>
          <w:rFonts w:ascii="MS PGothic" w:cs="MS PGothic" w:eastAsia="MS PGothic" w:hAnsi="MS PGothic"/>
          <w:sz w:val="16"/>
          <w:szCs w:val="16"/>
          <w:color w:val="auto"/>
        </w:rPr>
        <w:t>‑</w:t>
      </w:r>
      <w:r>
        <w:rPr>
          <w:rFonts w:ascii="Arial" w:cs="Arial" w:eastAsia="Arial" w:hAnsi="Arial"/>
          <w:sz w:val="16"/>
          <w:szCs w:val="16"/>
          <w:color w:val="auto"/>
        </w:rPr>
        <w:t>lived assets periodically for impairment issues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more frequently, whenever events or circumstances indicate that the carrying amount may not be recoverable. Recoverability of these assets is determined by comparing the net carrying value to the sum of the estimated future net undiscounted cash flows expected to be generated by these assets. The amount of impairment loss, if any, is measured by the difference between the net carrying value and the estimated fair value of the asset which is typically measured using a discounted cash flow model (Level 3 of the fair value hierarchy). For assets to be disposed of, impairment is recognized based on the lower of carrying value or fair value less costs of disposal, as estimated based on comparable asset sales, offers received, or a discounted cash flow model. Based on the results of our periodic reviews we have not recorded any impairment losses during the years ended December 31, 2015, 2014 and 2013.</w:t>
      </w:r>
    </w:p>
    <w:p>
      <w:pPr>
        <w:spacing w:after="0" w:line="168"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For undeveloped properties, including non</w:t>
      </w:r>
      <w:r>
        <w:rPr>
          <w:rFonts w:ascii="MS PGothic" w:cs="MS PGothic" w:eastAsia="MS PGothic" w:hAnsi="MS PGothic"/>
          <w:sz w:val="16"/>
          <w:szCs w:val="16"/>
          <w:color w:val="auto"/>
        </w:rPr>
        <w:t>‑</w:t>
      </w:r>
      <w:r>
        <w:rPr>
          <w:rFonts w:ascii="Arial" w:cs="Arial" w:eastAsia="Arial" w:hAnsi="Arial"/>
          <w:sz w:val="16"/>
          <w:szCs w:val="16"/>
          <w:color w:val="auto"/>
        </w:rPr>
        <w:t>operating real properties, when indicators of impairment are present, properties are evaluated for impairment and losses are recorded when undiscounted cash flows estimated to be generated by an asset or market comparisons are less than the asset’s carrying amount. The amount of the impairment loss is calculated as the excess of the asset’s carrying value over its fair value, which is determined using a discounted cash flow analysis, management estimates or market comparisons. The fair value measurements employed for our impairment evaluations, which are subject to the assumptions and factors as previously discussed, were generally based on a review of comparable activities in the marketplace, which falls within Level 3 of the fair value hierarchy.</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Goodwill and Other Indefinite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Intangible Assets</w:t>
      </w:r>
    </w:p>
    <w:p>
      <w:pPr>
        <w:spacing w:after="0" w:line="185" w:lineRule="exact"/>
        <w:rPr>
          <w:sz w:val="20"/>
          <w:szCs w:val="20"/>
          <w:color w:val="auto"/>
        </w:rPr>
      </w:pPr>
    </w:p>
    <w:p>
      <w:pPr>
        <w:ind w:right="340" w:firstLine="648"/>
        <w:spacing w:after="0" w:line="189" w:lineRule="exact"/>
        <w:rPr>
          <w:sz w:val="20"/>
          <w:szCs w:val="20"/>
          <w:color w:val="auto"/>
        </w:rPr>
      </w:pPr>
      <w:r>
        <w:rPr>
          <w:rFonts w:ascii="Arial" w:cs="Arial" w:eastAsia="Arial" w:hAnsi="Arial"/>
          <w:sz w:val="16"/>
          <w:szCs w:val="16"/>
          <w:color w:val="auto"/>
        </w:rPr>
        <w:t>Goodwill represents the excess of the purchase price paid over the fair value of the net assets of the acquired business. Intangible assets acquired in business combinations are recorded based upon their fair value at the date of acquisition. Goodwill and other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are reviewed for impairment annually, during the fourth quarter, or more frequently if events or changes in circumstances indicate that an asset might be impaired.</w:t>
      </w:r>
    </w:p>
    <w:p>
      <w:pPr>
        <w:spacing w:after="0" w:line="16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Goodwill is tested by comparing the carrying value of the reporting unit to its fair value. The Company estimates the fair value of the reporting unit utilizing income and market approaches. The income approach is based on projected future cash flow that is discounted to present value using factors that consider the timing and risk of the future cash flows. The market approach is based on the Company’s market capitalization at the testing date. The aggregate carrying value of the Company’s goodwill was $66.8 million as of December 31, 2015. The Company did not have goodwill prior to the Merger Date.</w:t>
      </w:r>
    </w:p>
    <w:p>
      <w:pPr>
        <w:spacing w:after="0" w:line="162" w:lineRule="exact"/>
        <w:rPr>
          <w:sz w:val="20"/>
          <w:szCs w:val="20"/>
          <w:color w:val="auto"/>
        </w:rPr>
      </w:pPr>
    </w:p>
    <w:p>
      <w:pPr>
        <w:ind w:right="60" w:firstLine="648"/>
        <w:spacing w:after="0" w:line="194" w:lineRule="exact"/>
        <w:rPr>
          <w:sz w:val="20"/>
          <w:szCs w:val="20"/>
          <w:color w:val="auto"/>
        </w:rPr>
      </w:pPr>
      <w:r>
        <w:rPr>
          <w:rFonts w:ascii="Arial" w:cs="Arial" w:eastAsia="Arial" w:hAnsi="Arial"/>
          <w:sz w:val="16"/>
          <w:szCs w:val="16"/>
          <w:color w:val="auto"/>
        </w:rPr>
        <w:t>Our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consist of racing and gaming licenses, trade names and loyalty programs and are evaluated for impairment by comparing the fair value of the asset to its carrying value. Any excess of carrying value over the fair value is recognized as an impairment within the consolidated statement of operations in the period of review.</w:t>
      </w:r>
    </w:p>
    <w:p>
      <w:pPr>
        <w:spacing w:after="0" w:line="163"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The gaming and racing licenses of each property were valued in aggregate for each respective property, as these licenses are considered to be the most significant asset of the properties and the gaming licenses could not be obtained without holding the racing licenses. Therefore, a market participant would consider the licenses in aggregate. The fair value of the licenses is calculated using an excess earnings methodology, which is an income approach methodology that allocates the projected cash flows of the property to the gaming license intangible assets less charges for the use of the other identifiable assets of the property, including working capital, fixed assets, and other intangible assets. We believe this methodology is appropriate as the gaming licenses are the primary asset to the properties, the licenses are linked to each respective facility and it’s the lowest level at which discrete cash flows can be directly attributable to the assets. Under the gaming legislation applicable to our properties, licenses are property specific and can only be acquired if a buyer acquires the existing facility. Because existing licenses may not be acquired and transferred for use at a different facility, the estimated future cash flows of each of our properties was the primary assumption in the valuation of such property. The aggregate carrying value of the Company’s gaming license intangibles approximated $482.1 million as of December 31, 2015.</w:t>
      </w:r>
    </w:p>
    <w:p>
      <w:pPr>
        <w:spacing w:after="0" w:line="170" w:lineRule="exact"/>
        <w:rPr>
          <w:sz w:val="20"/>
          <w:szCs w:val="20"/>
          <w:color w:val="auto"/>
        </w:rPr>
      </w:pPr>
    </w:p>
    <w:p>
      <w:pPr>
        <w:ind w:right="260" w:firstLine="648"/>
        <w:spacing w:after="0" w:line="189" w:lineRule="exact"/>
        <w:rPr>
          <w:sz w:val="20"/>
          <w:szCs w:val="20"/>
          <w:color w:val="auto"/>
        </w:rPr>
      </w:pPr>
      <w:r>
        <w:rPr>
          <w:rFonts w:ascii="Arial" w:cs="Arial" w:eastAsia="Arial" w:hAnsi="Arial"/>
          <w:sz w:val="16"/>
          <w:szCs w:val="16"/>
          <w:color w:val="auto"/>
        </w:rPr>
        <w:t>Assessing the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for impairment is a process that requires significant judgment and involves detailed quantitative and qualitative business</w:t>
      </w:r>
      <w:r>
        <w:rPr>
          <w:rFonts w:ascii="MS PGothic" w:cs="MS PGothic" w:eastAsia="MS PGothic" w:hAnsi="MS PGothic"/>
          <w:sz w:val="16"/>
          <w:szCs w:val="16"/>
          <w:color w:val="auto"/>
        </w:rPr>
        <w:t>‑</w:t>
      </w:r>
      <w:r>
        <w:rPr>
          <w:rFonts w:ascii="Arial" w:cs="Arial" w:eastAsia="Arial" w:hAnsi="Arial"/>
          <w:sz w:val="16"/>
          <w:szCs w:val="16"/>
          <w:color w:val="auto"/>
        </w:rPr>
        <w:t>specific analysis and many individual assumptions which fluctuate between assessments. Our properties’ estimated future cash flows are a primary assumption in the respective impairment analyses. Unforeseen events, changes in circumstances and market conditions and material differences 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estimates of future cash flows could negatively affect the fair value of our assets and result in an impairment charge, which could be material. Cash flow estimates include assumptions regarding factors such as recent and budgeted operating performance, net win per unit (revenue), patron visits, growth percentages which are developed considering general macroeconomic conditions as well as competitive impacts from current and anticipated competition through a review of customer market data, operating margins, and current regulatory, social and economic climates. These estimates could also be negatively impacted by changes in federal, state, or local regulations, economic downturns or developments and other market conditions affecting travel and access to the properties. The most significant of the assumptions used in our valuations include: (1) revenue growth/decline percentages; (2) discount rates; (3) effective income tax rates; (4) future terminal values and (5) capital expenditure assumptions. These assumptions were developed for each property based on historical trends, the current competitive markets in which they operate, and projections of future performance and competition.</w:t>
      </w:r>
    </w:p>
    <w:p>
      <w:pPr>
        <w:spacing w:after="0" w:line="163"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The Company values trade names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 xml:space="preserve">royalty method. Royalty rates range from 0.5% </w:t>
      </w:r>
      <w:r>
        <w:rPr>
          <w:rFonts w:ascii="MS PGothic" w:cs="MS PGothic" w:eastAsia="MS PGothic" w:hAnsi="MS PGothic"/>
          <w:sz w:val="18"/>
          <w:szCs w:val="18"/>
          <w:color w:val="auto"/>
        </w:rPr>
        <w:t>‑</w:t>
      </w:r>
      <w:r>
        <w:rPr>
          <w:rFonts w:ascii="Arial" w:cs="Arial" w:eastAsia="Arial" w:hAnsi="Arial"/>
          <w:sz w:val="18"/>
          <w:szCs w:val="18"/>
          <w:color w:val="auto"/>
        </w:rPr>
        <w:t xml:space="preserve"> 1.0%. The loyalty program was valued using a combination of a replacement cost and lost profits analysis. Trade names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 year useful life and the loyalty program is being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year useful life. The aggregate carrying value of trade names and loyalty program intangibles as of December 31, 2015 was $9.8 million and $7.7 million,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used reasonable estimates and assumptions to calculate the fair value of our other</w:t>
      </w:r>
    </w:p>
    <w:p>
      <w:pPr>
        <w:spacing w:after="0" w:line="176" w:lineRule="exact"/>
        <w:rPr>
          <w:sz w:val="20"/>
          <w:szCs w:val="20"/>
          <w:color w:val="auto"/>
        </w:rPr>
      </w:pPr>
      <w:r>
        <w:rPr>
          <w:rFonts w:ascii="Arial" w:cs="Arial" w:eastAsia="Arial" w:hAnsi="Arial"/>
          <w:sz w:val="16"/>
          <w:szCs w:val="16"/>
          <w:color w:val="auto"/>
        </w:rPr>
        <w:t>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however, these estimates and assumptions could be materially different from actual results.</w:t>
      </w:r>
    </w:p>
    <w:p>
      <w:pPr>
        <w:spacing w:after="0" w:line="229" w:lineRule="auto"/>
        <w:rPr>
          <w:sz w:val="20"/>
          <w:szCs w:val="20"/>
          <w:color w:val="auto"/>
        </w:rPr>
      </w:pPr>
      <w:r>
        <w:rPr>
          <w:rFonts w:ascii="Arial" w:cs="Arial" w:eastAsia="Arial" w:hAnsi="Arial"/>
          <w:sz w:val="16"/>
          <w:szCs w:val="16"/>
          <w:color w:val="auto"/>
        </w:rPr>
        <w:t>If actual market conditions are less favorable than those projected, or if events occur or circumstances change that would</w:t>
      </w:r>
    </w:p>
    <w:p>
      <w:pPr>
        <w:spacing w:after="0" w:line="229" w:lineRule="auto"/>
        <w:rPr>
          <w:sz w:val="20"/>
          <w:szCs w:val="20"/>
          <w:color w:val="auto"/>
        </w:rPr>
      </w:pPr>
      <w:r>
        <w:rPr>
          <w:rFonts w:ascii="Arial" w:cs="Arial" w:eastAsia="Arial" w:hAnsi="Arial"/>
          <w:sz w:val="16"/>
          <w:szCs w:val="16"/>
          <w:color w:val="auto"/>
        </w:rPr>
        <w:t>reduce the fair value of our licensing intangibles below the carrying value reflected on the consolidated balance sheet, we</w:t>
      </w:r>
    </w:p>
    <w:p>
      <w:pPr>
        <w:spacing w:after="0" w:line="215" w:lineRule="auto"/>
        <w:rPr>
          <w:sz w:val="20"/>
          <w:szCs w:val="20"/>
          <w:color w:val="auto"/>
        </w:rPr>
      </w:pPr>
      <w:r>
        <w:rPr>
          <w:rFonts w:ascii="Arial" w:cs="Arial" w:eastAsia="Arial" w:hAnsi="Arial"/>
          <w:sz w:val="17"/>
          <w:szCs w:val="17"/>
          <w:color w:val="auto"/>
        </w:rPr>
        <w:t>may be required to conduct an interim test or possibly recognize impairment charges, which may be material, in future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169" w:lineRule="exact"/>
        <w:rPr>
          <w:sz w:val="20"/>
          <w:szCs w:val="20"/>
          <w:color w:val="auto"/>
        </w:rPr>
      </w:pPr>
    </w:p>
    <w:p>
      <w:pPr>
        <w:ind w:right="160" w:firstLine="648"/>
        <w:spacing w:after="0" w:line="311" w:lineRule="exact"/>
        <w:rPr>
          <w:sz w:val="20"/>
          <w:szCs w:val="20"/>
          <w:color w:val="auto"/>
        </w:rPr>
      </w:pPr>
      <w:r>
        <w:rPr>
          <w:rFonts w:ascii="Arial" w:cs="Arial" w:eastAsia="Arial" w:hAnsi="Arial"/>
          <w:sz w:val="18"/>
          <w:szCs w:val="18"/>
          <w:color w:val="auto"/>
        </w:rPr>
        <w:t>No impairment charges were recorded for our other indefinite</w:t>
      </w:r>
      <w:r>
        <w:rPr>
          <w:rFonts w:ascii="MS PGothic" w:cs="MS PGothic" w:eastAsia="MS PGothic" w:hAnsi="MS PGothic"/>
          <w:sz w:val="18"/>
          <w:szCs w:val="18"/>
          <w:color w:val="auto"/>
        </w:rPr>
        <w:t>‑</w:t>
      </w:r>
      <w:r>
        <w:rPr>
          <w:rFonts w:ascii="Arial" w:cs="Arial" w:eastAsia="Arial" w:hAnsi="Arial"/>
          <w:sz w:val="18"/>
          <w:szCs w:val="18"/>
          <w:color w:val="auto"/>
        </w:rPr>
        <w:t xml:space="preserve">lived intangible assets in any of the years presented. </w:t>
      </w:r>
      <w:r>
        <w:rPr>
          <w:rFonts w:ascii="Arial" w:cs="Arial" w:eastAsia="Arial" w:hAnsi="Arial"/>
          <w:sz w:val="18"/>
          <w:szCs w:val="18"/>
          <w:i w:val="1"/>
          <w:iCs w:val="1"/>
          <w:color w:val="auto"/>
        </w:rPr>
        <w:t>Reserve for Uncollectible Accounts Receivable</w:t>
      </w:r>
    </w:p>
    <w:p>
      <w:pPr>
        <w:spacing w:after="0" w:line="162"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bad debts.</w:t>
      </w:r>
    </w:p>
    <w:p>
      <w:pPr>
        <w:spacing w:after="0" w:line="15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Self</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Insurance Reserves</w:t>
      </w:r>
    </w:p>
    <w:p>
      <w:pPr>
        <w:spacing w:after="0" w:line="185"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7"/>
          <w:szCs w:val="17"/>
          <w:color w:val="auto"/>
        </w:rPr>
        <w:t>The Company is self</w:t>
      </w:r>
      <w:r>
        <w:rPr>
          <w:rFonts w:ascii="MS PGothic" w:cs="MS PGothic" w:eastAsia="MS PGothic" w:hAnsi="MS PGothic"/>
          <w:sz w:val="17"/>
          <w:szCs w:val="17"/>
          <w:color w:val="auto"/>
        </w:rPr>
        <w:t>‑</w:t>
      </w:r>
      <w:r>
        <w:rPr>
          <w:rFonts w:ascii="Arial" w:cs="Arial" w:eastAsia="Arial" w:hAnsi="Arial"/>
          <w:sz w:val="17"/>
          <w:szCs w:val="17"/>
          <w:color w:val="auto"/>
        </w:rPr>
        <w:t>insured for various levels of general liability, employee medical insurance coverage and workers’ compensation coverage. Self</w:t>
      </w:r>
      <w:r>
        <w:rPr>
          <w:rFonts w:ascii="MS PGothic" w:cs="MS PGothic" w:eastAsia="MS PGothic" w:hAnsi="MS PGothic"/>
          <w:sz w:val="17"/>
          <w:szCs w:val="17"/>
          <w:color w:val="auto"/>
        </w:rPr>
        <w:t>‑</w:t>
      </w:r>
      <w:r>
        <w:rPr>
          <w:rFonts w:ascii="Arial" w:cs="Arial" w:eastAsia="Arial" w:hAnsi="Arial"/>
          <w:sz w:val="17"/>
          <w:szCs w:val="17"/>
          <w:color w:val="auto"/>
        </w:rPr>
        <w:t>insurance reserves are estimated based on the Company’s claims experience and are included in accrued other liabilities on the consolidated balance sheets. At December 31, 2015 and 2014, accrued insurance and medical claims reserves were $3.5 million and $1.3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Program</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offer programs whereby our participating patrons can accumulate points for wagering that can be redeemed for credits for free play on slot machines, lodging, food and beverage, merchandise and in limited situations, cash. Based upon the estimated redemptions of loyalty program points, an estimated liability is established for the cost of redemption on earned but unredeemed points. The estimated cost of redemption utilizes estimates and assumptions of the mix of the various product offerings for which the points will be redeemed and costs of such product offerings. Changes in the programs, membership levels and redemption patterns of our participating patrons can impact this liability. The aggregate outstanding liability for the loyalty program was $3.4 million and $2.4 million at December 31, 2015 and 2014, respectively, and is included as a component of other accrued liabilities in our accompanying consolidated balance sheets.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85"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60" w:firstLine="648"/>
        <w:spacing w:after="0" w:line="235" w:lineRule="auto"/>
        <w:rPr>
          <w:sz w:val="20"/>
          <w:szCs w:val="20"/>
          <w:color w:val="auto"/>
        </w:rPr>
      </w:pPr>
      <w:r>
        <w:rPr>
          <w:rFonts w:ascii="Arial" w:cs="Arial" w:eastAsia="Arial" w:hAnsi="Arial"/>
          <w:sz w:val="16"/>
          <w:szCs w:val="16"/>
          <w:color w:val="auto"/>
        </w:rPr>
        <w:t>In February 2016, the FASB issued an accounting standards update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financial statements. We are currently evaluating the impact of adopting this accounting standard on our consolidated financial statements.</w:t>
      </w:r>
    </w:p>
    <w:p>
      <w:pPr>
        <w:spacing w:after="0" w:line="166"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In November 2015, the FASB issued ASU 2015-17, “Income Taxes—Balance Sheet Classification of Deferred Taxes”, which eliminates the guidance in Topic 740, Income Taxes, that required an entity to separate deferred tax liabilities and assets between current and noncurrent amounts in a classified balance sheet. The amendment require that all deferred tax liabilities and assets of the same tax jurisdiction or a tax filing group, as well as any related valuation allowance, be offset and presented as a single noncurrent amount in a classified balance sheet. The amendment is effective for annual periods beginning after December 15, 2016. Early application is permitted. The guidance may be applied either prospectively to all deferred tax liabilities and assets or retrospectively to all periods presented. The Company applied this guidance in the accompanying consolidated financial statements with prospective application effective October 1, 2015.</w:t>
      </w:r>
    </w:p>
    <w:p>
      <w:pPr>
        <w:spacing w:after="0" w:line="16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In September 2015, the FASB issued ASU 2015-16, Business Combinations (Topic 805): Simplifying the Accounting for Measurement-Period Adjustments. ASU 2015-16 eliminates the requirement that an acquirer in a business combination account for measurement-period adjustments retrospectively. Instead, an acquirer will recognize a measurement-period adjustment during the period in which it determines the amount of the adjustment. The guidance is effective for public business entities for fiscal years beginning after December 15, 2015, and interim periods within those fiscal years. For all other entities, it is effective for fiscal years beginning after December 15, 2016. We are evaluating the effects, if any, that the adoption of this guidance will have on our consolidated financial statements.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In July 2015, the FASB issued ASU 2015-11, “Simplifying the Measurement of Inventory”, which requires that inventory within the scope of ASU 2015-11 be measured at the lower of cost and net realizable value. Inventory measured using last-in, first-out (LIFO) and the retail inventory method are not impacted by the new guidance. ASU 2015-11 applies to all other inventory, which includes inventory that is measured using first-in, first-out (FIFO) or average cost.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is effective for annual periods beginning after December 15, 2016. Early adoption is permitted. We are currently evaluating the impact on our financial statements and disclosures.</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In April 2015, the FASB issued an accounting standards update which changes the presentation of debt issuance costs in financial statements. Under the new standard, an entity presents such costs in the balance sheet as a direct deduction from the related debt liability rather than as an asset. The amortization of the costs is reported as interest expense. In August 2015, the FASB issued an accounting standards update which clarifies that companies may continue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to present unamortized debt issuance costs associated with line of credit arrangements as an asset. The new guidance should be applied on a retrospective basis, wherein the balance sheet of each individual period should be adjusted to reflect the period-specific effects of applying the new guidance. The effective dates for these updates were for the annual and interim periods beginning after December 15, 2015. We elected to early adopt this guidance during the third quarter of 2015.</w:t>
      </w:r>
    </w:p>
    <w:p>
      <w:pPr>
        <w:spacing w:after="0" w:line="155"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January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 “Income Statement—Extraordinary and Unusual Items” (Subtopic 225</w:t>
      </w:r>
      <w:r>
        <w:rPr>
          <w:rFonts w:ascii="MS PGothic" w:cs="MS PGothic" w:eastAsia="MS PGothic" w:hAnsi="MS PGothic"/>
          <w:sz w:val="16"/>
          <w:szCs w:val="16"/>
          <w:color w:val="auto"/>
        </w:rPr>
        <w:t>‑</w:t>
      </w:r>
      <w:r>
        <w:rPr>
          <w:rFonts w:ascii="Arial" w:cs="Arial" w:eastAsia="Arial" w:hAnsi="Arial"/>
          <w:sz w:val="16"/>
          <w:szCs w:val="16"/>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We believe that the effects, if any, of the adoption of this guidance will not have a material impact on our consolidated financial statements.</w:t>
      </w:r>
    </w:p>
    <w:p>
      <w:pPr>
        <w:spacing w:after="0" w:line="163"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In August 2014, the FASB issued ASU No. 2014</w:t>
      </w:r>
      <w:r>
        <w:rPr>
          <w:rFonts w:ascii="MS PGothic" w:cs="MS PGothic" w:eastAsia="MS PGothic" w:hAnsi="MS PGothic"/>
          <w:sz w:val="17"/>
          <w:szCs w:val="17"/>
          <w:color w:val="auto"/>
        </w:rPr>
        <w:t>‑</w:t>
      </w:r>
      <w:r>
        <w:rPr>
          <w:rFonts w:ascii="Arial" w:cs="Arial" w:eastAsia="Arial" w:hAnsi="Arial"/>
          <w:sz w:val="17"/>
          <w:szCs w:val="17"/>
          <w:color w:val="auto"/>
        </w:rPr>
        <w:t>15, “Presentation of Financial Statements—Going Concern” (Subtopic 205</w:t>
      </w:r>
      <w:r>
        <w:rPr>
          <w:rFonts w:ascii="MS PGothic" w:cs="MS PGothic" w:eastAsia="MS PGothic" w:hAnsi="MS PGothic"/>
          <w:sz w:val="17"/>
          <w:szCs w:val="17"/>
          <w:color w:val="auto"/>
        </w:rPr>
        <w:t>‑</w:t>
      </w:r>
      <w:r>
        <w:rPr>
          <w:rFonts w:ascii="Arial" w:cs="Arial" w:eastAsia="Arial" w:hAnsi="Arial"/>
          <w:sz w:val="17"/>
          <w:szCs w:val="17"/>
          <w:color w:val="auto"/>
        </w:rPr>
        <w:t>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We are currently evaluating the effects, if any, adoption of this guidance will have on our consolidated financial statements.</w:t>
      </w:r>
    </w:p>
    <w:p>
      <w:pPr>
        <w:spacing w:after="0" w:line="162"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June 2014, the FASB issued an accounting standards update with respect to performance share awards. This accounting standards update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adoption is permitted. We do not believe that the adoption of this accounting standard will have a material impact on our consolidated financial statements.</w:t>
      </w:r>
    </w:p>
    <w:p>
      <w:pPr>
        <w:spacing w:after="0" w:line="167"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In May 2014, the FASB issued Accounting Standards Update (“ASU”) No. 2014</w:t>
      </w:r>
      <w:r>
        <w:rPr>
          <w:rFonts w:ascii="MS PGothic" w:cs="MS PGothic" w:eastAsia="MS PGothic" w:hAnsi="MS PGothic"/>
          <w:sz w:val="16"/>
          <w:szCs w:val="16"/>
          <w:color w:val="auto"/>
        </w:rPr>
        <w:t>‑</w:t>
      </w:r>
      <w:r>
        <w:rPr>
          <w:rFonts w:ascii="Arial" w:cs="Arial" w:eastAsia="Arial" w:hAnsi="Arial"/>
          <w:sz w:val="16"/>
          <w:szCs w:val="16"/>
          <w:color w:val="auto"/>
        </w:rPr>
        <w:t>9, “Revenue from Contracts with Customers”, which provides guidance for revenue recognition. The new standard outlines a single comprehensive model for entities to use in accounting for revenue arising from contracts with customers and supersedes most current revenue recognition guidance, including industry</w:t>
      </w:r>
      <w:r>
        <w:rPr>
          <w:rFonts w:ascii="MS PGothic" w:cs="MS PGothic" w:eastAsia="MS PGothic" w:hAnsi="MS PGothic"/>
          <w:sz w:val="16"/>
          <w:szCs w:val="16"/>
          <w:color w:val="auto"/>
        </w:rPr>
        <w:t>‑</w:t>
      </w:r>
      <w:r>
        <w:rPr>
          <w:rFonts w:ascii="Arial" w:cs="Arial" w:eastAsia="Arial" w:hAnsi="Arial"/>
          <w:sz w:val="16"/>
          <w:szCs w:val="16"/>
          <w:color w:val="auto"/>
        </w:rPr>
        <w:t>specific guidance. The core principle of the revenue model is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fiscal years, and interim periods within those years, beginning after December 15, 2017. Early adoption is permitted for annual and interim periods beginning after December 15, 2016. We are currently evaluating the impact of the adoption of ASU 2014</w:t>
      </w:r>
      <w:r>
        <w:rPr>
          <w:rFonts w:ascii="MS PGothic" w:cs="MS PGothic" w:eastAsia="MS PGothic" w:hAnsi="MS PGothic"/>
          <w:sz w:val="16"/>
          <w:szCs w:val="16"/>
          <w:color w:val="auto"/>
        </w:rPr>
        <w:t>‑</w:t>
      </w:r>
      <w:r>
        <w:rPr>
          <w:rFonts w:ascii="Arial" w:cs="Arial" w:eastAsia="Arial" w:hAnsi="Arial"/>
          <w:sz w:val="16"/>
          <w:szCs w:val="16"/>
          <w:color w:val="auto"/>
        </w:rPr>
        <w:t>09 on our consolidated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80" w:firstLine="648"/>
        <w:spacing w:after="0" w:line="189" w:lineRule="exact"/>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8"/>
          <w:szCs w:val="18"/>
          <w:color w:val="auto"/>
        </w:rPr>
        <w:t>‑</w:t>
      </w:r>
      <w:r>
        <w:rPr>
          <w:rFonts w:ascii="Arial" w:cs="Arial" w:eastAsia="Arial" w:hAnsi="Arial"/>
          <w:sz w:val="18"/>
          <w:szCs w:val="18"/>
          <w:color w:val="auto"/>
        </w:rPr>
        <w:t>term debt arrangements. At December 31, 2015, interest on borrowings under our New Credit Facility was subject to fluctuation based on changes in short-term interest rates.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year ended December 31, 2015.</w:t>
      </w:r>
    </w:p>
    <w:p>
      <w:pPr>
        <w:spacing w:after="0" w:line="16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6"/>
          <w:szCs w:val="16"/>
          <w:color w:val="auto"/>
        </w:rPr>
        <w:t>The following table provides information as of December 31, 2015 about our debt obligations, including debt that is sensitive to changes in interest rates, and presents principal payments and related weighted-average interest rates by expected maturity dates. Implied forward rates should not be considered a predictor of actual future interest rates.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scheduled maturities of our long-term debt outstanding for the years ending December 31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2"/>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9"/>
              </w:rPr>
              <w:t>Thereafter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Fixed Rate Debt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6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Senior Notes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375,000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375,000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6"/>
                <w:szCs w:val="16"/>
                <w:color w:val="auto"/>
              </w:rPr>
              <w:t>Fixed Interest 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7.00 %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Variable Rate Debt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New Term Loan</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4,250</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4,250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401,625</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422,875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6"/>
                <w:szCs w:val="16"/>
                <w:color w:val="auto"/>
                <w:w w:val="91"/>
              </w:rPr>
              <w:t>Average Interest 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4.25 %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4.25 %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4.25 %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4.25 %</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New Revolving</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2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Credit Facility</w:t>
            </w:r>
          </w:p>
        </w:tc>
        <w:tc>
          <w:tcPr>
            <w:tcW w:w="3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6"/>
                <w:szCs w:val="16"/>
                <w:color w:val="auto"/>
                <w:w w:val="91"/>
              </w:rPr>
              <w:t>Average Interest Rate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3.70 %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As of December 31, 2015, borrowings outstanding under our New Revolving Credit Facility were long-term variable-rate borrowings. Assuming a 100 basis-point increase in LIBOR (in the case of term loan B, over the 1% floor specified in our credit agreement), our annual interest cost would change by $4.2 million based on gross amounts outstanding at December 31,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Our consolidated financial statements and notes to consolidated financial statements, including the report of Ernst &amp; Young LLP thereon, are included at pages 65 through 106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59"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219" w:firstLine="648"/>
        <w:spacing w:after="0" w:line="203" w:lineRule="exact"/>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of the Exchange Act) for Eldorado Resorts, Inc. and subsidiaries.</w:t>
      </w:r>
    </w:p>
    <w:p>
      <w:pPr>
        <w:spacing w:after="0" w:line="162" w:lineRule="exact"/>
        <w:rPr>
          <w:sz w:val="20"/>
          <w:szCs w:val="20"/>
          <w:color w:val="auto"/>
        </w:rPr>
      </w:pPr>
    </w:p>
    <w:p>
      <w:pPr>
        <w:ind w:right="139" w:firstLine="648"/>
        <w:spacing w:after="0" w:line="184" w:lineRule="exact"/>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w:t>
      </w:r>
    </w:p>
    <w:p>
      <w:pPr>
        <w:spacing w:after="0" w:line="1" w:lineRule="exact"/>
        <w:rPr>
          <w:sz w:val="20"/>
          <w:szCs w:val="20"/>
          <w:color w:val="auto"/>
        </w:rPr>
      </w:pPr>
    </w:p>
    <w:p>
      <w:pPr>
        <w:jc w:val="both"/>
        <w:ind w:right="259"/>
        <w:spacing w:after="0" w:line="188"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 Annual Report (the “Evaluation Date”). They have concluded that our disclosure controls and procedures are effective to ensure that the information required to be disclosed by us in the reports that we file under the Exchange Act is recorded, processed, summarized, evaluated and reported within the time periods specified in SEC rules and forms.</w:t>
      </w:r>
    </w:p>
    <w:p>
      <w:pPr>
        <w:spacing w:after="0" w:line="163" w:lineRule="exact"/>
        <w:rPr>
          <w:sz w:val="20"/>
          <w:szCs w:val="20"/>
          <w:color w:val="auto"/>
        </w:rPr>
      </w:pPr>
    </w:p>
    <w:p>
      <w:pPr>
        <w:ind w:right="99" w:firstLine="648"/>
        <w:spacing w:after="0" w:line="226" w:lineRule="auto"/>
        <w:rPr>
          <w:sz w:val="20"/>
          <w:szCs w:val="20"/>
          <w:color w:val="auto"/>
        </w:rPr>
      </w:pPr>
      <w:r>
        <w:rPr>
          <w:rFonts w:ascii="Arial" w:cs="Arial" w:eastAsia="Arial" w:hAnsi="Arial"/>
          <w:sz w:val="17"/>
          <w:szCs w:val="17"/>
          <w:color w:val="auto"/>
        </w:rPr>
        <w:t>In making our assessment of changes in internal control over financial reporting as of December 31, 2015, we have excluded the acquired Silver Legacy and Circus Reno operations because these operations were acquired in a business combination on November 24, 2015. These operations represent $193.6 million and $27.3 million, respectively, of our total assets and $132.1 million and $19.9 million, respectively, of our total net assets as of December 31, 2015. These operations represent $13.5 million and $8.3 million, respectively, of our total net revenues and $0.1 million and $1.5 million, respectively, of our net income for the year ended December 31, 2015.</w:t>
      </w:r>
    </w:p>
    <w:p>
      <w:pPr>
        <w:spacing w:after="0" w:line="165" w:lineRule="exact"/>
        <w:rPr>
          <w:sz w:val="20"/>
          <w:szCs w:val="20"/>
          <w:color w:val="auto"/>
        </w:rPr>
      </w:pPr>
    </w:p>
    <w:p>
      <w:pPr>
        <w:ind w:right="519" w:firstLine="648"/>
        <w:spacing w:after="0" w:line="235"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our internal control over financial reporting as of December 31, 2015, which report follows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89" w:lineRule="exact"/>
        <w:rPr>
          <w:sz w:val="20"/>
          <w:szCs w:val="20"/>
          <w:color w:val="auto"/>
        </w:rPr>
      </w:pPr>
    </w:p>
    <w:p>
      <w:pPr>
        <w:ind w:right="159" w:firstLine="648"/>
        <w:spacing w:after="0" w:line="239" w:lineRule="auto"/>
        <w:rPr>
          <w:sz w:val="20"/>
          <w:szCs w:val="20"/>
          <w:color w:val="auto"/>
        </w:rPr>
      </w:pPr>
      <w:r>
        <w:rPr>
          <w:rFonts w:ascii="Arial" w:cs="Arial" w:eastAsia="Arial" w:hAnsi="Arial"/>
          <w:sz w:val="16"/>
          <w:szCs w:val="16"/>
          <w:color w:val="auto"/>
        </w:rPr>
        <w:t>As further discussed in our Quarterly Report on Form 10-Q filed on November 9, 2015, we identified a material weakness in our controls over the accounting for a debt refinancing transaction. Specifically, subsequent to the issuance of our earnings release and as part of completing our financial statement close process for our quarterly report, we determined we did not properly account for a debt transaction which resulted in the reporting of an incorrect amount of loss on the transaction in our earnings release for the quarter. The accounting for the transaction was correct in the quarterly report. Additionally, we had a design deficiency in our controls as we did not have sufficiently robust controls in place to ensure satisfactory completion of our financial statement close process prior to the issuance of our earnings release.</w:t>
      </w:r>
    </w:p>
    <w:p>
      <w:pPr>
        <w:spacing w:after="0" w:line="163" w:lineRule="exact"/>
        <w:rPr>
          <w:sz w:val="20"/>
          <w:szCs w:val="20"/>
          <w:color w:val="auto"/>
        </w:rPr>
      </w:pPr>
    </w:p>
    <w:p>
      <w:pPr>
        <w:ind w:right="459" w:firstLine="648"/>
        <w:spacing w:after="0" w:line="214" w:lineRule="auto"/>
        <w:rPr>
          <w:sz w:val="20"/>
          <w:szCs w:val="20"/>
          <w:color w:val="auto"/>
        </w:rPr>
      </w:pPr>
      <w:r>
        <w:rPr>
          <w:rFonts w:ascii="Arial" w:cs="Arial" w:eastAsia="Arial" w:hAnsi="Arial"/>
          <w:sz w:val="18"/>
          <w:szCs w:val="18"/>
          <w:color w:val="auto"/>
        </w:rPr>
        <w:t>To remediate this material weakness, we implemented additional controls related to activities that must be completed in the financial statement close process prior to the issuance of our earnings release, implemented additional control criteria that drive the use of third party specialists for significant transactions and hired additional corporate accounting staff and tax personnel. The Audit Committee has reviewed and monitored these remediation measures. We believe these actions have remediated the material weakness identified and have strengthened our internal control over financial reporting.</w:t>
      </w:r>
    </w:p>
    <w:p>
      <w:pPr>
        <w:spacing w:after="0" w:line="162" w:lineRule="exact"/>
        <w:rPr>
          <w:sz w:val="20"/>
          <w:szCs w:val="20"/>
          <w:color w:val="auto"/>
        </w:rPr>
      </w:pPr>
    </w:p>
    <w:p>
      <w:pPr>
        <w:ind w:right="299" w:firstLine="648"/>
        <w:spacing w:after="0" w:line="224" w:lineRule="auto"/>
        <w:rPr>
          <w:sz w:val="20"/>
          <w:szCs w:val="20"/>
          <w:color w:val="auto"/>
        </w:rPr>
      </w:pPr>
      <w:r>
        <w:rPr>
          <w:rFonts w:ascii="Arial" w:cs="Arial" w:eastAsia="Arial" w:hAnsi="Arial"/>
          <w:sz w:val="18"/>
          <w:szCs w:val="18"/>
          <w:color w:val="auto"/>
        </w:rPr>
        <w:t>During the quarter ended December 31, 2015, there were no significant changes in our internal control over financial reporting, other than those referred to above, that have materially affected, or are reasonably likely to materially affect, our internal control over financial reporting.</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rPr>
          <w:sz w:val="20"/>
          <w:szCs w:val="20"/>
          <w:color w:val="auto"/>
        </w:rPr>
      </w:pPr>
      <w:r>
        <w:rPr>
          <w:rFonts w:ascii="Arial" w:cs="Arial" w:eastAsia="Arial" w:hAnsi="Arial"/>
          <w:sz w:val="18"/>
          <w:szCs w:val="18"/>
          <w:color w:val="auto"/>
        </w:rPr>
        <w:t>Eldorado Resorts, Inc.</w:t>
      </w:r>
    </w:p>
    <w:p>
      <w:pPr>
        <w:spacing w:after="0" w:line="115" w:lineRule="exact"/>
        <w:rPr>
          <w:sz w:val="20"/>
          <w:szCs w:val="20"/>
          <w:color w:val="auto"/>
        </w:rPr>
      </w:pPr>
    </w:p>
    <w:p>
      <w:pPr>
        <w:ind w:right="39"/>
        <w:spacing w:after="0" w:line="212" w:lineRule="auto"/>
        <w:rPr>
          <w:sz w:val="20"/>
          <w:szCs w:val="20"/>
          <w:color w:val="auto"/>
        </w:rPr>
      </w:pPr>
      <w:r>
        <w:rPr>
          <w:rFonts w:ascii="Arial" w:cs="Arial" w:eastAsia="Arial" w:hAnsi="Arial"/>
          <w:sz w:val="18"/>
          <w:szCs w:val="18"/>
          <w:color w:val="auto"/>
        </w:rPr>
        <w:t>We have audited Eldorado Resorts, Inc.’s internal control over financial reporting as of December 31, 2015, based on criteria established in Internal Control—Integrated Framework issued by the Committee of Sponsoring Organizations of the Treadway Commission (2013 framework, the “COSO criteria”). Eldorado Resorts,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w:t>
      </w:r>
    </w:p>
    <w:p>
      <w:pPr>
        <w:spacing w:after="0" w:line="57" w:lineRule="exact"/>
        <w:rPr>
          <w:sz w:val="20"/>
          <w:szCs w:val="20"/>
          <w:color w:val="auto"/>
        </w:rPr>
      </w:pPr>
    </w:p>
    <w:p>
      <w:pPr>
        <w:ind w:right="239"/>
        <w:spacing w:after="0" w:line="21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7" w:lineRule="exact"/>
        <w:rPr>
          <w:sz w:val="20"/>
          <w:szCs w:val="20"/>
          <w:color w:val="auto"/>
        </w:rPr>
      </w:pPr>
    </w:p>
    <w:p>
      <w:pPr>
        <w:ind w:right="59"/>
        <w:spacing w:after="0" w:line="23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0" w:lineRule="exact"/>
        <w:rPr>
          <w:sz w:val="20"/>
          <w:szCs w:val="20"/>
          <w:color w:val="auto"/>
        </w:rPr>
      </w:pPr>
    </w:p>
    <w:p>
      <w:pPr>
        <w:jc w:val="both"/>
        <w:ind w:right="219"/>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 w:lineRule="exact"/>
        <w:rPr>
          <w:sz w:val="20"/>
          <w:szCs w:val="20"/>
          <w:color w:val="auto"/>
        </w:rPr>
      </w:pPr>
    </w:p>
    <w:p>
      <w:pPr>
        <w:ind w:right="79"/>
        <w:spacing w:after="0" w:line="223"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Circus and Eldorado Joint Venture (dba, Silver Legacy Resort Casino) and Circus Circus Reno, which are included in the 2015 consolidated financial statements of Eldorado Resorts, Inc. and constituted $220.9 million and $152.0 million of total and net assets, respectively, as of December 31, 2015 and $21.8 million and $1.6 million of net revenues and net income, respectively, for the year then ended. Our audit of internal control over financial reporting of Eldorado Resorts, Inc. also did not include an evaluation of internal control over financial reporting of Circus and Eldorado Joint Venture (dba, Silver Legacy Resort Casino) and Circus Circus Reno.</w:t>
      </w:r>
    </w:p>
    <w:p>
      <w:pPr>
        <w:spacing w:after="0" w:line="60"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color w:val="auto"/>
        </w:rPr>
        <w:t>In our opinion, Eldorado Resorts, Inc. maintained, in all material respects, effective internal control over financial reporting as of December 31, 2015, based on the COSO criteria.</w:t>
      </w:r>
    </w:p>
    <w:p>
      <w:pPr>
        <w:spacing w:after="0" w:line="54" w:lineRule="exact"/>
        <w:rPr>
          <w:sz w:val="20"/>
          <w:szCs w:val="20"/>
          <w:color w:val="auto"/>
        </w:rPr>
      </w:pPr>
    </w:p>
    <w:p>
      <w:pPr>
        <w:ind w:right="39"/>
        <w:spacing w:after="0" w:line="24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Eldorado Resorts, Inc. as of December 31, 2015 and 2014, and the related consolidated statements of operations, comprehensive income (loss), stockholders’ equity and cash flows for each of the three years in the period ended December 31, 2015 and our report dated March 15, 2016 expressed an unqualified opinion thereon.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15, 2016</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for our 2016 Annual Meeting of Stockholders (our “2016 Proxy Statement”) to be filed with the Securities and Exchange Commission no later than April 30, 2016, pursuant to Regulation 14A under the Securities Act.</w:t>
      </w:r>
    </w:p>
    <w:p>
      <w:pPr>
        <w:spacing w:after="0" w:line="161"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http://www.eldoradoresorts.com (accessible through the “Corporate Governance” caption of the Investor Relations page) and a printed copy will be delivered on request by writing to the corporate secretary at Eldorado</w:t>
      </w:r>
    </w:p>
    <w:p>
      <w:pPr>
        <w:spacing w:after="0" w:line="1" w:lineRule="exact"/>
        <w:rPr>
          <w:sz w:val="20"/>
          <w:szCs w:val="20"/>
          <w:color w:val="auto"/>
        </w:rPr>
      </w:pPr>
    </w:p>
    <w:p>
      <w:pPr>
        <w:ind w:right="500"/>
        <w:spacing w:after="0" w:line="218" w:lineRule="auto"/>
        <w:rPr>
          <w:sz w:val="20"/>
          <w:szCs w:val="20"/>
          <w:color w:val="auto"/>
        </w:rPr>
      </w:pPr>
      <w:r>
        <w:rPr>
          <w:rFonts w:ascii="Arial" w:cs="Arial" w:eastAsia="Arial" w:hAnsi="Arial"/>
          <w:sz w:val="18"/>
          <w:szCs w:val="18"/>
          <w:color w:val="auto"/>
        </w:rPr>
        <w:t>Resorts, Inc., c/o corporate secretary, 100 West Liberty Street, Suite 1150, Reno, NV 89501. We intend to satisfy the disclosure requirement regarding certain amendments to, or waivers from, provisions of its code of ethics and business conduct by posting such information on our website.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The information required by this Item is hereby incorporated by reference to our 2016 Proxy Statement, to be filed with the Securities and Exchange Commission no later than April 30, 2016, pursuant to Regulation 14A under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The information required by this Item is hereby incorporated by reference to our 2016 Proxy Statement, to be filed with the Securities and Exchange Commission no later than April 30, 2016, pursuant to Regulation 14A under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The information required by this Item is hereby incorporated by reference to our 2016 Proxy Statement, to be filed with the Securities and Exchange Commission no later than April 30, 2016, pursuant to Regulation 14A under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The information required by this Item is hereby incorporated by reference to our 2016 Proxy Statement, to be filed with the Securities and Exchange Commission no later than April 30, 2016, pursuant to Regulation 14A under the Securities 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 Schedules.</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(a)(i) Financial Statements</w:t>
      </w:r>
    </w:p>
    <w:p>
      <w:pPr>
        <w:spacing w:after="0" w:line="63" w:lineRule="exact"/>
        <w:rPr>
          <w:sz w:val="20"/>
          <w:szCs w:val="20"/>
          <w:color w:val="auto"/>
        </w:rPr>
      </w:pPr>
    </w:p>
    <w:p>
      <w:pPr>
        <w:ind w:left="260"/>
        <w:spacing w:after="0" w:line="207" w:lineRule="exact"/>
        <w:rPr>
          <w:sz w:val="20"/>
          <w:szCs w:val="20"/>
          <w:color w:val="auto"/>
        </w:rPr>
      </w:pPr>
      <w:r>
        <w:rPr>
          <w:rFonts w:ascii="Arial" w:cs="Arial" w:eastAsia="Arial" w:hAnsi="Arial"/>
          <w:sz w:val="18"/>
          <w:szCs w:val="18"/>
          <w:color w:val="auto"/>
        </w:rPr>
        <w:t>Included in Part II of this Annual Report on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63" w:lineRule="exact"/>
        <w:rPr>
          <w:sz w:val="20"/>
          <w:szCs w:val="20"/>
          <w:color w:val="auto"/>
        </w:rPr>
      </w:pPr>
    </w:p>
    <w:p>
      <w:pPr>
        <w:ind w:left="440" w:right="3959"/>
        <w:spacing w:after="0" w:line="338" w:lineRule="auto"/>
        <w:rPr>
          <w:sz w:val="20"/>
          <w:szCs w:val="20"/>
          <w:color w:val="auto"/>
        </w:rPr>
      </w:pPr>
      <w:r>
        <w:rPr>
          <w:rFonts w:ascii="Arial" w:cs="Arial" w:eastAsia="Arial" w:hAnsi="Arial"/>
          <w:sz w:val="15"/>
          <w:szCs w:val="15"/>
          <w:color w:val="auto"/>
        </w:rPr>
        <w:t>Report of Independent Registered Public Accounting Firm Consolidated Balance Sheets as of December 31, 2015 and 2014</w:t>
      </w:r>
    </w:p>
    <w:p>
      <w:pPr>
        <w:ind w:left="440"/>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p>
      <w:pPr>
        <w:spacing w:after="0" w:line="36" w:lineRule="exact"/>
        <w:rPr>
          <w:sz w:val="20"/>
          <w:szCs w:val="20"/>
          <w:color w:val="auto"/>
        </w:rPr>
      </w:pPr>
    </w:p>
    <w:p>
      <w:pPr>
        <w:ind w:left="620" w:right="659" w:hanging="179"/>
        <w:spacing w:after="0" w:line="246" w:lineRule="auto"/>
        <w:rPr>
          <w:sz w:val="20"/>
          <w:szCs w:val="20"/>
          <w:color w:val="auto"/>
        </w:rPr>
      </w:pPr>
      <w:r>
        <w:rPr>
          <w:rFonts w:ascii="Arial" w:cs="Arial" w:eastAsia="Arial" w:hAnsi="Arial"/>
          <w:sz w:val="18"/>
          <w:szCs w:val="18"/>
          <w:color w:val="auto"/>
        </w:rPr>
        <w:t>Consolidated Statements of Comprehensive Income (Loss) for the Years Ended December 31, 2015, 2014 and 2013</w:t>
      </w:r>
    </w:p>
    <w:p>
      <w:pPr>
        <w:spacing w:after="0" w:line="8" w:lineRule="exact"/>
        <w:rPr>
          <w:sz w:val="20"/>
          <w:szCs w:val="20"/>
          <w:color w:val="auto"/>
        </w:rPr>
      </w:pPr>
    </w:p>
    <w:p>
      <w:pPr>
        <w:ind w:left="440" w:right="959"/>
        <w:spacing w:after="0" w:line="281" w:lineRule="auto"/>
        <w:rPr>
          <w:sz w:val="20"/>
          <w:szCs w:val="20"/>
          <w:color w:val="auto"/>
        </w:rPr>
      </w:pPr>
      <w:r>
        <w:rPr>
          <w:rFonts w:ascii="Arial" w:cs="Arial" w:eastAsia="Arial" w:hAnsi="Arial"/>
          <w:sz w:val="18"/>
          <w:szCs w:val="18"/>
          <w:color w:val="auto"/>
        </w:rPr>
        <w:t>Consolidated Statements of Stockholders’ Equity for the Years Ended December 31, 2015, 2014 and 2013 Consolidated Statements of Cash Flows for the Years Ended December 31, 2015, 2014 and 2013 Notes to Consolidated Financial Statements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(a)(ii) Financial Statement Schedule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Years Ended December 31, 2015, 2014 and 2013</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Valuation and Qualifying Accounts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(a)(iii) Exhibits</w:t>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1" w:name="page62"/>
    <w:bookmarkEnd w:id="6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39"/>
          </w:cols>
          <w:pgMar w:left="142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0" w:right="160"/>
        <w:spacing w:after="0" w:line="251" w:lineRule="auto"/>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-13970</wp:posOffset>
            </wp:positionV>
            <wp:extent cx="5657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4827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74" w:lineRule="exact"/>
        <w:rPr>
          <w:sz w:val="20"/>
          <w:szCs w:val="20"/>
          <w:color w:val="auto"/>
        </w:rPr>
      </w:pPr>
    </w:p>
    <w:p>
      <w:pPr>
        <w:ind w:right="379"/>
        <w:spacing w:after="0" w:line="210" w:lineRule="exact"/>
        <w:rPr>
          <w:sz w:val="20"/>
          <w:szCs w:val="20"/>
          <w:color w:val="auto"/>
        </w:rPr>
      </w:pPr>
      <w:r>
        <w:rPr>
          <w:rFonts w:ascii="Arial" w:cs="Arial" w:eastAsia="Arial" w:hAnsi="Arial"/>
          <w:sz w:val="18"/>
          <w:szCs w:val="18"/>
          <w:color w:val="auto"/>
        </w:rPr>
        <w:t>Amended and Restated Articles of Incorporation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September 19, 2014).</w:t>
      </w:r>
    </w:p>
    <w:p>
      <w:pPr>
        <w:spacing w:after="0" w:line="54" w:lineRule="exact"/>
        <w:rPr>
          <w:sz w:val="20"/>
          <w:szCs w:val="20"/>
          <w:color w:val="auto"/>
        </w:rPr>
      </w:pPr>
    </w:p>
    <w:p>
      <w:pPr>
        <w:ind w:right="279"/>
        <w:spacing w:after="0" w:line="210" w:lineRule="exact"/>
        <w:rPr>
          <w:sz w:val="20"/>
          <w:szCs w:val="20"/>
          <w:color w:val="auto"/>
        </w:rPr>
      </w:pPr>
      <w:r>
        <w:rPr>
          <w:rFonts w:ascii="Arial" w:cs="Arial" w:eastAsia="Arial" w:hAnsi="Arial"/>
          <w:sz w:val="18"/>
          <w:szCs w:val="18"/>
          <w:color w:val="auto"/>
        </w:rPr>
        <w:t>Amended and Restated Bylaws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September 19, 2014).</w:t>
      </w:r>
    </w:p>
    <w:p>
      <w:pPr>
        <w:spacing w:after="0" w:line="54" w:lineRule="exact"/>
        <w:rPr>
          <w:sz w:val="20"/>
          <w:szCs w:val="20"/>
          <w:color w:val="auto"/>
        </w:rPr>
      </w:pPr>
    </w:p>
    <w:p>
      <w:pPr>
        <w:ind w:right="559"/>
        <w:spacing w:after="0" w:line="210" w:lineRule="exact"/>
        <w:rPr>
          <w:sz w:val="20"/>
          <w:szCs w:val="20"/>
          <w:color w:val="auto"/>
        </w:rPr>
      </w:pPr>
      <w:r>
        <w:rPr>
          <w:rFonts w:ascii="Arial" w:cs="Arial" w:eastAsia="Arial" w:hAnsi="Arial"/>
          <w:sz w:val="18"/>
          <w:szCs w:val="18"/>
          <w:color w:val="auto"/>
        </w:rPr>
        <w:t>Specimen Stock Certificate of the Company (incorporated by reference to our Form S</w:t>
      </w:r>
      <w:r>
        <w:rPr>
          <w:rFonts w:ascii="MS PGothic" w:cs="MS PGothic" w:eastAsia="MS PGothic" w:hAnsi="MS PGothic"/>
          <w:sz w:val="18"/>
          <w:szCs w:val="18"/>
          <w:color w:val="auto"/>
        </w:rPr>
        <w:t>‑</w:t>
      </w:r>
      <w:r>
        <w:rPr>
          <w:rFonts w:ascii="Arial" w:cs="Arial" w:eastAsia="Arial" w:hAnsi="Arial"/>
          <w:sz w:val="18"/>
          <w:szCs w:val="18"/>
          <w:color w:val="auto"/>
        </w:rPr>
        <w:t>4/A filed on April 21, 2014).</w:t>
      </w:r>
    </w:p>
    <w:p>
      <w:pPr>
        <w:spacing w:after="0" w:line="54" w:lineRule="exact"/>
        <w:rPr>
          <w:sz w:val="20"/>
          <w:szCs w:val="20"/>
          <w:color w:val="auto"/>
        </w:rPr>
      </w:pPr>
    </w:p>
    <w:p>
      <w:pPr>
        <w:ind w:right="179"/>
        <w:spacing w:after="0" w:line="203" w:lineRule="exact"/>
        <w:rPr>
          <w:sz w:val="20"/>
          <w:szCs w:val="20"/>
          <w:color w:val="auto"/>
        </w:rPr>
      </w:pPr>
      <w:r>
        <w:rPr>
          <w:rFonts w:ascii="Arial" w:cs="Arial" w:eastAsia="Arial" w:hAnsi="Arial"/>
          <w:sz w:val="16"/>
          <w:szCs w:val="16"/>
          <w:color w:val="auto"/>
        </w:rPr>
        <w:t>Indenture dated as of June 23, 2015, by and among Eldorado Resorts, Inc. the guarantors party thereto and U.S. Bank National Association, as Trustee, and Capital One, N.A., as Collateral Trustee, and Form of Note (incorporated by reference to our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filed on July 23, 2015).</w:t>
      </w:r>
    </w:p>
    <w:p>
      <w:pPr>
        <w:spacing w:after="0" w:line="55" w:lineRule="exact"/>
        <w:rPr>
          <w:sz w:val="20"/>
          <w:szCs w:val="20"/>
          <w:color w:val="auto"/>
        </w:rPr>
      </w:pPr>
    </w:p>
    <w:p>
      <w:pPr>
        <w:sectPr>
          <w:pgSz w:w="11900" w:h="16838" w:orient="portrait"/>
          <w:cols w:equalWidth="0" w:num="2">
            <w:col w:w="1020" w:space="360"/>
            <w:col w:w="7659"/>
          </w:cols>
          <w:pgMar w:left="1420" w:top="112" w:right="1440" w:bottom="1440" w:gutter="0" w:footer="0" w:header="0"/>
          <w:type w:val="continuous"/>
        </w:sectPr>
      </w:pPr>
    </w:p>
    <w:p>
      <w:pPr>
        <w:jc w:val="both"/>
        <w:ind w:left="1380" w:right="279" w:hanging="679"/>
        <w:spacing w:after="0" w:line="203" w:lineRule="exact"/>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Agreement dated November 1, 2008 between Mountaineer Park, Inc. and Racetrack Employees Union Local No. 101 [Schedules omitted] (incorporated by reference to the Annual Report of MTR Gaming Group, Inc.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2009).</w:t>
      </w:r>
    </w:p>
    <w:p>
      <w:pPr>
        <w:spacing w:after="0" w:line="54" w:lineRule="exact"/>
        <w:rPr>
          <w:sz w:val="20"/>
          <w:szCs w:val="20"/>
          <w:color w:val="auto"/>
        </w:rPr>
      </w:pPr>
    </w:p>
    <w:p>
      <w:pPr>
        <w:ind w:left="1380" w:right="79" w:hanging="679"/>
        <w:spacing w:after="0" w:line="203" w:lineRule="exact"/>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Agreement dated December 31, 2009 by and between Mountaineer Park, Inc. and Mountaineer Park Horsemen’s Benevolent and Protective Association, Inc. (incorporated by reference to the Annual Report of MTR Gaming Group, Inc. on Form 10</w:t>
      </w:r>
      <w:r>
        <w:rPr>
          <w:rFonts w:ascii="MS PGothic" w:cs="MS PGothic" w:eastAsia="MS PGothic" w:hAnsi="MS PGothic"/>
          <w:sz w:val="17"/>
          <w:szCs w:val="17"/>
          <w:color w:val="auto"/>
        </w:rPr>
        <w:t>‑</w:t>
      </w:r>
      <w:r>
        <w:rPr>
          <w:rFonts w:ascii="Arial" w:cs="Arial" w:eastAsia="Arial" w:hAnsi="Arial"/>
          <w:sz w:val="17"/>
          <w:szCs w:val="17"/>
          <w:color w:val="auto"/>
        </w:rPr>
        <w:t>K filed on March 16, 2010).</w:t>
      </w:r>
    </w:p>
    <w:p>
      <w:pPr>
        <w:spacing w:after="0" w:line="53" w:lineRule="exact"/>
        <w:rPr>
          <w:sz w:val="20"/>
          <w:szCs w:val="20"/>
          <w:color w:val="auto"/>
        </w:rPr>
      </w:pPr>
    </w:p>
    <w:p>
      <w:pPr>
        <w:ind w:left="1380" w:right="139" w:hanging="679"/>
        <w:spacing w:after="0" w:line="203" w:lineRule="exact"/>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Agreement dated February 22, 2007 by and between Presque Isle Downs, Inc. and the Pennsylvania Horsemen’s Benevolent and Protective Association Inc. (incorporated by reference to the Annual Report of MTR Gaming Group, Inc. on Form 10</w:t>
      </w:r>
      <w:r>
        <w:rPr>
          <w:rFonts w:ascii="MS PGothic" w:cs="MS PGothic" w:eastAsia="MS PGothic" w:hAnsi="MS PGothic"/>
          <w:sz w:val="17"/>
          <w:szCs w:val="17"/>
          <w:color w:val="auto"/>
        </w:rPr>
        <w:t>‑</w:t>
      </w:r>
      <w:r>
        <w:rPr>
          <w:rFonts w:ascii="Arial" w:cs="Arial" w:eastAsia="Arial" w:hAnsi="Arial"/>
          <w:sz w:val="17"/>
          <w:szCs w:val="17"/>
          <w:color w:val="auto"/>
        </w:rPr>
        <w:t>K filed on April 2, 2007).</w:t>
      </w:r>
    </w:p>
    <w:p>
      <w:pPr>
        <w:spacing w:after="0" w:line="53" w:lineRule="exact"/>
        <w:rPr>
          <w:sz w:val="20"/>
          <w:szCs w:val="20"/>
          <w:color w:val="auto"/>
        </w:rPr>
      </w:pPr>
    </w:p>
    <w:p>
      <w:pPr>
        <w:jc w:val="right"/>
        <w:ind w:left="580" w:right="239"/>
        <w:spacing w:after="0" w:line="210" w:lineRule="exact"/>
        <w:rPr>
          <w:sz w:val="20"/>
          <w:szCs w:val="20"/>
          <w:color w:val="auto"/>
        </w:rPr>
      </w:pPr>
      <w:r>
        <w:rPr>
          <w:rFonts w:ascii="Arial" w:cs="Arial" w:eastAsia="Arial" w:hAnsi="Arial"/>
          <w:sz w:val="17"/>
          <w:szCs w:val="17"/>
          <w:color w:val="auto"/>
        </w:rPr>
        <w:t>10.7*     Executive Employment Agreement, dated as of September 29, 2014, by and between the Company and Gary Carano (incorporated by reference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October 3, 2014).</w:t>
      </w:r>
    </w:p>
    <w:p>
      <w:pPr>
        <w:spacing w:after="0" w:line="54" w:lineRule="exact"/>
        <w:rPr>
          <w:sz w:val="20"/>
          <w:szCs w:val="20"/>
          <w:color w:val="auto"/>
        </w:rPr>
      </w:pPr>
    </w:p>
    <w:p>
      <w:pPr>
        <w:jc w:val="right"/>
        <w:ind w:left="580" w:right="219"/>
        <w:spacing w:after="0" w:line="210" w:lineRule="exact"/>
        <w:rPr>
          <w:sz w:val="20"/>
          <w:szCs w:val="20"/>
          <w:color w:val="auto"/>
        </w:rPr>
      </w:pPr>
      <w:r>
        <w:rPr>
          <w:rFonts w:ascii="Arial" w:cs="Arial" w:eastAsia="Arial" w:hAnsi="Arial"/>
          <w:sz w:val="17"/>
          <w:szCs w:val="17"/>
          <w:color w:val="auto"/>
        </w:rPr>
        <w:t>10.8*     Executive Employment Agreement, dated as of September 29, 2014, by and between the Company and Thomas Reeg (incorporated by reference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October 3, 2014).</w:t>
      </w:r>
    </w:p>
    <w:p>
      <w:pPr>
        <w:spacing w:after="0" w:line="54" w:lineRule="exact"/>
        <w:rPr>
          <w:sz w:val="20"/>
          <w:szCs w:val="20"/>
          <w:color w:val="auto"/>
        </w:rPr>
      </w:pPr>
    </w:p>
    <w:p>
      <w:pPr>
        <w:jc w:val="right"/>
        <w:ind w:left="580" w:right="239"/>
        <w:spacing w:after="0" w:line="210" w:lineRule="exact"/>
        <w:rPr>
          <w:sz w:val="20"/>
          <w:szCs w:val="20"/>
          <w:color w:val="auto"/>
        </w:rPr>
      </w:pPr>
      <w:r>
        <w:rPr>
          <w:rFonts w:ascii="Arial" w:cs="Arial" w:eastAsia="Arial" w:hAnsi="Arial"/>
          <w:sz w:val="17"/>
          <w:szCs w:val="17"/>
          <w:color w:val="auto"/>
        </w:rPr>
        <w:t>10.9*     Executive Employment Agreement, dated as of September 29, 2014, by and between the Company and Robert Jones (incorporated by reference to our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on October 3, 2014).</w:t>
      </w:r>
    </w:p>
    <w:p>
      <w:pPr>
        <w:spacing w:after="0" w:line="54" w:lineRule="exact"/>
        <w:rPr>
          <w:sz w:val="20"/>
          <w:szCs w:val="20"/>
          <w:color w:val="auto"/>
        </w:rPr>
      </w:pPr>
    </w:p>
    <w:p>
      <w:pPr>
        <w:ind w:left="1380" w:right="239" w:hanging="891"/>
        <w:spacing w:after="0" w:line="203" w:lineRule="exact"/>
        <w:tabs>
          <w:tab w:leader="none" w:pos="13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Executive Employment Agreement, dated as of September 29, 2014, by and between the Company and Joseph L. Billhimer, Jr.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October 3, 2014).</w:t>
      </w:r>
    </w:p>
    <w:p>
      <w:pPr>
        <w:spacing w:after="0" w:line="54" w:lineRule="exact"/>
        <w:rPr>
          <w:sz w:val="20"/>
          <w:szCs w:val="20"/>
          <w:color w:val="auto"/>
        </w:rPr>
      </w:pPr>
    </w:p>
    <w:p>
      <w:pPr>
        <w:ind w:left="1380" w:right="239" w:hanging="885"/>
        <w:spacing w:after="0" w:line="203" w:lineRule="exact"/>
        <w:tabs>
          <w:tab w:leader="none" w:pos="13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Executive Employment Agreement, dated as of September 29, 2014, by and between the Company and Anthony Carano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October 3, 2014).</w:t>
      </w:r>
    </w:p>
    <w:p>
      <w:pPr>
        <w:spacing w:after="0" w:line="54" w:lineRule="exact"/>
        <w:rPr>
          <w:sz w:val="20"/>
          <w:szCs w:val="20"/>
          <w:color w:val="auto"/>
        </w:rPr>
      </w:pPr>
    </w:p>
    <w:p>
      <w:pPr>
        <w:ind w:left="1380" w:right="439" w:hanging="891"/>
        <w:spacing w:after="0" w:line="210" w:lineRule="exact"/>
        <w:tabs>
          <w:tab w:leader="none" w:pos="13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2010 Long</w:t>
      </w:r>
      <w:r>
        <w:rPr>
          <w:rFonts w:ascii="MS PGothic" w:cs="MS PGothic" w:eastAsia="MS PGothic" w:hAnsi="MS PGothic"/>
          <w:sz w:val="18"/>
          <w:szCs w:val="18"/>
          <w:color w:val="auto"/>
        </w:rPr>
        <w:t>‑</w:t>
      </w:r>
      <w:r>
        <w:rPr>
          <w:rFonts w:ascii="Arial" w:cs="Arial" w:eastAsia="Arial" w:hAnsi="Arial"/>
          <w:sz w:val="18"/>
          <w:szCs w:val="18"/>
          <w:color w:val="auto"/>
        </w:rPr>
        <w:t>Term Incentive Plan (incorporated by reference to the Quarterly Report of MTR Gaming Group, Inc. on Form 10</w:t>
      </w:r>
      <w:r>
        <w:rPr>
          <w:rFonts w:ascii="MS PGothic" w:cs="MS PGothic" w:eastAsia="MS PGothic" w:hAnsi="MS PGothic"/>
          <w:sz w:val="18"/>
          <w:szCs w:val="18"/>
          <w:color w:val="auto"/>
        </w:rPr>
        <w:t>‑</w:t>
      </w:r>
      <w:r>
        <w:rPr>
          <w:rFonts w:ascii="Arial" w:cs="Arial" w:eastAsia="Arial" w:hAnsi="Arial"/>
          <w:sz w:val="18"/>
          <w:szCs w:val="18"/>
          <w:color w:val="auto"/>
        </w:rPr>
        <w:t>Q filed on August 9, 2010).</w:t>
      </w:r>
    </w:p>
    <w:p>
      <w:pPr>
        <w:spacing w:after="0" w:line="54" w:lineRule="exact"/>
        <w:rPr>
          <w:sz w:val="20"/>
          <w:szCs w:val="20"/>
          <w:color w:val="auto"/>
        </w:rPr>
      </w:pPr>
    </w:p>
    <w:p>
      <w:pPr>
        <w:ind w:left="1380" w:right="539" w:hanging="891"/>
        <w:spacing w:after="0" w:line="203" w:lineRule="exact"/>
        <w:tabs>
          <w:tab w:leader="none" w:pos="13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Restricted Stock Unit Award Agreement for Non</w:t>
      </w:r>
      <w:r>
        <w:rPr>
          <w:rFonts w:ascii="MS PGothic" w:cs="MS PGothic" w:eastAsia="MS PGothic" w:hAnsi="MS PGothic"/>
          <w:sz w:val="18"/>
          <w:szCs w:val="18"/>
          <w:color w:val="auto"/>
        </w:rPr>
        <w:t>‑</w:t>
      </w:r>
      <w:r>
        <w:rPr>
          <w:rFonts w:ascii="Arial" w:cs="Arial" w:eastAsia="Arial" w:hAnsi="Arial"/>
          <w:sz w:val="18"/>
          <w:szCs w:val="18"/>
          <w:color w:val="auto"/>
        </w:rPr>
        <w:t>Employee Directors (2010 Long</w:t>
      </w:r>
      <w:r>
        <w:rPr>
          <w:rFonts w:ascii="MS PGothic" w:cs="MS PGothic" w:eastAsia="MS PGothic" w:hAnsi="MS PGothic"/>
          <w:sz w:val="18"/>
          <w:szCs w:val="18"/>
          <w:color w:val="auto"/>
        </w:rPr>
        <w:t>‑</w:t>
      </w:r>
      <w:r>
        <w:rPr>
          <w:rFonts w:ascii="Arial" w:cs="Arial" w:eastAsia="Arial" w:hAnsi="Arial"/>
          <w:sz w:val="18"/>
          <w:szCs w:val="18"/>
          <w:color w:val="auto"/>
        </w:rPr>
        <w:t>Term Incentive Plan) (incorporated by reference to the Quarterly Report of MTR Gaming Group, Inc. on Form 10</w:t>
      </w:r>
      <w:r>
        <w:rPr>
          <w:rFonts w:ascii="MS PGothic" w:cs="MS PGothic" w:eastAsia="MS PGothic" w:hAnsi="MS PGothic"/>
          <w:sz w:val="18"/>
          <w:szCs w:val="18"/>
          <w:color w:val="auto"/>
        </w:rPr>
        <w:t>‑</w:t>
      </w:r>
      <w:r>
        <w:rPr>
          <w:rFonts w:ascii="Arial" w:cs="Arial" w:eastAsia="Arial" w:hAnsi="Arial"/>
          <w:sz w:val="18"/>
          <w:szCs w:val="18"/>
          <w:color w:val="auto"/>
        </w:rPr>
        <w:t>Q filed on August 9, 2010).</w:t>
      </w:r>
    </w:p>
    <w:p>
      <w:pPr>
        <w:spacing w:after="0" w:line="54" w:lineRule="exact"/>
        <w:rPr>
          <w:sz w:val="20"/>
          <w:szCs w:val="20"/>
          <w:color w:val="auto"/>
        </w:rPr>
      </w:pPr>
    </w:p>
    <w:p>
      <w:pPr>
        <w:ind w:left="1380" w:right="99" w:hanging="891"/>
        <w:spacing w:after="0" w:line="210" w:lineRule="exact"/>
        <w:tabs>
          <w:tab w:leader="none" w:pos="13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Nonqualified Stock Option Award Agreement (2010 Long</w:t>
      </w:r>
      <w:r>
        <w:rPr>
          <w:rFonts w:ascii="MS PGothic" w:cs="MS PGothic" w:eastAsia="MS PGothic" w:hAnsi="MS PGothic"/>
          <w:sz w:val="16"/>
          <w:szCs w:val="16"/>
          <w:color w:val="auto"/>
        </w:rPr>
        <w:t>‑</w:t>
      </w:r>
      <w:r>
        <w:rPr>
          <w:rFonts w:ascii="Arial" w:cs="Arial" w:eastAsia="Arial" w:hAnsi="Arial"/>
          <w:sz w:val="16"/>
          <w:szCs w:val="16"/>
          <w:color w:val="auto"/>
        </w:rPr>
        <w:t>Term Incentive Plan) (incorporated by reference to the Current Report of MTR Gaming Group, Inc. on Form 8</w:t>
      </w:r>
      <w:r>
        <w:rPr>
          <w:rFonts w:ascii="MS PGothic" w:cs="MS PGothic" w:eastAsia="MS PGothic" w:hAnsi="MS PGothic"/>
          <w:sz w:val="16"/>
          <w:szCs w:val="16"/>
          <w:color w:val="auto"/>
        </w:rPr>
        <w:t>‑</w:t>
      </w:r>
      <w:r>
        <w:rPr>
          <w:rFonts w:ascii="Arial" w:cs="Arial" w:eastAsia="Arial" w:hAnsi="Arial"/>
          <w:sz w:val="16"/>
          <w:szCs w:val="16"/>
          <w:color w:val="auto"/>
        </w:rPr>
        <w:t>K filed on February 3, 2011).</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type w:val="continuous"/>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 w:lineRule="exact"/>
        <w:rPr>
          <w:sz w:val="20"/>
          <w:szCs w:val="20"/>
          <w:color w:val="auto"/>
        </w:rPr>
      </w:pPr>
    </w:p>
    <w:p>
      <w:pPr>
        <w:ind w:left="80"/>
        <w:spacing w:after="0"/>
        <w:tabs>
          <w:tab w:leader="none" w:pos="4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ITEM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-3175</wp:posOffset>
            </wp:positionV>
            <wp:extent cx="5651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54" w:lineRule="exact"/>
        <w:rPr>
          <w:sz w:val="20"/>
          <w:szCs w:val="20"/>
          <w:color w:val="auto"/>
        </w:rPr>
      </w:pPr>
    </w:p>
    <w:p>
      <w:pPr>
        <w:ind w:left="1380" w:right="319" w:hanging="891"/>
        <w:spacing w:after="0" w:line="210" w:lineRule="exact"/>
        <w:tabs>
          <w:tab w:leader="none" w:pos="13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Restricted Stock Unit Award Agreement (2010 Long</w:t>
      </w:r>
      <w:r>
        <w:rPr>
          <w:rFonts w:ascii="MS PGothic" w:cs="MS PGothic" w:eastAsia="MS PGothic" w:hAnsi="MS PGothic"/>
          <w:sz w:val="16"/>
          <w:szCs w:val="16"/>
          <w:color w:val="auto"/>
        </w:rPr>
        <w:t>‑</w:t>
      </w:r>
      <w:r>
        <w:rPr>
          <w:rFonts w:ascii="Arial" w:cs="Arial" w:eastAsia="Arial" w:hAnsi="Arial"/>
          <w:sz w:val="16"/>
          <w:szCs w:val="16"/>
          <w:color w:val="auto"/>
        </w:rPr>
        <w:t>Term Incentive Plan) (incorporated by reference to the Current Report of MTR Gaming Group, Inc. on Form 8</w:t>
      </w:r>
      <w:r>
        <w:rPr>
          <w:rFonts w:ascii="MS PGothic" w:cs="MS PGothic" w:eastAsia="MS PGothic" w:hAnsi="MS PGothic"/>
          <w:sz w:val="16"/>
          <w:szCs w:val="16"/>
          <w:color w:val="auto"/>
        </w:rPr>
        <w:t>‑</w:t>
      </w:r>
      <w:r>
        <w:rPr>
          <w:rFonts w:ascii="Arial" w:cs="Arial" w:eastAsia="Arial" w:hAnsi="Arial"/>
          <w:sz w:val="16"/>
          <w:szCs w:val="16"/>
          <w:color w:val="auto"/>
        </w:rPr>
        <w:t>K filed on February 3, 2011).</w:t>
      </w:r>
    </w:p>
    <w:p>
      <w:pPr>
        <w:spacing w:after="0" w:line="54" w:lineRule="exact"/>
        <w:rPr>
          <w:sz w:val="20"/>
          <w:szCs w:val="20"/>
          <w:color w:val="auto"/>
        </w:rPr>
      </w:pPr>
    </w:p>
    <w:p>
      <w:pPr>
        <w:ind w:left="1380" w:right="139" w:hanging="891"/>
        <w:spacing w:after="0" w:line="210" w:lineRule="exact"/>
        <w:tabs>
          <w:tab w:leader="none" w:pos="13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Cash</w:t>
      </w:r>
      <w:r>
        <w:rPr>
          <w:rFonts w:ascii="MS PGothic" w:cs="MS PGothic" w:eastAsia="MS PGothic" w:hAnsi="MS PGothic"/>
          <w:sz w:val="16"/>
          <w:szCs w:val="16"/>
          <w:color w:val="auto"/>
        </w:rPr>
        <w:t>‑</w:t>
      </w:r>
      <w:r>
        <w:rPr>
          <w:rFonts w:ascii="Arial" w:cs="Arial" w:eastAsia="Arial" w:hAnsi="Arial"/>
          <w:sz w:val="16"/>
          <w:szCs w:val="16"/>
          <w:color w:val="auto"/>
        </w:rPr>
        <w:t>Based Performance Award Agreement (2010 Long</w:t>
      </w:r>
      <w:r>
        <w:rPr>
          <w:rFonts w:ascii="MS PGothic" w:cs="MS PGothic" w:eastAsia="MS PGothic" w:hAnsi="MS PGothic"/>
          <w:sz w:val="16"/>
          <w:szCs w:val="16"/>
          <w:color w:val="auto"/>
        </w:rPr>
        <w:t>‑</w:t>
      </w:r>
      <w:r>
        <w:rPr>
          <w:rFonts w:ascii="Arial" w:cs="Arial" w:eastAsia="Arial" w:hAnsi="Arial"/>
          <w:sz w:val="16"/>
          <w:szCs w:val="16"/>
          <w:color w:val="auto"/>
        </w:rPr>
        <w:t>Term Incentive Plan) (incorporated by reference to the Current Report of MTR Gaming Group, Inc. on Form 8</w:t>
      </w:r>
      <w:r>
        <w:rPr>
          <w:rFonts w:ascii="MS PGothic" w:cs="MS PGothic" w:eastAsia="MS PGothic" w:hAnsi="MS PGothic"/>
          <w:sz w:val="16"/>
          <w:szCs w:val="16"/>
          <w:color w:val="auto"/>
        </w:rPr>
        <w:t>‑</w:t>
      </w:r>
      <w:r>
        <w:rPr>
          <w:rFonts w:ascii="Arial" w:cs="Arial" w:eastAsia="Arial" w:hAnsi="Arial"/>
          <w:sz w:val="16"/>
          <w:szCs w:val="16"/>
          <w:color w:val="auto"/>
        </w:rPr>
        <w:t>K filed on February 3, 2011).</w:t>
      </w:r>
    </w:p>
    <w:p>
      <w:pPr>
        <w:spacing w:after="0" w:line="54" w:lineRule="exact"/>
        <w:rPr>
          <w:sz w:val="20"/>
          <w:szCs w:val="20"/>
          <w:color w:val="auto"/>
        </w:rPr>
      </w:pPr>
    </w:p>
    <w:p>
      <w:pPr>
        <w:ind w:left="1380" w:right="99" w:hanging="769"/>
        <w:spacing w:after="0" w:line="203" w:lineRule="exact"/>
        <w:tabs>
          <w:tab w:leader="none" w:pos="13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Ground Lease dated as of May 19, 1999 between City of Shreveport, as landlord, and Eldorado Casino Shreveport Joint Venture (formerly known as QNOV) as tenant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p>
      <w:pPr>
        <w:spacing w:after="0" w:line="54" w:lineRule="exact"/>
        <w:rPr>
          <w:sz w:val="20"/>
          <w:szCs w:val="20"/>
          <w:color w:val="auto"/>
        </w:rPr>
      </w:pPr>
    </w:p>
    <w:p>
      <w:pPr>
        <w:jc w:val="both"/>
        <w:ind w:left="1380" w:right="59" w:hanging="769"/>
        <w:spacing w:after="0" w:line="203" w:lineRule="exact"/>
        <w:tabs>
          <w:tab w:leader="none" w:pos="13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First Amendment to Lease Agreement made and entered into as of August 13, 2012, by and between City of Shreveport, as landlord, and Eldorado Casino Shreveport Joint Venture (formerly known as QNOV) as tenant (incorporated by reference to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16, 2015).</w:t>
      </w:r>
    </w:p>
    <w:p>
      <w:pPr>
        <w:sectPr>
          <w:pgSz w:w="11900" w:h="16838" w:orient="portrait"/>
          <w:cols w:equalWidth="0" w:num="1">
            <w:col w:w="9039"/>
          </w:cols>
          <w:pgMar w:left="1420" w:top="112" w:right="1440" w:bottom="1440" w:gutter="0" w:footer="0" w:header="0"/>
        </w:sectPr>
      </w:pP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10.19</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10.20</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179"/>
        <w:spacing w:after="0" w:line="210" w:lineRule="exact"/>
        <w:rPr>
          <w:sz w:val="20"/>
          <w:szCs w:val="20"/>
          <w:color w:val="auto"/>
        </w:rPr>
      </w:pPr>
      <w:r>
        <w:rPr>
          <w:rFonts w:ascii="Arial" w:cs="Arial" w:eastAsia="Arial" w:hAnsi="Arial"/>
          <w:sz w:val="16"/>
          <w:szCs w:val="16"/>
          <w:color w:val="auto"/>
        </w:rPr>
        <w:t>Lease between C, S &amp; Y Associates, as lessor, and Eldorado Hotel Associates, as lessee, dated as of July 21, 1972 (incorporated by reference to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16, 2015).</w:t>
      </w:r>
    </w:p>
    <w:p>
      <w:pPr>
        <w:spacing w:after="0" w:line="54" w:lineRule="exact"/>
        <w:rPr>
          <w:sz w:val="20"/>
          <w:szCs w:val="20"/>
          <w:color w:val="auto"/>
        </w:rPr>
      </w:pPr>
    </w:p>
    <w:p>
      <w:pPr>
        <w:ind w:right="79"/>
        <w:spacing w:after="0" w:line="203" w:lineRule="exact"/>
        <w:rPr>
          <w:sz w:val="20"/>
          <w:szCs w:val="20"/>
          <w:color w:val="auto"/>
        </w:rPr>
      </w:pPr>
      <w:r>
        <w:rPr>
          <w:rFonts w:ascii="Arial" w:cs="Arial" w:eastAsia="Arial" w:hAnsi="Arial"/>
          <w:sz w:val="18"/>
          <w:szCs w:val="18"/>
          <w:color w:val="auto"/>
        </w:rPr>
        <w:t>Addendum, dated as of March 20, 1973, to lease between C, S &amp; Y Associates, as lessor, and Eldorado Hotel Associates, as lessee, dated 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p>
      <w:pPr>
        <w:spacing w:after="0" w:line="54" w:lineRule="exact"/>
        <w:rPr>
          <w:sz w:val="20"/>
          <w:szCs w:val="20"/>
          <w:color w:val="auto"/>
        </w:rPr>
      </w:pPr>
    </w:p>
    <w:p>
      <w:pPr>
        <w:sectPr>
          <w:pgSz w:w="11900" w:h="16838" w:orient="portrait"/>
          <w:cols w:equalWidth="0" w:num="2">
            <w:col w:w="1020" w:space="360"/>
            <w:col w:w="7659"/>
          </w:cols>
          <w:pgMar w:left="1420" w:top="112" w:right="1440" w:bottom="1440" w:gutter="0" w:footer="0" w:header="0"/>
          <w:type w:val="continuous"/>
        </w:sectPr>
      </w:pPr>
    </w:p>
    <w:p>
      <w:pPr>
        <w:jc w:val="both"/>
        <w:ind w:left="1380" w:right="79" w:hanging="769"/>
        <w:spacing w:after="0" w:line="203" w:lineRule="exact"/>
        <w:tabs>
          <w:tab w:leader="none" w:pos="13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dated as of January 1, 1978, to lease between C. S. &amp; Y. Associates, as lessor, and Eldorado Hotel Associates, as lessee, dated 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p>
      <w:pPr>
        <w:spacing w:after="0" w:line="54" w:lineRule="exact"/>
        <w:rPr>
          <w:sz w:val="20"/>
          <w:szCs w:val="20"/>
          <w:color w:val="auto"/>
        </w:rPr>
      </w:pPr>
    </w:p>
    <w:p>
      <w:pPr>
        <w:ind w:left="1380" w:right="139" w:hanging="769"/>
        <w:spacing w:after="0" w:line="203" w:lineRule="exact"/>
        <w:tabs>
          <w:tab w:leader="none" w:pos="13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dated as of January 31, 1985, to lease between C. S. &amp; Y. Associates, as lessor, and Eldorado Hotel Associates, as lessee, dated 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p>
      <w:pPr>
        <w:sectPr>
          <w:pgSz w:w="11900" w:h="16838" w:orient="portrait"/>
          <w:cols w:equalWidth="0" w:num="1">
            <w:col w:w="9039"/>
          </w:cols>
          <w:pgMar w:left="1420" w:top="112" w:right="1440" w:bottom="1440" w:gutter="0" w:footer="0" w:header="0"/>
          <w:type w:val="continuous"/>
        </w:sectPr>
      </w:pPr>
    </w:p>
    <w:p>
      <w:pPr>
        <w:spacing w:after="0" w:line="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2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10.24</w:t>
      </w:r>
    </w:p>
    <w:p>
      <w:pPr>
        <w:spacing w:after="0" w:line="200" w:lineRule="exact"/>
        <w:rPr>
          <w:sz w:val="20"/>
          <w:szCs w:val="20"/>
          <w:color w:val="auto"/>
        </w:rPr>
      </w:pPr>
    </w:p>
    <w:p>
      <w:pPr>
        <w:spacing w:after="0" w:line="2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10.25</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39"/>
        <w:spacing w:after="0" w:line="203" w:lineRule="exact"/>
        <w:rPr>
          <w:sz w:val="20"/>
          <w:szCs w:val="20"/>
          <w:color w:val="auto"/>
        </w:rPr>
      </w:pPr>
      <w:r>
        <w:rPr>
          <w:rFonts w:ascii="Arial" w:cs="Arial" w:eastAsia="Arial" w:hAnsi="Arial"/>
          <w:sz w:val="18"/>
          <w:szCs w:val="18"/>
          <w:color w:val="auto"/>
        </w:rPr>
        <w:t>Amendment, dated as of December 24, 1987, to lease between C. S. &amp; Y. Associates, as lessor, and Eldorado Hotel Associates, as lessee, dated 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p>
      <w:pPr>
        <w:spacing w:after="0" w:line="54" w:lineRule="exact"/>
        <w:rPr>
          <w:sz w:val="20"/>
          <w:szCs w:val="20"/>
          <w:color w:val="auto"/>
        </w:rPr>
      </w:pPr>
    </w:p>
    <w:p>
      <w:pPr>
        <w:ind w:right="359"/>
        <w:spacing w:after="0" w:line="203" w:lineRule="exact"/>
        <w:rPr>
          <w:sz w:val="20"/>
          <w:szCs w:val="20"/>
          <w:color w:val="auto"/>
        </w:rPr>
      </w:pPr>
      <w:r>
        <w:rPr>
          <w:rFonts w:ascii="Arial" w:cs="Arial" w:eastAsia="Arial" w:hAnsi="Arial"/>
          <w:sz w:val="16"/>
          <w:szCs w:val="16"/>
          <w:color w:val="auto"/>
        </w:rPr>
        <w:t>Reimbursement and Indemnification Agreement and Lease Amendment, entered into as of March 24, 1994, by and between Eldorado Hotel Associates Limited Partnership, and CS&amp;Y Associates (incorporated by reference to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filed on March 16, 2015).</w:t>
      </w:r>
    </w:p>
    <w:p>
      <w:pPr>
        <w:spacing w:after="0" w:line="55" w:lineRule="exact"/>
        <w:rPr>
          <w:sz w:val="20"/>
          <w:szCs w:val="20"/>
          <w:color w:val="auto"/>
        </w:rPr>
      </w:pPr>
    </w:p>
    <w:p>
      <w:pPr>
        <w:ind w:right="99"/>
        <w:spacing w:after="0" w:line="199" w:lineRule="exact"/>
        <w:rPr>
          <w:sz w:val="20"/>
          <w:szCs w:val="20"/>
          <w:color w:val="auto"/>
        </w:rPr>
      </w:pPr>
      <w:r>
        <w:rPr>
          <w:rFonts w:ascii="Arial" w:cs="Arial" w:eastAsia="Arial" w:hAnsi="Arial"/>
          <w:sz w:val="17"/>
          <w:szCs w:val="17"/>
          <w:color w:val="auto"/>
        </w:rPr>
        <w:t>Fourth Amendment, dated as of June 1, 2011, by and between Eldorado Resorts LLC and CS&amp;Y Associates, to Reimbursement and Indemnification Agreement and Lease Amendment, entered into as of March 24, 1994, by and between Eldorado Hotel Associates Limited Partnership, and CS&amp;Y Associates (incorporated by reference to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on March 16, 2015).</w:t>
      </w:r>
    </w:p>
    <w:p>
      <w:pPr>
        <w:spacing w:after="0" w:line="56" w:lineRule="exact"/>
        <w:rPr>
          <w:sz w:val="20"/>
          <w:szCs w:val="20"/>
          <w:color w:val="auto"/>
        </w:rPr>
      </w:pPr>
    </w:p>
    <w:p>
      <w:pPr>
        <w:sectPr>
          <w:pgSz w:w="11900" w:h="16838" w:orient="portrait"/>
          <w:cols w:equalWidth="0" w:num="2">
            <w:col w:w="1020" w:space="360"/>
            <w:col w:w="7659"/>
          </w:cols>
          <w:pgMar w:left="1420" w:top="112" w:right="1440" w:bottom="1440" w:gutter="0" w:footer="0" w:header="0"/>
          <w:type w:val="continuous"/>
        </w:sectPr>
      </w:pPr>
    </w:p>
    <w:p>
      <w:pPr>
        <w:spacing w:after="0" w:line="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14.1</w:t>
      </w:r>
    </w:p>
    <w:p>
      <w:pPr>
        <w:spacing w:after="0" w:line="2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br w:type="column"/>
      </w:r>
    </w:p>
    <w:p>
      <w:pPr>
        <w:ind w:right="139"/>
        <w:spacing w:after="0" w:line="176" w:lineRule="exact"/>
        <w:rPr>
          <w:sz w:val="20"/>
          <w:szCs w:val="20"/>
          <w:color w:val="auto"/>
        </w:rPr>
      </w:pPr>
      <w:r>
        <w:rPr>
          <w:rFonts w:ascii="Arial" w:cs="Arial" w:eastAsia="Arial" w:hAnsi="Arial"/>
          <w:sz w:val="18"/>
          <w:szCs w:val="18"/>
          <w:color w:val="auto"/>
        </w:rPr>
        <w:t>Credit Agreement dated as of July 23, 2015, by and among the Company, certain of its wholly-owned subsidiaries (as guarantors), JPMorgan Chase Bank, N.A., as administrative agent, swingline lender and issuing lender and J.P. Morgan Securities LLC, Macquarie Capital (USA) Inc., Credit Suisse Securities (USA) LLC, U.S. Bank National Association and KeyBank National Association as joint lead arrangers, joint bookrunners and co-syndication agents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July 23, 2015).</w:t>
      </w:r>
    </w:p>
    <w:p>
      <w:pPr>
        <w:spacing w:after="0" w:line="54" w:lineRule="exact"/>
        <w:rPr>
          <w:sz w:val="20"/>
          <w:szCs w:val="20"/>
          <w:color w:val="auto"/>
        </w:rPr>
      </w:pPr>
    </w:p>
    <w:p>
      <w:pPr>
        <w:ind w:right="199"/>
        <w:spacing w:after="0" w:line="210" w:lineRule="exact"/>
        <w:rPr>
          <w:sz w:val="20"/>
          <w:szCs w:val="20"/>
          <w:color w:val="auto"/>
        </w:rPr>
      </w:pPr>
      <w:r>
        <w:rPr>
          <w:rFonts w:ascii="Arial" w:cs="Arial" w:eastAsia="Arial" w:hAnsi="Arial"/>
          <w:sz w:val="18"/>
          <w:szCs w:val="18"/>
          <w:color w:val="auto"/>
        </w:rPr>
        <w:t>Code of Ethics and Business Conduct of the Company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September 9, 2014).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 (filed herewith).</w:t>
      </w:r>
    </w:p>
    <w:p>
      <w:pPr>
        <w:spacing w:after="0" w:line="200" w:lineRule="exact"/>
        <w:rPr>
          <w:sz w:val="20"/>
          <w:szCs w:val="20"/>
          <w:color w:val="auto"/>
        </w:rPr>
      </w:pPr>
    </w:p>
    <w:p>
      <w:pPr>
        <w:spacing w:after="0" w:line="336"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2">
            <w:col w:w="1020" w:space="360"/>
            <w:col w:w="7659"/>
          </w:cols>
          <w:pgMar w:left="1420" w:top="112" w:right="1440" w:bottom="1440" w:gutter="0" w:footer="0" w:header="0"/>
          <w:type w:val="continuous"/>
        </w:sectPr>
      </w:pPr>
    </w:p>
    <w:bookmarkStart w:id="63" w:name="page64"/>
    <w:bookmarkEnd w:id="6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39"/>
          </w:cols>
          <w:pgMar w:left="1420" w:top="112"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80" w:right="160"/>
        <w:spacing w:after="0" w:line="251" w:lineRule="auto"/>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-13970</wp:posOffset>
            </wp:positionV>
            <wp:extent cx="5657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ITEM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4827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Consent of Ernst &amp; Young LLP (filed herewith).</w:t>
      </w:r>
    </w:p>
    <w:p>
      <w:pPr>
        <w:spacing w:after="0" w:line="104" w:lineRule="exact"/>
        <w:rPr>
          <w:sz w:val="20"/>
          <w:szCs w:val="20"/>
          <w:color w:val="auto"/>
        </w:rPr>
      </w:pPr>
    </w:p>
    <w:p>
      <w:pPr>
        <w:ind w:right="1079"/>
        <w:spacing w:after="0" w:line="210" w:lineRule="exact"/>
        <w:rPr>
          <w:sz w:val="20"/>
          <w:szCs w:val="20"/>
          <w:color w:val="auto"/>
        </w:rPr>
      </w:pPr>
      <w:r>
        <w:rPr>
          <w:rFonts w:ascii="Arial" w:cs="Arial" w:eastAsia="Arial" w:hAnsi="Arial"/>
          <w:sz w:val="18"/>
          <w:szCs w:val="18"/>
          <w:color w:val="auto"/>
        </w:rPr>
        <w:t>Certification of Gary L. Carano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(filed herewith).</w:t>
      </w:r>
    </w:p>
    <w:p>
      <w:pPr>
        <w:spacing w:after="0" w:line="54" w:lineRule="exact"/>
        <w:rPr>
          <w:sz w:val="20"/>
          <w:szCs w:val="20"/>
          <w:color w:val="auto"/>
        </w:rPr>
      </w:pPr>
    </w:p>
    <w:p>
      <w:pPr>
        <w:sectPr>
          <w:pgSz w:w="11900" w:h="16838" w:orient="portrait"/>
          <w:cols w:equalWidth="0" w:num="2">
            <w:col w:w="1020" w:space="360"/>
            <w:col w:w="7659"/>
          </w:cols>
          <w:pgMar w:left="1420" w:top="112" w:right="1440" w:bottom="1440" w:gutter="0" w:footer="0" w:header="0"/>
          <w:type w:val="continuous"/>
        </w:sectPr>
      </w:pPr>
    </w:p>
    <w:p>
      <w:pPr>
        <w:ind w:left="1380" w:right="1019" w:hanging="679"/>
        <w:spacing w:after="0" w:line="210" w:lineRule="exact"/>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Robert M. Jones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(filed herewith).</w:t>
      </w:r>
    </w:p>
    <w:p>
      <w:pPr>
        <w:sectPr>
          <w:pgSz w:w="11900" w:h="16838" w:orient="portrait"/>
          <w:cols w:equalWidth="0" w:num="1">
            <w:col w:w="9039"/>
          </w:cols>
          <w:pgMar w:left="1420" w:top="112" w:right="1440" w:bottom="1440" w:gutter="0" w:footer="0" w:header="0"/>
          <w:type w:val="continuous"/>
        </w:sectPr>
      </w:pPr>
    </w:p>
    <w:p>
      <w:pPr>
        <w:spacing w:after="0" w:line="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32.1</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32.2</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99.1</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99.2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Gary L. Carano in accordance with 18 U.S.C. Section 1350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Robert M. Jones in accordance with 18 U.S.C. Section 1350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Governmental Regulations and Licensing (filed herewith).</w:t>
      </w:r>
    </w:p>
    <w:p>
      <w:pPr>
        <w:spacing w:after="0" w:line="104" w:lineRule="exact"/>
        <w:rPr>
          <w:sz w:val="20"/>
          <w:szCs w:val="20"/>
          <w:color w:val="auto"/>
        </w:rPr>
      </w:pPr>
    </w:p>
    <w:p>
      <w:pPr>
        <w:ind w:right="239"/>
        <w:spacing w:after="0" w:line="246" w:lineRule="auto"/>
        <w:rPr>
          <w:sz w:val="20"/>
          <w:szCs w:val="20"/>
          <w:color w:val="auto"/>
        </w:rPr>
      </w:pPr>
      <w:r>
        <w:rPr>
          <w:rFonts w:ascii="Arial" w:cs="Arial" w:eastAsia="Arial" w:hAnsi="Arial"/>
          <w:sz w:val="18"/>
          <w:szCs w:val="18"/>
          <w:color w:val="auto"/>
        </w:rPr>
        <w:t>Audited consolidated financial statements of Circus and Eldorado Joint Venture, LLC, as of and for the years ended December 31, 2014 and 2013 (filed herewith).</w:t>
      </w:r>
    </w:p>
    <w:p>
      <w:pPr>
        <w:spacing w:after="0" w:line="48" w:lineRule="exact"/>
        <w:rPr>
          <w:sz w:val="20"/>
          <w:szCs w:val="20"/>
          <w:color w:val="auto"/>
        </w:rPr>
      </w:pPr>
    </w:p>
    <w:p>
      <w:pPr>
        <w:sectPr>
          <w:pgSz w:w="11900" w:h="16838" w:orient="portrait"/>
          <w:cols w:equalWidth="0" w:num="2">
            <w:col w:w="1020" w:space="360"/>
            <w:col w:w="7659"/>
          </w:cols>
          <w:pgMar w:left="1420" w:top="112" w:right="1440" w:bottom="1440" w:gutter="0" w:footer="0" w:header="0"/>
          <w:type w:val="continuous"/>
        </w:sectPr>
      </w:pPr>
    </w:p>
    <w:p>
      <w:pPr>
        <w:spacing w:after="0" w:line="1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99.3</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101.1</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101.2</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101.3</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101.4</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101.5</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158115</wp:posOffset>
            </wp:positionV>
            <wp:extent cx="14408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9"/>
        <w:spacing w:after="0" w:line="275" w:lineRule="auto"/>
        <w:rPr>
          <w:sz w:val="20"/>
          <w:szCs w:val="20"/>
          <w:color w:val="auto"/>
        </w:rPr>
      </w:pPr>
      <w:r>
        <w:rPr>
          <w:rFonts w:ascii="Arial" w:cs="Arial" w:eastAsia="Arial" w:hAnsi="Arial"/>
          <w:sz w:val="17"/>
          <w:szCs w:val="17"/>
          <w:color w:val="auto"/>
        </w:rPr>
        <w:t>Unaudited consolidated financial statements of Circus and Eldorado Joint Venture, LLC, as of November 23, 2015 and for the period January 1, 2015 through November 23, 2015 (filed herewith).</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04" w:lineRule="exact"/>
        <w:rPr>
          <w:sz w:val="20"/>
          <w:szCs w:val="20"/>
          <w:color w:val="auto"/>
        </w:rPr>
      </w:pPr>
    </w:p>
    <w:p>
      <w:pPr>
        <w:ind w:right="3179"/>
        <w:spacing w:after="0" w:line="425" w:lineRule="auto"/>
        <w:rPr>
          <w:sz w:val="20"/>
          <w:szCs w:val="20"/>
          <w:color w:val="auto"/>
        </w:rPr>
      </w:pPr>
      <w:r>
        <w:rPr>
          <w:rFonts w:ascii="Arial" w:cs="Arial" w:eastAsia="Arial" w:hAnsi="Arial"/>
          <w:sz w:val="16"/>
          <w:szCs w:val="16"/>
          <w:color w:val="auto"/>
        </w:rPr>
        <w:t>XBRL Taxonomy Extension Calculation Linkbase Document XBRL Taxonomy Extension Definition Linkbase Document XBRL Taxonomy Extension Label Linkbase Document XBRL Taxonomy Extension Presentation Linkbase Document</w:t>
      </w:r>
    </w:p>
    <w:p>
      <w:pPr>
        <w:spacing w:after="0" w:line="169" w:lineRule="exact"/>
        <w:rPr>
          <w:sz w:val="20"/>
          <w:szCs w:val="20"/>
          <w:color w:val="auto"/>
        </w:rPr>
      </w:pPr>
    </w:p>
    <w:p>
      <w:pPr>
        <w:sectPr>
          <w:pgSz w:w="11900" w:h="16838" w:orient="portrait"/>
          <w:cols w:equalWidth="0" w:num="2">
            <w:col w:w="1020" w:space="360"/>
            <w:col w:w="7659"/>
          </w:cols>
          <w:pgMar w:left="1420" w:top="112" w:right="1440" w:bottom="1440" w:gutter="0" w:footer="0" w:header="0"/>
          <w:type w:val="continuous"/>
        </w:sectPr>
      </w:pPr>
    </w:p>
    <w:p>
      <w:pPr>
        <w:ind w:left="4440" w:right="4119" w:hanging="4437"/>
        <w:spacing w:after="0" w:line="853" w:lineRule="auto"/>
        <w:tabs>
          <w:tab w:leader="none" w:pos="3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contracts or compensatory plans or arrangements.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type w:val="continuous"/>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ELDORADO RESORTS, INC.</w:t>
      </w:r>
    </w:p>
    <w:p>
      <w:pPr>
        <w:spacing w:after="0" w:line="198" w:lineRule="exact"/>
        <w:rPr>
          <w:sz w:val="20"/>
          <w:szCs w:val="20"/>
          <w:color w:val="auto"/>
        </w:rPr>
      </w:pPr>
    </w:p>
    <w:p>
      <w:pPr>
        <w:ind w:left="468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6350</wp:posOffset>
            </wp:positionV>
            <wp:extent cx="24523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Gary L. Carano</w:t>
      </w:r>
    </w:p>
    <w:p>
      <w:pPr>
        <w:jc w:val="center"/>
        <w:ind w:left="504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March 15, 2016</w:t>
      </w:r>
    </w:p>
    <w:p>
      <w:pPr>
        <w:spacing w:after="0" w:line="223"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39"/>
          </w:cols>
          <w:pgMar w:left="1420" w:top="112" w:right="1440" w:bottom="1440" w:gutter="0" w:footer="0" w:header="0"/>
        </w:sectPr>
      </w:pP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b w:val="1"/>
          <w:bCs w:val="1"/>
          <w:u w:val="single" w:color="auto"/>
          <w:color w:val="auto"/>
        </w:rPr>
        <w:t>Signature</w:t>
      </w:r>
    </w:p>
    <w:p>
      <w:pPr>
        <w:spacing w:after="0" w:line="310"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Gary L. Carano</w:t>
      </w:r>
    </w:p>
    <w:p>
      <w:pPr>
        <w:spacing w:after="0" w:line="292"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Robert M. Jones</w:t>
      </w:r>
    </w:p>
    <w:p>
      <w:pPr>
        <w:spacing w:after="0" w:line="224"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Stephanie D. Lepori</w:t>
      </w: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/s/ 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20955</wp:posOffset>
            </wp:positionV>
            <wp:extent cx="24441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Frank J. Fahrenkopf Jr.</w:t>
      </w: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James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James B. Hawkins</w:t>
      </w: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Michael E. Pegram</w:t>
      </w: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Thomas R. Reeg</w:t>
      </w: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David P. Tomick</w:t>
      </w: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Roger P.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24441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Roger P. Wagner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Title</w:t>
      </w:r>
    </w:p>
    <w:p>
      <w:pPr>
        <w:spacing w:after="0" w:line="2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Chairman of the Board of Directors and Chief Executive Officer (Principal Executive Officer)</w:t>
      </w:r>
    </w:p>
    <w:p>
      <w:pPr>
        <w:spacing w:after="0" w:line="20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Chief Financial Officer (Principal Financial Officer)</w:t>
      </w:r>
    </w:p>
    <w:p>
      <w:pPr>
        <w:spacing w:after="0" w:line="23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Chief Accounting Officer (Principal Accounting Officer)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Date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15, 2016</w:t>
      </w:r>
    </w:p>
    <w:p>
      <w:pPr>
        <w:spacing w:after="0" w:line="345" w:lineRule="exact"/>
        <w:rPr>
          <w:sz w:val="20"/>
          <w:szCs w:val="20"/>
          <w:color w:val="auto"/>
        </w:rPr>
      </w:pPr>
    </w:p>
    <w:p>
      <w:pPr>
        <w:sectPr>
          <w:pgSz w:w="11900" w:h="16838" w:orient="portrait"/>
          <w:cols w:equalWidth="0" w:num="3">
            <w:col w:w="3540" w:space="720"/>
            <w:col w:w="2880" w:space="540"/>
            <w:col w:w="1359"/>
          </w:cols>
          <w:pgMar w:left="1420" w:top="1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600" w:type="dxa"/>
            <w:vAlign w:val="bottom"/>
            <w:gridSpan w:val="11"/>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180" w:type="dxa"/>
            <w:vAlign w:val="bottom"/>
            <w:tcBorders>
              <w:top w:val="single" w:sz="8" w:color="0563C1"/>
            </w:tcBorders>
          </w:tcPr>
          <w:p>
            <w:pPr>
              <w:spacing w:after="0"/>
              <w:rPr>
                <w:sz w:val="24"/>
                <w:szCs w:val="24"/>
                <w:color w:val="auto"/>
              </w:rPr>
            </w:pPr>
          </w:p>
        </w:tc>
        <w:tc>
          <w:tcPr>
            <w:tcW w:w="7320" w:type="dxa"/>
            <w:vAlign w:val="bottom"/>
            <w:gridSpan w:val="8"/>
          </w:tcPr>
          <w:p>
            <w:pPr>
              <w:jc w:val="center"/>
              <w:ind w:right="820"/>
              <w:spacing w:after="0"/>
              <w:rPr>
                <w:sz w:val="20"/>
                <w:szCs w:val="20"/>
                <w:color w:val="auto"/>
              </w:rPr>
            </w:pPr>
            <w:r>
              <w:rPr>
                <w:rFonts w:ascii="Arial" w:cs="Arial" w:eastAsia="Arial" w:hAnsi="Arial"/>
                <w:sz w:val="18"/>
                <w:szCs w:val="18"/>
                <w:b w:val="1"/>
                <w:bCs w:val="1"/>
                <w:color w:val="auto"/>
              </w:rPr>
              <w:t>INDEX TO CONSOLIDATED FINANCIAL STATEMENTS OF</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80" w:type="dxa"/>
            <w:vAlign w:val="bottom"/>
            <w:gridSpan w:val="4"/>
          </w:tcPr>
          <w:p>
            <w:pPr>
              <w:jc w:val="center"/>
              <w:ind w:right="2760"/>
              <w:spacing w:after="0"/>
              <w:rPr>
                <w:sz w:val="20"/>
                <w:szCs w:val="20"/>
                <w:color w:val="auto"/>
              </w:rPr>
            </w:pPr>
            <w:r>
              <w:rPr>
                <w:rFonts w:ascii="Arial" w:cs="Arial" w:eastAsia="Arial" w:hAnsi="Arial"/>
                <w:sz w:val="18"/>
                <w:szCs w:val="18"/>
                <w:b w:val="1"/>
                <w:bCs w:val="1"/>
                <w:color w:val="auto"/>
                <w:w w:val="98"/>
              </w:rPr>
              <w:t>ELDORADO RESORTS, INC.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20" w:type="dxa"/>
            <w:vAlign w:val="bottom"/>
            <w:tcBorders>
              <w:bottom w:val="single" w:sz="8" w:color="0000EE"/>
            </w:tcBorders>
            <w:gridSpan w:val="8"/>
          </w:tcPr>
          <w:p>
            <w:pPr>
              <w:spacing w:after="0" w:line="189"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Report of Independent Registered Public Accounting Firm</w:t>
              </w:r>
            </w:hyperlink>
          </w:p>
        </w:tc>
        <w:tc>
          <w:tcPr>
            <w:tcW w:w="60" w:type="dxa"/>
            <w:vAlign w:val="bottom"/>
            <w:vMerge w:val="restart"/>
          </w:tcPr>
          <w:p>
            <w:pPr>
              <w:spacing w:after="0"/>
              <w:rPr>
                <w:sz w:val="18"/>
                <w:szCs w:val="18"/>
                <w:color w:val="auto"/>
              </w:rPr>
            </w:pPr>
          </w:p>
        </w:tc>
        <w:tc>
          <w:tcPr>
            <w:tcW w:w="4240" w:type="dxa"/>
            <w:vAlign w:val="bottom"/>
            <w:vMerge w:val="restart"/>
          </w:tcPr>
          <w:p>
            <w:pPr>
              <w:spacing w:after="0"/>
              <w:rPr>
                <w:sz w:val="18"/>
                <w:szCs w:val="18"/>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080" w:type="dxa"/>
            <w:vAlign w:val="bottom"/>
            <w:gridSpan w:val="3"/>
            <w:vMerge w:val="restart"/>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Consolidated Balance Sheets</w:t>
              </w:r>
            </w:hyperlink>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080" w:type="dxa"/>
            <w:vAlign w:val="bottom"/>
            <w:tcBorders>
              <w:bottom w:val="single" w:sz="8" w:color="0000EE"/>
            </w:tcBorders>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28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800" w:type="dxa"/>
            <w:vAlign w:val="bottom"/>
            <w:gridSpan w:val="2"/>
            <w:vMerge w:val="restart"/>
          </w:tcPr>
          <w:p>
            <w:pPr>
              <w:spacing w:after="0"/>
              <w:rPr>
                <w:sz w:val="14"/>
                <w:szCs w:val="14"/>
                <w:color w:val="auto"/>
              </w:rPr>
            </w:pPr>
          </w:p>
        </w:tc>
        <w:tc>
          <w:tcPr>
            <w:tcW w:w="4240" w:type="dxa"/>
            <w:vAlign w:val="bottom"/>
            <w:vMerge w:val="restart"/>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820" w:type="dxa"/>
            <w:vAlign w:val="bottom"/>
            <w:gridSpan w:val="4"/>
            <w:vMerge w:val="restart"/>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Operations</w:t>
              </w:r>
            </w:hyperlink>
          </w:p>
        </w:tc>
        <w:tc>
          <w:tcPr>
            <w:tcW w:w="4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4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820" w:type="dxa"/>
            <w:vAlign w:val="bottom"/>
            <w:tcBorders>
              <w:bottom w:val="single" w:sz="8" w:color="0000EE"/>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4240" w:type="dxa"/>
            <w:vAlign w:val="bottom"/>
            <w:vMerge w:val="restart"/>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280" w:type="dxa"/>
            <w:vAlign w:val="bottom"/>
            <w:gridSpan w:val="9"/>
            <w:vMerge w:val="restart"/>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Consolidated Statements of Comprehensive Income (Loss)</w:t>
              </w:r>
            </w:hyperlink>
          </w:p>
        </w:tc>
        <w:tc>
          <w:tcPr>
            <w:tcW w:w="424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4280" w:type="dxa"/>
            <w:vAlign w:val="bottom"/>
            <w:tcBorders>
              <w:bottom w:val="single" w:sz="8" w:color="0000EE"/>
            </w:tcBorders>
            <w:gridSpan w:val="9"/>
            <w:vMerge w:val="continue"/>
          </w:tcPr>
          <w:p>
            <w:pPr>
              <w:spacing w:after="0"/>
              <w:rPr>
                <w:sz w:val="14"/>
                <w:szCs w:val="14"/>
                <w:color w:val="auto"/>
              </w:rPr>
            </w:pPr>
          </w:p>
        </w:tc>
        <w:tc>
          <w:tcPr>
            <w:tcW w:w="4240" w:type="dxa"/>
            <w:vAlign w:val="bottom"/>
            <w:vMerge w:val="restart"/>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3480" w:type="dxa"/>
            <w:vAlign w:val="bottom"/>
            <w:gridSpan w:val="7"/>
            <w:vMerge w:val="restart"/>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Consolidated Statement of Stockholders’ Equity</w:t>
              </w:r>
            </w:hyperlink>
          </w:p>
        </w:tc>
        <w:tc>
          <w:tcPr>
            <w:tcW w:w="800" w:type="dxa"/>
            <w:vAlign w:val="bottom"/>
            <w:gridSpan w:val="2"/>
          </w:tcPr>
          <w:p>
            <w:pPr>
              <w:spacing w:after="0"/>
              <w:rPr>
                <w:sz w:val="5"/>
                <w:szCs w:val="5"/>
                <w:color w:val="auto"/>
              </w:rPr>
            </w:pPr>
          </w:p>
        </w:tc>
        <w:tc>
          <w:tcPr>
            <w:tcW w:w="424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3480" w:type="dxa"/>
            <w:vAlign w:val="bottom"/>
            <w:tcBorders>
              <w:bottom w:val="single" w:sz="8" w:color="0000EE"/>
            </w:tcBorders>
            <w:gridSpan w:val="7"/>
            <w:vMerge w:val="continue"/>
          </w:tcPr>
          <w:p>
            <w:pPr>
              <w:spacing w:after="0"/>
              <w:rPr>
                <w:sz w:val="14"/>
                <w:szCs w:val="14"/>
                <w:color w:val="auto"/>
              </w:rPr>
            </w:pPr>
          </w:p>
        </w:tc>
        <w:tc>
          <w:tcPr>
            <w:tcW w:w="5040" w:type="dxa"/>
            <w:vAlign w:val="bottom"/>
            <w:gridSpan w:val="3"/>
            <w:vMerge w:val="restart"/>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860" w:type="dxa"/>
            <w:vAlign w:val="bottom"/>
            <w:gridSpan w:val="5"/>
            <w:vMerge w:val="restart"/>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Statements of Cash Flows</w:t>
              </w:r>
            </w:hyperlink>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40" w:type="dxa"/>
            <w:vAlign w:val="bottom"/>
            <w:gridSpan w:val="3"/>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860" w:type="dxa"/>
            <w:vAlign w:val="bottom"/>
            <w:tcBorders>
              <w:bottom w:val="single" w:sz="8" w:color="0000EE"/>
            </w:tcBorders>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5380" w:type="dxa"/>
            <w:vAlign w:val="bottom"/>
            <w:gridSpan w:val="4"/>
            <w:vMerge w:val="restart"/>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120" w:type="dxa"/>
            <w:vAlign w:val="bottom"/>
            <w:gridSpan w:val="5"/>
            <w:vMerge w:val="restart"/>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Notes to Consolidated Financial Statements</w:t>
              </w:r>
            </w:hyperlink>
          </w:p>
        </w:tc>
        <w:tc>
          <w:tcPr>
            <w:tcW w:w="5380" w:type="dxa"/>
            <w:vAlign w:val="bottom"/>
            <w:gridSpan w:val="4"/>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bottom w:val="single" w:sz="8" w:color="0000EE"/>
            </w:tcBorders>
            <w:gridSpan w:val="5"/>
            <w:vMerge w:val="continue"/>
          </w:tcPr>
          <w:p>
            <w:pPr>
              <w:spacing w:after="0"/>
              <w:rPr>
                <w:sz w:val="14"/>
                <w:szCs w:val="14"/>
                <w:color w:val="auto"/>
              </w:rPr>
            </w:pPr>
          </w:p>
        </w:tc>
        <w:tc>
          <w:tcPr>
            <w:tcW w:w="5380" w:type="dxa"/>
            <w:vAlign w:val="bottom"/>
            <w:gridSpan w:val="4"/>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61"/>
        </w:trPr>
        <w:tc>
          <w:tcPr>
            <w:tcW w:w="8600" w:type="dxa"/>
            <w:vAlign w:val="bottom"/>
            <w:gridSpan w:val="11"/>
            <w:vMerge w:val="restart"/>
          </w:tcPr>
          <w:p>
            <w:pPr>
              <w:jc w:val="center"/>
              <w:ind w:left="370"/>
              <w:spacing w:after="0"/>
              <w:rPr>
                <w:sz w:val="20"/>
                <w:szCs w:val="20"/>
                <w:color w:val="auto"/>
              </w:rPr>
            </w:pPr>
            <w:r>
              <w:rPr>
                <w:rFonts w:ascii="Arial" w:cs="Arial" w:eastAsia="Arial" w:hAnsi="Arial"/>
                <w:sz w:val="18"/>
                <w:szCs w:val="18"/>
                <w:color w:val="auto"/>
                <w:w w:val="89"/>
              </w:rPr>
              <w:t>64</w:t>
            </w:r>
          </w:p>
        </w:tc>
        <w:tc>
          <w:tcPr>
            <w:tcW w:w="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4"/>
        </w:trPr>
        <w:tc>
          <w:tcPr>
            <w:tcW w:w="8600" w:type="dxa"/>
            <w:vAlign w:val="bottom"/>
            <w:gridSpan w:val="11"/>
            <w:vMerge w:val="continue"/>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rPr>
          <w:sz w:val="20"/>
          <w:szCs w:val="20"/>
          <w:color w:val="auto"/>
        </w:rPr>
      </w:pPr>
      <w:r>
        <w:rPr>
          <w:rFonts w:ascii="Arial" w:cs="Arial" w:eastAsia="Arial" w:hAnsi="Arial"/>
          <w:sz w:val="18"/>
          <w:szCs w:val="18"/>
          <w:color w:val="auto"/>
        </w:rPr>
        <w:t>Eldorado Resorts, Inc.</w:t>
      </w:r>
    </w:p>
    <w:p>
      <w:pPr>
        <w:spacing w:after="0" w:line="12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have audited the accompanying consolidated balance sheets of Eldorado Resorts, Inc. as of December 31, 2015 and 2014, and the related consolidated statements of operations, comprehensive income (loss), stockholders' equity and cash flows for each of the three years in the period ended December 31, 2015.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11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Eldorado Resorts, Inc. at December 31, 2015 and 2014, and the consolidated results of its operations and its cash flows for each of the three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Eldorado Resorts, Inc.’s internal control over financial reporting as of December 31, 2015, based on criteria established in Internal Control-Integrated Framework issued by the Committee of Sponsoring Organizations of the Treadway Commission (2013 framework), and our report dated March 15, 2016 expressed an unqualified opinion thereon.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15, 2016</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304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Due from affiliates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Prepaid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10,795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tcPr>
          <w:p>
            <w:pPr>
              <w:ind w:left="32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116,179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INVESTMENT IN AND ADVANCES TO UNCONSOLIDATED AFFILIATES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GAMING LICENSES AND OTHER INTANGIBLES, NET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492,033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491,913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NON-OPERATING REAL PROPERTY</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ASSETS, net</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500" w:type="dxa"/>
            <w:vAlign w:val="bottom"/>
          </w:tcPr>
          <w:p>
            <w:pPr>
              <w:ind w:left="320"/>
              <w:spacing w:after="0"/>
              <w:rPr>
                <w:sz w:val="20"/>
                <w:szCs w:val="20"/>
                <w:color w:val="auto"/>
              </w:rPr>
            </w:pPr>
            <w:r>
              <w:rPr>
                <w:rFonts w:ascii="Arial" w:cs="Arial" w:eastAsia="Arial" w:hAnsi="Arial"/>
                <w:sz w:val="14"/>
                <w:szCs w:val="14"/>
                <w:color w:val="auto"/>
              </w:rPr>
              <w:t>Total assets</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1,325,008</w:t>
            </w:r>
          </w:p>
        </w:tc>
        <w:tc>
          <w:tcPr>
            <w:tcW w:w="2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1,171,559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line="161" w:lineRule="exact"/>
              <w:rPr>
                <w:sz w:val="20"/>
                <w:szCs w:val="20"/>
                <w:color w:val="auto"/>
              </w:rPr>
            </w:pPr>
            <w:r>
              <w:rPr>
                <w:rFonts w:ascii="Arial" w:cs="Arial" w:eastAsia="Arial" w:hAnsi="Arial"/>
                <w:sz w:val="14"/>
                <w:szCs w:val="14"/>
                <w:color w:val="auto"/>
              </w:rPr>
              <w:t>Current portion of long</w:t>
            </w:r>
            <w:r>
              <w:rPr>
                <w:rFonts w:ascii="MS PGothic" w:cs="MS PGothic" w:eastAsia="MS PGothic" w:hAnsi="MS PGothic"/>
                <w:sz w:val="14"/>
                <w:szCs w:val="14"/>
                <w:color w:val="auto"/>
              </w:rPr>
              <w:t>‑</w:t>
            </w:r>
            <w:r>
              <w:rPr>
                <w:rFonts w:ascii="Arial" w:cs="Arial" w:eastAsia="Arial" w:hAnsi="Arial"/>
                <w:sz w:val="14"/>
                <w:szCs w:val="14"/>
                <w:color w:val="auto"/>
              </w:rPr>
              <w:t>term debt</w:t>
            </w: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to affiliates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Accrued property, gaming and other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 and related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Accrued interest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other liabilities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tcPr>
          <w:p>
            <w:pPr>
              <w:ind w:left="3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105,710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line="161" w:lineRule="exact"/>
              <w:rPr>
                <w:sz w:val="20"/>
                <w:szCs w:val="20"/>
                <w:color w:val="auto"/>
              </w:rPr>
            </w:pPr>
            <w:r>
              <w:rPr>
                <w:rFonts w:ascii="Arial" w:cs="Arial" w:eastAsia="Arial" w:hAnsi="Arial"/>
                <w:sz w:val="14"/>
                <w:szCs w:val="14"/>
                <w:color w:val="auto"/>
              </w:rPr>
              <w:t>LONG</w:t>
            </w:r>
            <w:r>
              <w:rPr>
                <w:rFonts w:ascii="MS PGothic" w:cs="MS PGothic" w:eastAsia="MS PGothic" w:hAnsi="MS PGothic"/>
                <w:sz w:val="14"/>
                <w:szCs w:val="14"/>
                <w:color w:val="auto"/>
              </w:rPr>
              <w:t>‑</w:t>
            </w:r>
            <w:r>
              <w:rPr>
                <w:rFonts w:ascii="Arial" w:cs="Arial" w:eastAsia="Arial" w:hAnsi="Arial"/>
                <w:sz w:val="14"/>
                <w:szCs w:val="14"/>
                <w:color w:val="auto"/>
              </w:rPr>
              <w:t>TERM DEBT, LESS CURRENT PORTION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861,713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78,797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1,054,341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1,019,937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COMMITMENTS AND CONTINGENCIES (Note 16)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50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Common stock, 100,000,000 shares authorized, 46,817,829 and 46,426,714 issued and outstanding, par</w:t>
            </w: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value $0.00001 as of December 31, 2015 and 2014, respectively</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line="161" w:lineRule="exact"/>
              <w:rPr>
                <w:sz w:val="20"/>
                <w:szCs w:val="20"/>
                <w:color w:val="auto"/>
              </w:rPr>
            </w:pPr>
            <w:r>
              <w:rPr>
                <w:rFonts w:ascii="Arial" w:cs="Arial" w:eastAsia="Arial" w:hAnsi="Arial"/>
                <w:sz w:val="14"/>
                <w:szCs w:val="14"/>
                <w:color w:val="auto"/>
              </w:rPr>
              <w:t>Paid</w:t>
            </w:r>
            <w:r>
              <w:rPr>
                <w:rFonts w:ascii="MS PGothic" w:cs="MS PGothic" w:eastAsia="MS PGothic" w:hAnsi="MS PGothic"/>
                <w:sz w:val="14"/>
                <w:szCs w:val="14"/>
                <w:color w:val="auto"/>
              </w:rPr>
              <w:t>‑</w:t>
            </w:r>
            <w:r>
              <w:rPr>
                <w:rFonts w:ascii="Arial" w:cs="Arial" w:eastAsia="Arial" w:hAnsi="Arial"/>
                <w:sz w:val="14"/>
                <w:szCs w:val="14"/>
                <w:color w:val="auto"/>
              </w:rPr>
              <w:t>in capital</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170,897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165,857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 (deficit)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(14,425)</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Stockholders' equity before non-controlling interest</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270,667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20"/>
              <w:spacing w:after="0"/>
              <w:rPr>
                <w:sz w:val="20"/>
                <w:szCs w:val="20"/>
                <w:color w:val="auto"/>
              </w:rPr>
            </w:pPr>
            <w:r>
              <w:rPr>
                <w:rFonts w:ascii="Arial" w:cs="Arial" w:eastAsia="Arial" w:hAnsi="Arial"/>
                <w:sz w:val="14"/>
                <w:szCs w:val="14"/>
                <w:color w:val="auto"/>
              </w:rPr>
              <w:t>Non-controlling interest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270,667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00" w:type="dxa"/>
            <w:vAlign w:val="bottom"/>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1,325,008</w:t>
            </w:r>
          </w:p>
        </w:tc>
        <w:tc>
          <w:tcPr>
            <w:tcW w:w="220" w:type="dxa"/>
            <w:vAlign w:val="bottom"/>
          </w:tcPr>
          <w:p>
            <w:pPr>
              <w:spacing w:after="0"/>
              <w:rPr>
                <w:sz w:val="15"/>
                <w:szCs w:val="15"/>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1,171,559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5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29"/>
        </w:trPr>
        <w:tc>
          <w:tcPr>
            <w:tcW w:w="5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50"/>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10"/>
              <w:spacing w:after="0" w:line="129" w:lineRule="exact"/>
              <w:rPr>
                <w:sz w:val="20"/>
                <w:szCs w:val="20"/>
                <w:color w:val="auto"/>
              </w:rPr>
            </w:pPr>
            <w:r>
              <w:rPr>
                <w:rFonts w:ascii="Arial" w:cs="Arial" w:eastAsia="Arial" w:hAnsi="Arial"/>
                <w:sz w:val="14"/>
                <w:szCs w:val="14"/>
                <w:b w:val="1"/>
                <w:bCs w:val="1"/>
                <w:color w:val="auto"/>
              </w:rPr>
              <w:t>2013</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614,227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298,848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192,379</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Pari-mutuel commissions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60,556</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Hotel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26,934</w:t>
            </w:r>
          </w:p>
        </w:tc>
      </w:tr>
      <w:tr>
        <w:trPr>
          <w:trHeight w:val="216"/>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10,384</w:t>
            </w:r>
          </w:p>
        </w:tc>
      </w:tr>
      <w:tr>
        <w:trPr>
          <w:trHeight w:val="210"/>
        </w:trPr>
        <w:tc>
          <w:tcPr>
            <w:tcW w:w="5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410,272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290,253</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Less-promotional allowances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(64,757)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(43,067)</w:t>
            </w:r>
          </w:p>
        </w:tc>
      </w:tr>
      <w:tr>
        <w:trPr>
          <w:trHeight w:val="210"/>
        </w:trPr>
        <w:tc>
          <w:tcPr>
            <w:tcW w:w="52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operating revenues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719,784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361,823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247,186</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Casino</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167,792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101,913</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Pari-mutuel commissions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Food and beverage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28,982</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Hotel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7,891</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7,290</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Marketing and promotions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17,740</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43,713</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56,921</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17,031</w:t>
            </w:r>
          </w:p>
        </w:tc>
      </w:tr>
      <w:tr>
        <w:trPr>
          <w:trHeight w:val="210"/>
        </w:trPr>
        <w:tc>
          <w:tcPr>
            <w:tcW w:w="524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648,270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224,560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OR DISPOSAL OF PROPERTY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ACQUISITION CHARGES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UNCONSOLIDATED AFFILIATES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w:t>
            </w:r>
          </w:p>
        </w:tc>
      </w:tr>
      <w:tr>
        <w:trPr>
          <w:trHeight w:val="210"/>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22,582</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(15,665)</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 of unconsolidated affiliate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11,980</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Gain on valuation of unconsolidated affiliate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termination of supplemental executive retirement plan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Loss on early retirement of debt,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2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expense</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(30,109)</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18,897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18,897</w:t>
            </w:r>
          </w:p>
        </w:tc>
      </w:tr>
      <w:tr>
        <w:trPr>
          <w:trHeight w:val="216"/>
        </w:trPr>
        <w:tc>
          <w:tcPr>
            <w:tcW w:w="524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CONTROLLING INTEREST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NET INCOME (LOSS) ATTRIBUTABLE TO ERI, INC.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114,183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(14,425)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18,897</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of Common Stock:</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320"/>
              <w:spacing w:after="0"/>
              <w:rPr>
                <w:sz w:val="20"/>
                <w:szCs w:val="20"/>
                <w:color w:val="auto"/>
              </w:rPr>
            </w:pPr>
            <w:r>
              <w:rPr>
                <w:rFonts w:ascii="Arial" w:cs="Arial" w:eastAsia="Arial" w:hAnsi="Arial"/>
                <w:sz w:val="18"/>
                <w:szCs w:val="18"/>
                <w:color w:val="auto"/>
              </w:rPr>
              <w:t>Basic</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5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r>
      <w:tr>
        <w:trPr>
          <w:trHeight w:val="223"/>
        </w:trPr>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r>
      <w:tr>
        <w:trPr>
          <w:trHeight w:val="223"/>
        </w:trPr>
        <w:tc>
          <w:tcPr>
            <w:tcW w:w="52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Weighted Average Basic Shares Outstanding</w:t>
            </w:r>
          </w:p>
        </w:tc>
        <w:tc>
          <w:tcPr>
            <w:tcW w:w="50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46,550,042</w:t>
            </w:r>
          </w:p>
        </w:tc>
        <w:tc>
          <w:tcPr>
            <w:tcW w:w="18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29,901,405</w:t>
            </w:r>
          </w:p>
        </w:tc>
        <w:tc>
          <w:tcPr>
            <w:tcW w:w="18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23,311,492</w:t>
            </w:r>
          </w:p>
        </w:tc>
      </w:tr>
      <w:tr>
        <w:trPr>
          <w:trHeight w:val="223"/>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47,008,980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29,901,405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23,311,492</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jc w:val="right"/>
              <w:ind w:right="393"/>
              <w:spacing w:after="0"/>
              <w:rPr>
                <w:sz w:val="20"/>
                <w:szCs w:val="20"/>
                <w:color w:val="auto"/>
              </w:rPr>
            </w:pPr>
            <w:r>
              <w:rPr>
                <w:rFonts w:ascii="Arial" w:cs="Arial" w:eastAsia="Arial" w:hAnsi="Arial"/>
                <w:sz w:val="14"/>
                <w:szCs w:val="14"/>
                <w:b w:val="1"/>
                <w:bCs w:val="1"/>
                <w:color w:val="auto"/>
              </w:rPr>
              <w:t>For the Year Ended December 31,</w:t>
            </w:r>
          </w:p>
        </w:tc>
      </w:tr>
      <w:tr>
        <w:trPr>
          <w:trHeight w:val="129"/>
        </w:trPr>
        <w:tc>
          <w:tcPr>
            <w:tcW w:w="546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2013</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114,183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(14,322)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18,897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Defined benefit pension plan—amortization of net gain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Minimum pension liability adjustment of unconsolidated affiliate</w:t>
            </w: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1,772</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net of tax</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114,108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(16,110)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20,669</w:t>
            </w:r>
          </w:p>
        </w:tc>
      </w:tr>
      <w:tr>
        <w:trPr>
          <w:trHeight w:val="27"/>
        </w:trPr>
        <w:tc>
          <w:tcPr>
            <w:tcW w:w="5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9520"/>
          </w:cols>
          <w:pgMar w:left="1160" w:top="11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86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1"/>
        </w:trPr>
        <w:tc>
          <w:tcPr>
            <w:tcW w:w="3640" w:type="dxa"/>
            <w:vAlign w:val="bottom"/>
          </w:tcPr>
          <w:p>
            <w:pPr>
              <w:spacing w:after="0"/>
              <w:rPr>
                <w:sz w:val="20"/>
                <w:szCs w:val="20"/>
                <w:color w:val="auto"/>
              </w:rPr>
            </w:pPr>
            <w:r>
              <w:rPr>
                <w:rFonts w:ascii="Arial" w:cs="Arial" w:eastAsia="Arial" w:hAnsi="Arial"/>
                <w:sz w:val="14"/>
                <w:szCs w:val="14"/>
                <w:color w:val="auto"/>
              </w:rPr>
              <w:t>Balance, December 31, 2012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23,311,492</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24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64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line="135" w:lineRule="exact"/>
              <w:rPr>
                <w:sz w:val="20"/>
                <w:szCs w:val="20"/>
                <w:color w:val="auto"/>
              </w:rPr>
            </w:pPr>
            <w:r>
              <w:rPr>
                <w:rFonts w:ascii="Arial" w:cs="Arial" w:eastAsia="Arial" w:hAnsi="Arial"/>
                <w:sz w:val="14"/>
                <w:szCs w:val="14"/>
                <w:color w:val="auto"/>
                <w:w w:val="99"/>
              </w:rPr>
              <w:t>Minimum pension liability adjustment of unconsolidated</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40" w:type="dxa"/>
            <w:vAlign w:val="bottom"/>
          </w:tcPr>
          <w:p>
            <w:pPr>
              <w:ind w:left="220"/>
              <w:spacing w:after="0"/>
              <w:rPr>
                <w:sz w:val="20"/>
                <w:szCs w:val="20"/>
                <w:color w:val="auto"/>
              </w:rPr>
            </w:pPr>
            <w:r>
              <w:rPr>
                <w:rFonts w:ascii="Arial" w:cs="Arial" w:eastAsia="Arial" w:hAnsi="Arial"/>
                <w:sz w:val="14"/>
                <w:szCs w:val="14"/>
                <w:color w:val="auto"/>
              </w:rPr>
              <w:t>affiliate</w:t>
            </w:r>
          </w:p>
        </w:tc>
        <w:tc>
          <w:tcPr>
            <w:tcW w:w="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tcPr>
          <w:p>
            <w:pPr>
              <w:ind w:left="100"/>
              <w:spacing w:after="0"/>
              <w:rPr>
                <w:sz w:val="20"/>
                <w:szCs w:val="20"/>
                <w:color w:val="auto"/>
              </w:rPr>
            </w:pPr>
            <w:r>
              <w:rPr>
                <w:rFonts w:ascii="Arial" w:cs="Arial" w:eastAsia="Arial" w:hAnsi="Arial"/>
                <w:sz w:val="14"/>
                <w:szCs w:val="14"/>
                <w:color w:val="auto"/>
              </w:rPr>
              <w:t>Cash distributions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20"/>
                <w:szCs w:val="20"/>
                <w:color w:val="auto"/>
              </w:rPr>
            </w:pPr>
            <w:r>
              <w:rPr>
                <w:rFonts w:ascii="Arial" w:cs="Arial" w:eastAsia="Arial" w:hAnsi="Arial"/>
                <w:sz w:val="14"/>
                <w:szCs w:val="14"/>
                <w:color w:val="auto"/>
              </w:rPr>
              <w:t>Balance, December 31, 2013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23,311,492</w:t>
            </w:r>
          </w:p>
        </w:tc>
        <w:tc>
          <w:tcPr>
            <w:tcW w:w="1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640" w:type="dxa"/>
            <w:vAlign w:val="bottom"/>
          </w:tcPr>
          <w:p>
            <w:pPr>
              <w:ind w:left="100"/>
              <w:spacing w:after="0" w:line="135" w:lineRule="exact"/>
              <w:rPr>
                <w:sz w:val="20"/>
                <w:szCs w:val="20"/>
                <w:color w:val="auto"/>
              </w:rPr>
            </w:pPr>
            <w:r>
              <w:rPr>
                <w:rFonts w:ascii="Arial" w:cs="Arial" w:eastAsia="Arial" w:hAnsi="Arial"/>
                <w:sz w:val="14"/>
                <w:szCs w:val="14"/>
                <w:color w:val="auto"/>
                <w:w w:val="98"/>
              </w:rPr>
              <w:t>Noncash distribution of investment in Tamarack Crossing,</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40" w:type="dxa"/>
            <w:vAlign w:val="bottom"/>
          </w:tcPr>
          <w:p>
            <w:pPr>
              <w:ind w:left="100"/>
              <w:spacing w:after="0"/>
              <w:rPr>
                <w:sz w:val="20"/>
                <w:szCs w:val="20"/>
                <w:color w:val="auto"/>
              </w:rPr>
            </w:pPr>
            <w:r>
              <w:rPr>
                <w:rFonts w:ascii="Arial" w:cs="Arial" w:eastAsia="Arial" w:hAnsi="Arial"/>
                <w:sz w:val="14"/>
                <w:szCs w:val="14"/>
                <w:color w:val="auto"/>
              </w:rPr>
              <w:t>LLC</w:t>
            </w:r>
          </w:p>
        </w:tc>
        <w:tc>
          <w:tcPr>
            <w:tcW w:w="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640" w:type="dxa"/>
            <w:vAlign w:val="bottom"/>
          </w:tcPr>
          <w:p>
            <w:pPr>
              <w:ind w:left="100"/>
              <w:spacing w:after="0"/>
              <w:rPr>
                <w:sz w:val="20"/>
                <w:szCs w:val="20"/>
                <w:color w:val="auto"/>
              </w:rPr>
            </w:pPr>
            <w:r>
              <w:rPr>
                <w:rFonts w:ascii="Arial" w:cs="Arial" w:eastAsia="Arial" w:hAnsi="Arial"/>
                <w:sz w:val="14"/>
                <w:szCs w:val="14"/>
                <w:color w:val="auto"/>
              </w:rPr>
              <w:t>Cash distributions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MTR Gaming shares converted upon reverse merger</w:t>
            </w:r>
          </w:p>
        </w:tc>
        <w:tc>
          <w:tcPr>
            <w:tcW w:w="700" w:type="dxa"/>
            <w:vAlign w:val="bottom"/>
          </w:tcPr>
          <w:p>
            <w:pPr>
              <w:jc w:val="right"/>
              <w:spacing w:after="0"/>
              <w:rPr>
                <w:sz w:val="20"/>
                <w:szCs w:val="20"/>
                <w:color w:val="auto"/>
              </w:rPr>
            </w:pPr>
            <w:r>
              <w:rPr>
                <w:rFonts w:ascii="Arial" w:cs="Arial" w:eastAsia="Arial" w:hAnsi="Arial"/>
                <w:sz w:val="14"/>
                <w:szCs w:val="14"/>
                <w:color w:val="auto"/>
                <w:w w:val="91"/>
              </w:rPr>
              <w:t>23,100,140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Escrow shares returned to authorized and unissued</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(25,290)</w:t>
            </w: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Pension other comprehensive gain, net of tax of $50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64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220"/>
              <w:spacing w:after="0" w:line="135" w:lineRule="exact"/>
              <w:rPr>
                <w:sz w:val="20"/>
                <w:szCs w:val="20"/>
                <w:color w:val="auto"/>
              </w:rPr>
            </w:pPr>
            <w:r>
              <w:rPr>
                <w:rFonts w:ascii="Arial" w:cs="Arial" w:eastAsia="Arial" w:hAnsi="Arial"/>
                <w:sz w:val="14"/>
                <w:szCs w:val="14"/>
                <w:color w:val="auto"/>
                <w:w w:val="99"/>
              </w:rPr>
              <w:t>Minimum pension liability adjustment of unconsolidated</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40" w:type="dxa"/>
            <w:vAlign w:val="bottom"/>
          </w:tcPr>
          <w:p>
            <w:pPr>
              <w:ind w:left="220"/>
              <w:spacing w:after="0"/>
              <w:rPr>
                <w:sz w:val="20"/>
                <w:szCs w:val="20"/>
                <w:color w:val="auto"/>
              </w:rPr>
            </w:pPr>
            <w:r>
              <w:rPr>
                <w:rFonts w:ascii="Arial" w:cs="Arial" w:eastAsia="Arial" w:hAnsi="Arial"/>
                <w:sz w:val="14"/>
                <w:szCs w:val="14"/>
                <w:color w:val="auto"/>
              </w:rPr>
              <w:t>affiliate</w:t>
            </w:r>
          </w:p>
        </w:tc>
        <w:tc>
          <w:tcPr>
            <w:tcW w:w="8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40" w:type="dxa"/>
            <w:vAlign w:val="bottom"/>
          </w:tcPr>
          <w:p>
            <w:pPr>
              <w:ind w:left="10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76,633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640" w:type="dxa"/>
            <w:vAlign w:val="bottom"/>
          </w:tcPr>
          <w:p>
            <w:pPr>
              <w:ind w:left="100"/>
              <w:spacing w:after="0" w:line="135" w:lineRule="exact"/>
              <w:rPr>
                <w:sz w:val="20"/>
                <w:szCs w:val="20"/>
                <w:color w:val="auto"/>
              </w:rPr>
            </w:pPr>
            <w:r>
              <w:rPr>
                <w:rFonts w:ascii="Arial" w:cs="Arial" w:eastAsia="Arial" w:hAnsi="Arial"/>
                <w:sz w:val="14"/>
                <w:szCs w:val="14"/>
                <w:color w:val="auto"/>
              </w:rPr>
              <w:t>Shares withheld related to net share settlement of stock</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(36,261)</w:t>
            </w:r>
          </w:p>
        </w:tc>
        <w:tc>
          <w:tcPr>
            <w:tcW w:w="3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40" w:type="dxa"/>
            <w:vAlign w:val="bottom"/>
          </w:tcPr>
          <w:p>
            <w:pPr>
              <w:ind w:left="100"/>
              <w:spacing w:after="0"/>
              <w:rPr>
                <w:sz w:val="20"/>
                <w:szCs w:val="20"/>
                <w:color w:val="auto"/>
              </w:rPr>
            </w:pPr>
            <w:r>
              <w:rPr>
                <w:rFonts w:ascii="Arial" w:cs="Arial" w:eastAsia="Arial" w:hAnsi="Arial"/>
                <w:sz w:val="14"/>
                <w:szCs w:val="14"/>
                <w:color w:val="auto"/>
              </w:rPr>
              <w:t>awards</w:t>
            </w:r>
          </w:p>
        </w:tc>
        <w:tc>
          <w:tcPr>
            <w:tcW w:w="8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40" w:type="dxa"/>
            <w:vAlign w:val="bottom"/>
          </w:tcPr>
          <w:p>
            <w:pPr>
              <w:spacing w:after="0"/>
              <w:rPr>
                <w:sz w:val="20"/>
                <w:szCs w:val="20"/>
                <w:color w:val="auto"/>
              </w:rPr>
            </w:pPr>
            <w:r>
              <w:rPr>
                <w:rFonts w:ascii="Arial" w:cs="Arial" w:eastAsia="Arial" w:hAnsi="Arial"/>
                <w:sz w:val="14"/>
                <w:szCs w:val="14"/>
                <w:color w:val="auto"/>
              </w:rPr>
              <w:t>Balance, December 31, 2014</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46,426,714</w:t>
            </w: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Issuance of restricted stock units</w:t>
            </w:r>
          </w:p>
        </w:tc>
        <w:tc>
          <w:tcPr>
            <w:tcW w:w="700" w:type="dxa"/>
            <w:vAlign w:val="bottom"/>
          </w:tcPr>
          <w:p>
            <w:pPr>
              <w:jc w:val="right"/>
              <w:spacing w:after="0"/>
              <w:rPr>
                <w:sz w:val="20"/>
                <w:szCs w:val="20"/>
                <w:color w:val="auto"/>
              </w:rPr>
            </w:pPr>
            <w:r>
              <w:rPr>
                <w:rFonts w:ascii="Arial" w:cs="Arial" w:eastAsia="Arial" w:hAnsi="Arial"/>
                <w:sz w:val="14"/>
                <w:szCs w:val="14"/>
                <w:color w:val="auto"/>
              </w:rPr>
              <w:t>17,980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Acquisition of non-controlling interest</w:t>
            </w:r>
          </w:p>
        </w:tc>
        <w:tc>
          <w:tcPr>
            <w:tcW w:w="700" w:type="dxa"/>
            <w:vAlign w:val="bottom"/>
          </w:tcPr>
          <w:p>
            <w:pPr>
              <w:jc w:val="right"/>
              <w:spacing w:after="0"/>
              <w:rPr>
                <w:sz w:val="20"/>
                <w:szCs w:val="20"/>
                <w:color w:val="auto"/>
              </w:rPr>
            </w:pPr>
            <w:r>
              <w:rPr>
                <w:rFonts w:ascii="Arial" w:cs="Arial" w:eastAsia="Arial" w:hAnsi="Arial"/>
                <w:sz w:val="14"/>
                <w:szCs w:val="14"/>
                <w:color w:val="auto"/>
              </w:rPr>
              <w:t>373,135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64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40" w:type="dxa"/>
            <w:vAlign w:val="bottom"/>
          </w:tcPr>
          <w:p>
            <w:pPr>
              <w:ind w:left="220"/>
              <w:spacing w:after="0"/>
              <w:rPr>
                <w:sz w:val="20"/>
                <w:szCs w:val="20"/>
                <w:color w:val="auto"/>
              </w:rPr>
            </w:pPr>
            <w:r>
              <w:rPr>
                <w:rFonts w:ascii="Arial" w:cs="Arial" w:eastAsia="Arial" w:hAnsi="Arial"/>
                <w:sz w:val="14"/>
                <w:szCs w:val="14"/>
                <w:color w:val="auto"/>
              </w:rPr>
              <w:t>Pension gain, net of tax</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20"/>
                <w:szCs w:val="20"/>
                <w:color w:val="auto"/>
              </w:rPr>
            </w:pPr>
            <w:r>
              <w:rPr>
                <w:rFonts w:ascii="Arial" w:cs="Arial" w:eastAsia="Arial" w:hAnsi="Arial"/>
                <w:sz w:val="14"/>
                <w:szCs w:val="14"/>
                <w:color w:val="auto"/>
              </w:rPr>
              <w:t>Balance, December 31, 2015</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46,817,829</w:t>
            </w:r>
          </w:p>
        </w:tc>
        <w:tc>
          <w:tcPr>
            <w:tcW w:w="16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-3318510</wp:posOffset>
            </wp:positionV>
            <wp:extent cx="608901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-3043555</wp:posOffset>
            </wp:positionV>
            <wp:extent cx="608901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-2734945</wp:posOffset>
            </wp:positionV>
            <wp:extent cx="608901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-2451735</wp:posOffset>
            </wp:positionV>
            <wp:extent cx="608901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89015"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-2143125</wp:posOffset>
            </wp:positionV>
            <wp:extent cx="608901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-1868805</wp:posOffset>
            </wp:positionV>
            <wp:extent cx="608901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-1594485</wp:posOffset>
            </wp:positionV>
            <wp:extent cx="608901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-1285875</wp:posOffset>
            </wp:positionV>
            <wp:extent cx="608901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-977265</wp:posOffset>
            </wp:positionV>
            <wp:extent cx="608901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9015" cy="1460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-694055</wp:posOffset>
            </wp:positionV>
            <wp:extent cx="608901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-419735</wp:posOffset>
            </wp:positionV>
            <wp:extent cx="608901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901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-145415</wp:posOffset>
            </wp:positionV>
            <wp:extent cx="60890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901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5"/>
                <w:szCs w:val="15"/>
                <w:color w:val="auto"/>
              </w:rPr>
            </w:pPr>
          </w:p>
        </w:tc>
        <w:tc>
          <w:tcPr>
            <w:tcW w:w="5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61,003</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18,897</w:t>
            </w: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(6,097)</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225"/>
        </w:trPr>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73,803</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1,772</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75,575</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(5,479)</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98,011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(14,425)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9"/>
              </w:rPr>
              <w:t>(14,322)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(1,772)</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25"/>
        </w:trPr>
        <w:tc>
          <w:tcPr>
            <w:tcW w:w="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165,857</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(14,425)</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151,622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3,449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114,183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114,183</w:t>
            </w:r>
          </w:p>
        </w:tc>
        <w:tc>
          <w:tcPr>
            <w:tcW w:w="0" w:type="dxa"/>
            <w:vAlign w:val="bottom"/>
          </w:tcPr>
          <w:p>
            <w:pPr>
              <w:spacing w:after="0"/>
              <w:rPr>
                <w:sz w:val="1"/>
                <w:szCs w:val="1"/>
                <w:color w:val="auto"/>
              </w:rPr>
            </w:pPr>
          </w:p>
        </w:tc>
      </w:tr>
      <w:tr>
        <w:trPr>
          <w:trHeight w:val="417"/>
        </w:trPr>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0"/>
        </w:trPr>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170,897</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99,758</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270,667</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2">
            <w:col w:w="5080" w:space="160"/>
            <w:col w:w="4280"/>
          </w:cols>
          <w:pgMar w:left="1160" w:top="112" w:right="12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66040</wp:posOffset>
            </wp:positionV>
            <wp:extent cx="60972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20"/>
          </w:cols>
          <w:pgMar w:left="1160" w:top="112" w:right="1219" w:bottom="1440" w:gutter="0" w:footer="0" w:header="0"/>
          <w:type w:val="continuous"/>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5"/>
        </w:trPr>
        <w:tc>
          <w:tcPr>
            <w:tcW w:w="5560" w:type="dxa"/>
            <w:vAlign w:val="bottom"/>
            <w:tcBorders>
              <w:bottom w:val="single" w:sz="8" w:color="CCEEFF"/>
            </w:tcBorders>
          </w:tcPr>
          <w:p>
            <w:pPr>
              <w:spacing w:after="0"/>
              <w:rPr>
                <w:sz w:val="10"/>
                <w:szCs w:val="10"/>
                <w:color w:val="auto"/>
              </w:rPr>
            </w:pPr>
          </w:p>
        </w:tc>
        <w:tc>
          <w:tcPr>
            <w:tcW w:w="5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7"/>
              <w:spacing w:after="0" w:line="115"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7"/>
              <w:spacing w:after="0" w:line="115"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7"/>
              <w:spacing w:after="0" w:line="115" w:lineRule="exact"/>
              <w:rPr>
                <w:sz w:val="20"/>
                <w:szCs w:val="20"/>
                <w:color w:val="auto"/>
              </w:rPr>
            </w:pPr>
            <w:r>
              <w:rPr>
                <w:rFonts w:ascii="Arial" w:cs="Arial" w:eastAsia="Arial" w:hAnsi="Arial"/>
                <w:sz w:val="13"/>
                <w:szCs w:val="13"/>
                <w:b w:val="1"/>
                <w:bCs w:val="1"/>
                <w:color w:val="auto"/>
              </w:rPr>
              <w:t>2013</w:t>
            </w:r>
          </w:p>
        </w:tc>
        <w:tc>
          <w:tcPr>
            <w:tcW w:w="40" w:type="dxa"/>
            <w:vAlign w:val="bottom"/>
            <w:tcBorders>
              <w:bottom w:val="single" w:sz="8" w:color="CCEEFF"/>
            </w:tcBorders>
          </w:tcPr>
          <w:p>
            <w:pPr>
              <w:spacing w:after="0"/>
              <w:rPr>
                <w:sz w:val="10"/>
                <w:szCs w:val="10"/>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3"/>
                <w:szCs w:val="13"/>
                <w:color w:val="auto"/>
              </w:rPr>
              <w:t>Net income (loss)</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114,183</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(14,322)</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18,897</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(net loss) to net cash provided by 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56,921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28,643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17,031</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Amortization of debt issuance costs and (premium) discount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Equity in income of unconsolidated affiliates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(2,705)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(3,355)</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6"/>
              </w:rPr>
              <w:t>Gain on termination of supplemental executive retirement plan assets of unconsolidated affiliate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Gain on extinguishment of debt of unconsolidated affiliate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(11,980)</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Loss on early retirement of debt, net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Gain on valuation of unconsolidated affiliate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(35,582)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Distributions from unconsolidated affiliate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Change in fair value of acquisition related contingencies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Loss on sale or disposal of property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226</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(Benefit) provision for bad debts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(Benefit) provision for deferred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(70,773)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Change in operating assets and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Restricted cash</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(2,273)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(83)</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Inventories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(264)</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400</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Interest payable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Income taxes payable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and other liabilities and due to affiliates</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40" w:type="dxa"/>
            <w:vAlign w:val="bottom"/>
            <w:shd w:val="clear" w:color="auto" w:fill="CCEEFF"/>
          </w:tcPr>
          <w:p>
            <w:pPr>
              <w:spacing w:after="0"/>
              <w:rPr>
                <w:sz w:val="18"/>
                <w:szCs w:val="18"/>
                <w:color w:val="auto"/>
              </w:rPr>
            </w:pPr>
          </w:p>
        </w:tc>
      </w:tr>
      <w:tr>
        <w:trPr>
          <w:trHeight w:val="196"/>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Net cash provided by operating activities</w:t>
            </w:r>
          </w:p>
        </w:tc>
        <w:tc>
          <w:tcPr>
            <w:tcW w:w="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56,715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31,606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23,536</w:t>
            </w:r>
          </w:p>
        </w:tc>
        <w:tc>
          <w:tcPr>
            <w:tcW w:w="40" w:type="dxa"/>
            <w:vAlign w:val="bottom"/>
            <w:tcBorders>
              <w:bottom w:val="single" w:sz="8" w:color="CCEEFF"/>
            </w:tcBorders>
          </w:tcPr>
          <w:p>
            <w:pPr>
              <w:spacing w:after="0"/>
              <w:rPr>
                <w:sz w:val="17"/>
                <w:szCs w:val="17"/>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Capital expenditures, net of payables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(36,762)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(7,413)</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 in and loans to unconsolidated affiliate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Net cash (used) acquired in business combinations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(125,016)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48,110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 of property and equipment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Decrease in restricted cash due to credit support deposit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Reimbursement of capital expenditures from West Virginia regulatory authorities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Decrease (increase) in other assets, net</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w:t>
            </w:r>
          </w:p>
        </w:tc>
        <w:tc>
          <w:tcPr>
            <w:tcW w:w="40" w:type="dxa"/>
            <w:vAlign w:val="bottom"/>
            <w:tcBorders>
              <w:bottom w:val="single" w:sz="8" w:color="CCEEFF"/>
            </w:tcBorders>
          </w:tcPr>
          <w:p>
            <w:pPr>
              <w:spacing w:after="0"/>
              <w:rPr>
                <w:sz w:val="18"/>
                <w:szCs w:val="18"/>
                <w:color w:val="auto"/>
              </w:rPr>
            </w:pPr>
          </w:p>
        </w:tc>
      </w:tr>
      <w:tr>
        <w:trPr>
          <w:trHeight w:val="196"/>
        </w:trPr>
        <w:tc>
          <w:tcPr>
            <w:tcW w:w="5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cash (used in) provided by investing activities</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(158,754)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(7,560)</w:t>
            </w:r>
          </w:p>
        </w:tc>
      </w:tr>
      <w:tr>
        <w:trPr>
          <w:trHeight w:val="210"/>
        </w:trPr>
        <w:tc>
          <w:tcPr>
            <w:tcW w:w="556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issuance of Senior Notes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Payments from issuance of New Term Loan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Borrowings under New Revolving Credit Facility</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Principal payments under New Revolving Credit Facility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Principal payments under Senior Notes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line="150" w:lineRule="exact"/>
              <w:rPr>
                <w:sz w:val="20"/>
                <w:szCs w:val="20"/>
                <w:color w:val="auto"/>
              </w:rPr>
            </w:pPr>
            <w:r>
              <w:rPr>
                <w:rFonts w:ascii="Arial" w:cs="Arial" w:eastAsia="Arial" w:hAnsi="Arial"/>
                <w:sz w:val="13"/>
                <w:szCs w:val="13"/>
                <w:color w:val="auto"/>
              </w:rPr>
              <w:t>Retirement of long</w:t>
            </w:r>
            <w:r>
              <w:rPr>
                <w:rFonts w:ascii="MS PGothic" w:cs="MS PGothic" w:eastAsia="MS PGothic" w:hAnsi="MS PGothic"/>
                <w:sz w:val="13"/>
                <w:szCs w:val="13"/>
                <w:color w:val="auto"/>
              </w:rPr>
              <w:t>‑</w:t>
            </w:r>
            <w:r>
              <w:rPr>
                <w:rFonts w:ascii="Arial" w:cs="Arial" w:eastAsia="Arial" w:hAnsi="Arial"/>
                <w:sz w:val="13"/>
                <w:szCs w:val="13"/>
                <w:color w:val="auto"/>
              </w:rPr>
              <w:t>term debt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(728,664)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(5,000)</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Principal payments on capital leases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Debt issuance costs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(25,820)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Call premium on early retirement of debt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Cash distributions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(6,097)</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Repurchase of treasury stock</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96"/>
        </w:trPr>
        <w:tc>
          <w:tcPr>
            <w:tcW w:w="5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Net cash provided by (used in) financing activities</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92,713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(11,466)</w:t>
            </w:r>
          </w:p>
        </w:tc>
        <w:tc>
          <w:tcPr>
            <w:tcW w:w="40" w:type="dxa"/>
            <w:vAlign w:val="bottom"/>
            <w:tcBorders>
              <w:top w:val="single" w:sz="8" w:color="CCEEFF"/>
            </w:tcBorders>
            <w:shd w:val="clear" w:color="auto" w:fill="CCEEFF"/>
          </w:tcPr>
          <w:p>
            <w:pPr>
              <w:spacing w:after="0"/>
              <w:rPr>
                <w:sz w:val="17"/>
                <w:szCs w:val="17"/>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3"/>
                <w:szCs w:val="13"/>
                <w:color w:val="auto"/>
              </w:rPr>
              <w:t>(DECREASE) INCREASE IN CASH AND CASH EQUIVALENTS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57,791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4,510</w:t>
            </w:r>
          </w:p>
        </w:tc>
        <w:tc>
          <w:tcPr>
            <w:tcW w:w="40" w:type="dxa"/>
            <w:vAlign w:val="bottom"/>
          </w:tcPr>
          <w:p>
            <w:pPr>
              <w:spacing w:after="0"/>
              <w:rPr>
                <w:sz w:val="17"/>
                <w:szCs w:val="17"/>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AND CASH EQUIVALENTS, BEGINNING OF YEAR</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87,604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25,303</w:t>
            </w:r>
          </w:p>
        </w:tc>
        <w:tc>
          <w:tcPr>
            <w:tcW w:w="40" w:type="dxa"/>
            <w:vAlign w:val="bottom"/>
            <w:shd w:val="clear" w:color="auto" w:fill="CCEEFF"/>
          </w:tcPr>
          <w:p>
            <w:pPr>
              <w:spacing w:after="0"/>
              <w:rPr>
                <w:sz w:val="18"/>
                <w:szCs w:val="18"/>
                <w:color w:val="auto"/>
              </w:rPr>
            </w:pPr>
          </w:p>
        </w:tc>
      </w:tr>
      <w:tr>
        <w:trPr>
          <w:trHeight w:val="190"/>
        </w:trPr>
        <w:tc>
          <w:tcPr>
            <w:tcW w:w="5560" w:type="dxa"/>
            <w:vAlign w:val="bottom"/>
          </w:tcPr>
          <w:p>
            <w:pPr>
              <w:ind w:left="220"/>
              <w:spacing w:after="0"/>
              <w:rPr>
                <w:sz w:val="20"/>
                <w:szCs w:val="20"/>
                <w:color w:val="auto"/>
              </w:rPr>
            </w:pPr>
            <w:r>
              <w:rPr>
                <w:rFonts w:ascii="Arial" w:cs="Arial" w:eastAsia="Arial" w:hAnsi="Arial"/>
                <w:sz w:val="13"/>
                <w:szCs w:val="13"/>
                <w:color w:val="auto"/>
              </w:rPr>
              <w:t>CASH AND CASH EQUIVALENTS, END OF YEAR</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78,278</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87,604</w:t>
            </w:r>
          </w:p>
        </w:tc>
        <w:tc>
          <w:tcPr>
            <w:tcW w:w="10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29,813</w:t>
            </w:r>
          </w:p>
        </w:tc>
        <w:tc>
          <w:tcPr>
            <w:tcW w:w="40" w:type="dxa"/>
            <w:vAlign w:val="bottom"/>
          </w:tcPr>
          <w:p>
            <w:pPr>
              <w:spacing w:after="0"/>
              <w:rPr>
                <w:sz w:val="16"/>
                <w:szCs w:val="16"/>
                <w:color w:val="auto"/>
              </w:rPr>
            </w:pPr>
          </w:p>
        </w:tc>
      </w:tr>
      <w:tr>
        <w:trPr>
          <w:trHeight w:val="216"/>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SUPPLEMENTAL DISCLOSURE OF CASH FLOW INFORMATION</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Interest paid</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78,378</w:t>
            </w:r>
          </w:p>
        </w:tc>
        <w:tc>
          <w:tcPr>
            <w:tcW w:w="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14,848</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14,827</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Local income taxes paid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Noncash distribution of Tamarack investment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Payables for capital expenditures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3"/>
                <w:szCs w:val="13"/>
                <w:color w:val="auto"/>
              </w:rPr>
              <w:t>Capital lease obligations settled through deposits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68</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Equipment acquired under capital leases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60"/>
          </w:cols>
          <w:pgMar w:left="1420" w:top="112" w:right="1419" w:bottom="136"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36" w:gutter="0" w:footer="0" w:header="0"/>
          <w:type w:val="continuous"/>
        </w:sectPr>
      </w:pPr>
    </w:p>
    <w:bookmarkStart w:id="72" w:name="page73"/>
    <w:bookmarkEnd w:id="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left="1440" w:right="2160"/>
        <w:spacing w:after="0" w:line="454" w:lineRule="auto"/>
        <w:rPr>
          <w:sz w:val="20"/>
          <w:szCs w:val="20"/>
          <w:color w:val="auto"/>
        </w:rPr>
      </w:pPr>
      <w:r>
        <w:rPr>
          <w:rFonts w:ascii="Arial" w:cs="Arial" w:eastAsia="Arial" w:hAnsi="Arial"/>
          <w:sz w:val="18"/>
          <w:szCs w:val="18"/>
          <w:b w:val="1"/>
          <w:bCs w:val="1"/>
          <w:color w:val="auto"/>
        </w:rPr>
        <w:t>ELDORADO RESORTS, INC. NOTES TO CONSOLIDATED FINANCIAL STATEMENTS December 31, 2015</w:t>
      </w: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include the accounts of Eldorado Resorts, Inc. (“ERI” or the</w:t>
      </w:r>
    </w:p>
    <w:p>
      <w:pPr>
        <w:spacing w:after="0" w:line="224" w:lineRule="auto"/>
        <w:rPr>
          <w:sz w:val="20"/>
          <w:szCs w:val="20"/>
          <w:color w:val="auto"/>
        </w:rPr>
      </w:pPr>
      <w:r>
        <w:rPr>
          <w:rFonts w:ascii="Arial" w:cs="Arial" w:eastAsia="Arial" w:hAnsi="Arial"/>
          <w:sz w:val="17"/>
          <w:szCs w:val="17"/>
          <w:color w:val="auto"/>
        </w:rPr>
        <w:t>“Company”), a Nevada corporation formed in September 2013, and its consolidated subsidiaries. As explained in greater</w:t>
      </w:r>
    </w:p>
    <w:p>
      <w:pPr>
        <w:spacing w:after="0" w:line="216" w:lineRule="auto"/>
        <w:rPr>
          <w:sz w:val="20"/>
          <w:szCs w:val="20"/>
          <w:color w:val="auto"/>
        </w:rPr>
      </w:pPr>
      <w:r>
        <w:rPr>
          <w:rFonts w:ascii="Arial" w:cs="Arial" w:eastAsia="Arial" w:hAnsi="Arial"/>
          <w:sz w:val="17"/>
          <w:szCs w:val="17"/>
          <w:color w:val="auto"/>
        </w:rPr>
        <w:t>detail in Note 3, ERI was formed in September 2013 to be the parent company following the merger of wholly owned</w:t>
      </w:r>
    </w:p>
    <w:p>
      <w:pPr>
        <w:spacing w:after="0" w:line="215" w:lineRule="auto"/>
        <w:rPr>
          <w:sz w:val="20"/>
          <w:szCs w:val="20"/>
          <w:color w:val="auto"/>
        </w:rPr>
      </w:pPr>
      <w:r>
        <w:rPr>
          <w:rFonts w:ascii="Arial" w:cs="Arial" w:eastAsia="Arial" w:hAnsi="Arial"/>
          <w:sz w:val="17"/>
          <w:szCs w:val="17"/>
          <w:color w:val="auto"/>
        </w:rPr>
        <w:t>subsidiaries of the Company into Eldorado HoldCo LLC (“HoldCo”), a Nevada limited liability company formed in 2009</w:t>
      </w:r>
    </w:p>
    <w:p>
      <w:pPr>
        <w:spacing w:after="0" w:line="216" w:lineRule="auto"/>
        <w:rPr>
          <w:sz w:val="20"/>
          <w:szCs w:val="20"/>
          <w:color w:val="auto"/>
        </w:rPr>
      </w:pPr>
      <w:r>
        <w:rPr>
          <w:rFonts w:ascii="Arial" w:cs="Arial" w:eastAsia="Arial" w:hAnsi="Arial"/>
          <w:sz w:val="17"/>
          <w:szCs w:val="17"/>
          <w:color w:val="auto"/>
        </w:rPr>
        <w:t>that is the parent company of Eldorado Resorts LLC (“Resorts”), and MTR Gaming Group, Inc. (“MTR Gaming”), a</w:t>
      </w:r>
    </w:p>
    <w:p>
      <w:pPr>
        <w:spacing w:after="0" w:line="204" w:lineRule="auto"/>
        <w:rPr>
          <w:sz w:val="20"/>
          <w:szCs w:val="20"/>
          <w:color w:val="auto"/>
        </w:rPr>
      </w:pPr>
      <w:r>
        <w:rPr>
          <w:rFonts w:ascii="Arial" w:cs="Arial" w:eastAsia="Arial" w:hAnsi="Arial"/>
          <w:sz w:val="18"/>
          <w:szCs w:val="18"/>
          <w:color w:val="auto"/>
        </w:rPr>
        <w:t>Delaware corporation incorporated in 1988 (the “Merger”). Effective upon the consummation of the Merger on</w:t>
      </w:r>
    </w:p>
    <w:p>
      <w:pPr>
        <w:spacing w:after="0" w:line="222" w:lineRule="auto"/>
        <w:rPr>
          <w:sz w:val="20"/>
          <w:szCs w:val="20"/>
          <w:color w:val="auto"/>
        </w:rPr>
      </w:pPr>
      <w:r>
        <w:rPr>
          <w:rFonts w:ascii="Arial" w:cs="Arial" w:eastAsia="Arial" w:hAnsi="Arial"/>
          <w:sz w:val="17"/>
          <w:szCs w:val="17"/>
          <w:color w:val="auto"/>
        </w:rPr>
        <w:t>September 19, 2014 (the “Merger Date”), MTR Gaming and HoldCo each became a wholly owned subsidiary of ERI and, as a result of such transactions, Resorts became an indirect wholly owned subsidiary of ERI. The Merger has been accounted for as a reverse acquisition of MTR Gaming by HoldCo under accounting principles generally accepted in the United States (“US GAAP”). As a result, HoldCo is considered the acquirer of MTR Gaming for accounting purposes. The accompanying consolidated financial statements for periods prior to the Merger Date are those of HoldCo and its subsidiaries, and for periods subsequent to the Merger Date also include MTR Gaming and its subsidiaries. Intercompany accounts and transactions have been eliminated in consolidation.</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On November 24, 2015 (the “Acquisition Date”), Resorts consummated the acquisition of all of the assets and properties of Circus Circus Reno (“Circus Reno”) and the 50% membership interest in the Silver Legacy Joint Venture owned by Galleon, Inc. (collectively, the “Circus Reno/Silver Legacy Purchase” or the “Acquisition”) pursuant to a Purchase and Sale Agreement, dated as of July 7, 2015 (the “Purchase Agreement”), entered into with Circus Circus Casinos, Inc. and Galleon, Inc., each an affiliate of MGM Resorts International, with respect to the acquisition. On the Acquisition Date, Eldorado Resorts LLC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 The accompanying consolidated financial statements for periods prior to the Acquisition Date do not include the results of operations for Circus Reno and account for Silver Legacy as an investment in unconsolidated affiliate.</w:t>
      </w:r>
    </w:p>
    <w:p>
      <w:pPr>
        <w:spacing w:after="0" w:line="167"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Resorts owns and operates the Eldorado Resorts Casino Reno, a premier hotel, casino and entertainment facility centrally located in downtown Reno, Nevada (the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Prior to the Acquisition Date, Resorts owned a 48.1% interest in the joint venture (the “Silver Legacy Joint Venture”) which owns the Silver Legacy Resort Casino (the “Silver Legacy”), a major themed hotel and casino situated between and seamlessly connected at the mezzanine level to the Eldorado Reno and Circus Reno hotel and casino. Resorts acquired the remaining interest in Silver Legacy in 2015 as well as acquiring Circus Reno, previously owned and operated by Galleon, Inc., an indirect, wholly owned subsidiary of MGM Resorts International.</w:t>
      </w:r>
    </w:p>
    <w:p>
      <w:pPr>
        <w:spacing w:after="0" w:line="161"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Merger, Resorts distributed to HoldCo, and HoldCo subsequently distributed to its members, including members of the Carano family, on a pro rata basis Resorts’ interest in Tamarack. No gain or loss was recognized in the accompanying consolidated financial statements as a result of such distribution because the distribution was in the amount of the book value of Tamarack and totaled $5.5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MTR Gaming operates as a hospitality and gaming company with racetrack, gaming and hotel properties in West Virginia, Pennsylvania and Ohio. MTR Gaming, through its wholly 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Principles of Consolidation. </w:t>
      </w:r>
      <w:r>
        <w:rPr>
          <w:rFonts w:ascii="Arial" w:cs="Arial" w:eastAsia="Arial" w:hAnsi="Arial"/>
          <w:sz w:val="16"/>
          <w:szCs w:val="16"/>
          <w:color w:val="auto"/>
        </w:rPr>
        <w:t>The accompanying consolidated financial statements include the accounts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as described in Note 1. All significant intercompany transactions have been eliminated in consolidation.</w:t>
      </w:r>
    </w:p>
    <w:p>
      <w:pPr>
        <w:spacing w:after="0" w:line="124"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accounting principles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incorporated into the Company’s consolidated financial statements include estimated useful lives for depreciable and amortizable assets, estimated allowance for doubtful accounts receivable, estimated cash flows in assessing the recoverability of long</w:t>
      </w:r>
      <w:r>
        <w:rPr>
          <w:rFonts w:ascii="MS PGothic" w:cs="MS PGothic" w:eastAsia="MS PGothic" w:hAnsi="MS PGothic"/>
          <w:sz w:val="16"/>
          <w:szCs w:val="16"/>
          <w:color w:val="auto"/>
        </w:rPr>
        <w:t>‑</w:t>
      </w:r>
      <w:r>
        <w:rPr>
          <w:rFonts w:ascii="Arial" w:cs="Arial" w:eastAsia="Arial" w:hAnsi="Arial"/>
          <w:sz w:val="16"/>
          <w:szCs w:val="16"/>
          <w:color w:val="auto"/>
        </w:rPr>
        <w:t>lived assets, self</w:t>
      </w:r>
      <w:r>
        <w:rPr>
          <w:rFonts w:ascii="MS PGothic" w:cs="MS PGothic" w:eastAsia="MS PGothic" w:hAnsi="MS PGothic"/>
          <w:sz w:val="16"/>
          <w:szCs w:val="16"/>
          <w:color w:val="auto"/>
        </w:rPr>
        <w:t>‑</w:t>
      </w:r>
      <w:r>
        <w:rPr>
          <w:rFonts w:ascii="Arial" w:cs="Arial" w:eastAsia="Arial" w:hAnsi="Arial"/>
          <w:sz w:val="16"/>
          <w:szCs w:val="16"/>
          <w:color w:val="auto"/>
        </w:rPr>
        <w:t>insurance reserves, players’ club liabilities, contingencies and litigation, claims and assessments, and fair value measurements related to the Company’s long</w:t>
      </w:r>
      <w:r>
        <w:rPr>
          <w:rFonts w:ascii="MS PGothic" w:cs="MS PGothic" w:eastAsia="MS PGothic" w:hAnsi="MS PGothic"/>
          <w:sz w:val="16"/>
          <w:szCs w:val="16"/>
          <w:color w:val="auto"/>
        </w:rPr>
        <w:t>‑</w:t>
      </w:r>
      <w:r>
        <w:rPr>
          <w:rFonts w:ascii="Arial" w:cs="Arial" w:eastAsia="Arial" w:hAnsi="Arial"/>
          <w:sz w:val="16"/>
          <w:szCs w:val="16"/>
          <w:color w:val="auto"/>
        </w:rPr>
        <w:t>term debt. Actual results could differ from these estimates.</w:t>
      </w:r>
    </w:p>
    <w:p>
      <w:pPr>
        <w:spacing w:after="0" w:line="167"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include all unrestricted, highly liquid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with a remaining maturity of 90 days or less. Cash and cash equivalents also includes cash maintained for gaming operations.</w:t>
      </w:r>
    </w:p>
    <w:p>
      <w:pPr>
        <w:spacing w:after="0" w:line="163"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includes unredeemed winning tickets from our racing operations, funds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horsemen’s fines and certain simulcasting funds that are restricted to payments for improving horsemen’s facilities and racing purses at Scioto Downs, cash deposits that serve as collateral for letters of credit surety bonds and short</w:t>
      </w:r>
      <w:r>
        <w:rPr>
          <w:rFonts w:ascii="MS PGothic" w:cs="MS PGothic" w:eastAsia="MS PGothic" w:hAnsi="MS PGothic"/>
          <w:sz w:val="18"/>
          <w:szCs w:val="18"/>
          <w:color w:val="auto"/>
        </w:rPr>
        <w:t>‑</w:t>
      </w:r>
      <w:r>
        <w:rPr>
          <w:rFonts w:ascii="Arial" w:cs="Arial" w:eastAsia="Arial" w:hAnsi="Arial"/>
          <w:sz w:val="18"/>
          <w:szCs w:val="18"/>
          <w:color w:val="auto"/>
        </w:rPr>
        <w:t>term certificates of deposit that serve as collateral for certain bonding requirements.</w:t>
      </w:r>
    </w:p>
    <w:p>
      <w:pPr>
        <w:spacing w:after="0" w:line="163"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The Company also has two certificates of deposit which are used for security with the Nevada Department of Insurance for its self</w:t>
      </w:r>
      <w:r>
        <w:rPr>
          <w:rFonts w:ascii="MS PGothic" w:cs="MS PGothic" w:eastAsia="MS PGothic" w:hAnsi="MS PGothic"/>
          <w:sz w:val="18"/>
          <w:szCs w:val="18"/>
          <w:color w:val="auto"/>
        </w:rPr>
        <w:t>‑</w:t>
      </w:r>
      <w:r>
        <w:rPr>
          <w:rFonts w:ascii="Arial" w:cs="Arial" w:eastAsia="Arial" w:hAnsi="Arial"/>
          <w:sz w:val="18"/>
          <w:szCs w:val="18"/>
          <w:color w:val="auto"/>
        </w:rPr>
        <w:t>insured workers compensation. The certificates of deposit matured on January 31, 2016 and February 5, 2016 at which time they were renewed into one certificate of deposit and increased to $598,000 and the maturity date was extended to January 28, 2017.</w:t>
      </w:r>
    </w:p>
    <w:p>
      <w:pPr>
        <w:spacing w:after="0" w:line="163"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Each of Resorts and Galleon were required to each deposit $5.0 million of cash into a bank account as collateral in favor of the lender under Silver Legacy Joint Venture credit agreement in November 2013. In conjunction with the Acquisition and repayment of Silver Legacy’s debt, the credit support obligation was eliminated.</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b w:val="1"/>
          <w:bCs w:val="1"/>
          <w:i w:val="1"/>
          <w:iCs w:val="1"/>
          <w:color w:val="auto"/>
        </w:rPr>
        <w:t xml:space="preserve">Accounts Receivable and Credit Risk. </w:t>
      </w:r>
      <w:r>
        <w:rPr>
          <w:rFonts w:ascii="Arial" w:cs="Arial" w:eastAsia="Arial" w:hAnsi="Arial"/>
          <w:sz w:val="17"/>
          <w:szCs w:val="17"/>
          <w:color w:val="auto"/>
        </w:rPr>
        <w:t>Financial instruments that potentially subject the Company to concentrations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credit risk consist principally of casino accounts receivable. The Company issues markers to approved casino customers following background checks and assessments of creditworthiness. Trade receivables, including casino and hotel receivables, are typically non</w:t>
      </w:r>
      <w:r>
        <w:rPr>
          <w:rFonts w:ascii="MS PGothic" w:cs="MS PGothic" w:eastAsia="MS PGothic" w:hAnsi="MS PGothic"/>
          <w:sz w:val="17"/>
          <w:szCs w:val="17"/>
          <w:color w:val="auto"/>
        </w:rPr>
        <w:t>‑</w:t>
      </w:r>
      <w:r>
        <w:rPr>
          <w:rFonts w:ascii="Arial" w:cs="Arial" w:eastAsia="Arial" w:hAnsi="Arial"/>
          <w:sz w:val="17"/>
          <w:szCs w:val="17"/>
          <w:color w:val="auto"/>
        </w:rPr>
        <w:t>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 historical collection experience and current economic and business conditions. Management believes that as of December 31, 2015 and 2014, no significant concentrations of credit risk existed.</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b w:val="1"/>
          <w:bCs w:val="1"/>
          <w:i w:val="1"/>
          <w:iCs w:val="1"/>
          <w:color w:val="auto"/>
        </w:rPr>
        <w:t xml:space="preserve">Certain Concentrations of Risk. </w:t>
      </w:r>
      <w:r>
        <w:rPr>
          <w:rFonts w:ascii="Arial" w:cs="Arial" w:eastAsia="Arial" w:hAnsi="Arial"/>
          <w:sz w:val="16"/>
          <w:szCs w:val="16"/>
          <w:color w:val="auto"/>
        </w:rPr>
        <w:t>The Company’s operations are in limited market areas. Therefore, the Company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risks inherent within those markets. To the extent that new casinos enter into the markets or hotel room capacity is expanded, competition will increase. The Company may also be affected by economic conditions in the United States and globally affecting the markets or trends in visitation or spending in the markets in which it operates.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We maintain cash balances at certain financial institutions in excess of amounts insured by the Federal Deposit Insurance Corporation. In addition, we maintain significant cash balances on hand at our gaming facilities.</w:t>
      </w:r>
    </w:p>
    <w:p>
      <w:pPr>
        <w:spacing w:after="0" w:line="147"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average cost, using a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basis, or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consist primarily of food and beverage, retail merchandise and operating supplies. Cost is determined primarily by the average cost method for food and beverage and operating supplies.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are stated at cost. Depreciation is computed using the</w:t>
      </w:r>
    </w:p>
    <w:p>
      <w:pPr>
        <w:spacing w:after="0" w:line="176" w:lineRule="exact"/>
        <w:rPr>
          <w:sz w:val="20"/>
          <w:szCs w:val="20"/>
          <w:color w:val="auto"/>
        </w:rPr>
      </w:pPr>
      <w:r>
        <w:rPr>
          <w:rFonts w:ascii="Arial" w:cs="Arial" w:eastAsia="Arial" w:hAnsi="Arial"/>
          <w:sz w:val="16"/>
          <w:szCs w:val="16"/>
          <w:color w:val="auto"/>
        </w:rPr>
        <w:t>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life of the asset or the term of the capitalized lease, whichever is less. Costs of</w:t>
      </w:r>
    </w:p>
    <w:p>
      <w:pPr>
        <w:spacing w:after="0" w:line="229" w:lineRule="auto"/>
        <w:rPr>
          <w:sz w:val="20"/>
          <w:szCs w:val="20"/>
          <w:color w:val="auto"/>
        </w:rPr>
      </w:pPr>
      <w:r>
        <w:rPr>
          <w:rFonts w:ascii="Arial" w:cs="Arial" w:eastAsia="Arial" w:hAnsi="Arial"/>
          <w:sz w:val="16"/>
          <w:szCs w:val="16"/>
          <w:color w:val="auto"/>
        </w:rPr>
        <w:t>major improvements are capitalized, while costs of normal repairs and maintenance are charged to expense as incurred. Gains</w:t>
      </w:r>
    </w:p>
    <w:p>
      <w:pPr>
        <w:spacing w:after="0"/>
        <w:rPr>
          <w:sz w:val="20"/>
          <w:szCs w:val="20"/>
          <w:color w:val="auto"/>
        </w:rPr>
      </w:pPr>
      <w:r>
        <w:rPr>
          <w:rFonts w:ascii="Arial" w:cs="Arial" w:eastAsia="Arial" w:hAnsi="Arial"/>
          <w:sz w:val="18"/>
          <w:szCs w:val="18"/>
          <w:color w:val="auto"/>
        </w:rPr>
        <w:t>or losses on the disposal of property and equipment are included in operating income.</w:t>
      </w:r>
    </w:p>
    <w:p>
      <w:pPr>
        <w:spacing w:after="0" w:line="169"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b w:val="1"/>
          <w:bCs w:val="1"/>
          <w:i w:val="1"/>
          <w:iCs w:val="1"/>
          <w:color w:val="auto"/>
        </w:rPr>
        <w:t xml:space="preserve">Investment in Unconsolidated Affiliates. </w:t>
      </w:r>
      <w:r>
        <w:rPr>
          <w:rFonts w:ascii="Arial" w:cs="Arial" w:eastAsia="Arial" w:hAnsi="Arial"/>
          <w:sz w:val="17"/>
          <w:szCs w:val="17"/>
          <w:color w:val="auto"/>
        </w:rPr>
        <w:t>The Company’s investments in unconsolidated affiliates which are 50%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less owned are accounted for under the equity method. The Company does not have significant variable interests in variable interest entities. All intercompany balances and transactions have been eliminated in consolidation.</w:t>
      </w:r>
    </w:p>
    <w:p>
      <w:pPr>
        <w:spacing w:after="0" w:line="121" w:lineRule="exact"/>
        <w:rPr>
          <w:sz w:val="20"/>
          <w:szCs w:val="20"/>
          <w:color w:val="auto"/>
        </w:rPr>
      </w:pPr>
    </w:p>
    <w:p>
      <w:pPr>
        <w:ind w:right="40" w:firstLine="267"/>
        <w:spacing w:after="0" w:line="216" w:lineRule="auto"/>
        <w:rPr>
          <w:sz w:val="20"/>
          <w:szCs w:val="20"/>
          <w:color w:val="auto"/>
        </w:rPr>
      </w:pPr>
      <w:r>
        <w:rPr>
          <w:rFonts w:ascii="Arial" w:cs="Arial" w:eastAsia="Arial" w:hAnsi="Arial"/>
          <w:sz w:val="18"/>
          <w:szCs w:val="18"/>
          <w:color w:val="auto"/>
        </w:rPr>
        <w:t>The Company considers whether the fair values of any of its equity method investments have declined below their carrying value whenever adverse events or changes in circumstances indicate that recorded values may not be recoverable. Estimated fair value is determined using a discounted cash flow analysis based on estimated future results of the investee and market indicators of terminal year capitalization rate. There were no impairments of the Company’s equity method investments during 2015, 2014 or 2013.</w:t>
      </w:r>
    </w:p>
    <w:p>
      <w:pPr>
        <w:spacing w:after="0" w:line="122"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6"/>
          <w:szCs w:val="16"/>
          <w:b w:val="1"/>
          <w:bCs w:val="1"/>
          <w:i w:val="1"/>
          <w:iCs w:val="1"/>
          <w:color w:val="auto"/>
        </w:rPr>
        <w:t>Goodwill and Other Intangible Assets and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Operating Real Properties. </w:t>
      </w:r>
      <w:r>
        <w:rPr>
          <w:rFonts w:ascii="Arial" w:cs="Arial" w:eastAsia="Arial" w:hAnsi="Arial"/>
          <w:sz w:val="16"/>
          <w:szCs w:val="16"/>
          <w:color w:val="auto"/>
        </w:rPr>
        <w:t>Goodwill represents the excess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price over fair market value of net assets acquired in business combinations. Goodwill and indefinite-lived intangible assets must be reviewed for impairment at least annually and between annual test dates in certain circumstances. The Company performs its annual impairment tests in the fourth quarter of each fiscal year. No impairments were indicated as a result of the annual impairment review for goodwill and indefinite-lived intangible assets in 2015, 2014 and 2013.</w:t>
      </w:r>
    </w:p>
    <w:p>
      <w:pPr>
        <w:spacing w:after="0" w:line="162"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8"/>
          <w:szCs w:val="18"/>
          <w:color w:val="auto"/>
        </w:rPr>
        <w:t>We have designated certain assets, consisting principally of land and undeveloped properties, as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property and have declared our intent to sell those assets. However, we do not anticipate that we will be able to sell the majority of the assets within the next twelve months. As such, these properties are not classified as held</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as of December 31, 2015.</w:t>
      </w:r>
    </w:p>
    <w:p>
      <w:pPr>
        <w:spacing w:after="0" w:line="163"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b w:val="1"/>
          <w:bCs w:val="1"/>
          <w:i w:val="1"/>
          <w:iCs w:val="1"/>
          <w:color w:val="auto"/>
        </w:rPr>
        <w:t>Indefinite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Lived Intangible Assets. </w:t>
      </w:r>
      <w:r>
        <w:rPr>
          <w:rFonts w:ascii="Arial" w:cs="Arial" w:eastAsia="Arial" w:hAnsi="Arial"/>
          <w:sz w:val="18"/>
          <w:szCs w:val="18"/>
          <w:color w:val="auto"/>
        </w:rPr>
        <w:t>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consist primarily of expenditures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obtaining racing and gaming licenses.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are not subject to amortization, but are subject to an annual impairment test. If the carrying amount of an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 exceeds its fair value, an impairment loss is recognized in an amount equal to that excess amount.</w:t>
      </w:r>
    </w:p>
    <w:p>
      <w:pPr>
        <w:spacing w:after="0" w:line="163" w:lineRule="exact"/>
        <w:rPr>
          <w:sz w:val="20"/>
          <w:szCs w:val="20"/>
          <w:color w:val="auto"/>
        </w:rPr>
      </w:pPr>
    </w:p>
    <w:p>
      <w:pPr>
        <w:ind w:right="60" w:firstLine="648"/>
        <w:spacing w:after="0" w:line="189" w:lineRule="exact"/>
        <w:rPr>
          <w:sz w:val="20"/>
          <w:szCs w:val="20"/>
          <w:color w:val="auto"/>
        </w:rPr>
      </w:pPr>
      <w:r>
        <w:rPr>
          <w:rFonts w:ascii="Arial" w:cs="Arial" w:eastAsia="Arial" w:hAnsi="Arial"/>
          <w:sz w:val="16"/>
          <w:szCs w:val="16"/>
          <w:b w:val="1"/>
          <w:bCs w:val="1"/>
          <w:i w:val="1"/>
          <w:iCs w:val="1"/>
          <w:color w:val="auto"/>
        </w:rPr>
        <w:t>Self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Insurance Reserves. </w:t>
      </w:r>
      <w:r>
        <w:rPr>
          <w:rFonts w:ascii="Arial" w:cs="Arial" w:eastAsia="Arial" w:hAnsi="Arial"/>
          <w:sz w:val="16"/>
          <w:szCs w:val="16"/>
          <w:color w:val="auto"/>
        </w:rPr>
        <w:t>The Company is self</w:t>
      </w:r>
      <w:r>
        <w:rPr>
          <w:rFonts w:ascii="MS PGothic" w:cs="MS PGothic" w:eastAsia="MS PGothic" w:hAnsi="MS PGothic"/>
          <w:sz w:val="16"/>
          <w:szCs w:val="16"/>
          <w:color w:val="auto"/>
        </w:rPr>
        <w:t>‑</w:t>
      </w:r>
      <w:r>
        <w:rPr>
          <w:rFonts w:ascii="Arial" w:cs="Arial" w:eastAsia="Arial" w:hAnsi="Arial"/>
          <w:sz w:val="16"/>
          <w:szCs w:val="16"/>
          <w:color w:val="auto"/>
        </w:rPr>
        <w:t>insured for various levels of general liability, employee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coverage and workers’ compensation coverage. Self</w:t>
      </w:r>
      <w:r>
        <w:rPr>
          <w:rFonts w:ascii="MS PGothic" w:cs="MS PGothic" w:eastAsia="MS PGothic" w:hAnsi="MS PGothic"/>
          <w:sz w:val="16"/>
          <w:szCs w:val="16"/>
          <w:color w:val="auto"/>
        </w:rPr>
        <w:t>‑</w:t>
      </w:r>
      <w:r>
        <w:rPr>
          <w:rFonts w:ascii="Arial" w:cs="Arial" w:eastAsia="Arial" w:hAnsi="Arial"/>
          <w:sz w:val="16"/>
          <w:szCs w:val="16"/>
          <w:color w:val="auto"/>
        </w:rPr>
        <w:t>insurance reserves are estimated based on the Company’s claims experience and are included in accrued other liabilities on the consolidated balance sheets. At December 31, 2015 and 2014, accrued insurance and medical claims reserves were $3.5 million and $1.3 million, respectively.</w:t>
      </w:r>
    </w:p>
    <w:p>
      <w:pPr>
        <w:spacing w:after="0" w:line="164"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b w:val="1"/>
          <w:bCs w:val="1"/>
          <w:i w:val="1"/>
          <w:iCs w:val="1"/>
          <w:color w:val="auto"/>
        </w:rPr>
        <w:t xml:space="preserve">Outstanding Chip Liability. </w:t>
      </w:r>
      <w:r>
        <w:rPr>
          <w:rFonts w:ascii="Arial" w:cs="Arial" w:eastAsia="Arial" w:hAnsi="Arial"/>
          <w:sz w:val="16"/>
          <w:szCs w:val="16"/>
          <w:color w:val="auto"/>
        </w:rPr>
        <w:t>The Company recognizes the impact on gaming revenues on an annual basis to reflect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estimate of the change in the value of outstanding chips that are not expected to be redeemed. This estimate is determined by measuring the difference between the total value of chips placed in service less the value of chips in the inventory of chips under our control. This measurement is performed on an annual basis utilizing a methodology in which a consistent formula is applied to estimate the percentage value of chips not in custody that are not expected to be redeemed. In addition to the formula, certain judgments are made with regard to various denominations and souvenir chips.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b w:val="1"/>
          <w:bCs w:val="1"/>
          <w:i w:val="1"/>
          <w:iCs w:val="1"/>
          <w:color w:val="auto"/>
        </w:rPr>
        <w:t xml:space="preserve">Loyalty Program. </w:t>
      </w:r>
      <w:r>
        <w:rPr>
          <w:rFonts w:ascii="Arial" w:cs="Arial" w:eastAsia="Arial" w:hAnsi="Arial"/>
          <w:sz w:val="17"/>
          <w:szCs w:val="17"/>
          <w:color w:val="auto"/>
        </w:rPr>
        <w:t>The Company offers programs at its properties whereby our participating patrons can accumulate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points for wagering that can be redeemed for credits for free play on slot machines, lodging, food and beverage, merchandise and in limited situations, cash. Based upon the estimated redemptions of frequent player program points, an estimated liability is established for the cost of redemption of earned but unredeemed points. The estimated cost of redemption utilizes estimates and assumptions of the mix of the various product offerings for which the points will be redeemed and costs of such product offerings. Changes in the programs, membership levels and changes in the redemption patterns of our participating patrons can impact this liability. The aggregate outstanding liability for the loyalty program was $3.4 million and $2.4 million at December 31, 2015 and 2014, respectively, and is included as a component of other accrued liabilities in our accompanying consolidated balance sheets.</w:t>
      </w:r>
    </w:p>
    <w:p>
      <w:pPr>
        <w:spacing w:after="0" w:line="162" w:lineRule="exact"/>
        <w:rPr>
          <w:sz w:val="20"/>
          <w:szCs w:val="20"/>
          <w:color w:val="auto"/>
        </w:rPr>
      </w:pPr>
    </w:p>
    <w:p>
      <w:pPr>
        <w:ind w:right="80" w:firstLine="648"/>
        <w:spacing w:after="0" w:line="181" w:lineRule="exact"/>
        <w:rPr>
          <w:sz w:val="20"/>
          <w:szCs w:val="20"/>
          <w:color w:val="auto"/>
        </w:rPr>
      </w:pPr>
      <w:r>
        <w:rPr>
          <w:rFonts w:ascii="Arial" w:cs="Arial" w:eastAsia="Arial" w:hAnsi="Arial"/>
          <w:sz w:val="16"/>
          <w:szCs w:val="16"/>
          <w:b w:val="1"/>
          <w:bCs w:val="1"/>
          <w:i w:val="1"/>
          <w:iCs w:val="1"/>
          <w:color w:val="auto"/>
        </w:rPr>
        <w:t xml:space="preserve">Revenues and Promotional Allowances. </w:t>
      </w:r>
      <w:r>
        <w:rPr>
          <w:rFonts w:ascii="Arial" w:cs="Arial" w:eastAsia="Arial" w:hAnsi="Arial"/>
          <w:sz w:val="16"/>
          <w:szCs w:val="16"/>
          <w:color w:val="auto"/>
        </w:rPr>
        <w:t>The Company recognizes as casino revenue the net win from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which is the difference between gaming wins and losses. Progressive jackpots are accrued and charged to revenue at the time the obligation to pay the jackpot is established. Gaming revenues are recognized net of certain cash and free play incentives. Pari</w:t>
      </w:r>
      <w:r>
        <w:rPr>
          <w:rFonts w:ascii="MS PGothic" w:cs="MS PGothic" w:eastAsia="MS PGothic" w:hAnsi="MS PGothic"/>
          <w:sz w:val="16"/>
          <w:szCs w:val="16"/>
          <w:color w:val="auto"/>
        </w:rPr>
        <w:t>‑</w:t>
      </w:r>
      <w:r>
        <w:rPr>
          <w:rFonts w:ascii="Arial" w:cs="Arial" w:eastAsia="Arial" w:hAnsi="Arial"/>
          <w:sz w:val="16"/>
          <w:szCs w:val="16"/>
          <w:color w:val="auto"/>
        </w:rPr>
        <w:t>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Such fees are based upon a predetermined percentage of handle as contracted with the other race tracks. Hotel, food and beverage, and other operating revenues are recognized as services are performed. Advance deposits on rooms and advance ticket sales are recorded as accrued liabilities until services are provided to the customer.</w:t>
      </w:r>
    </w:p>
    <w:p>
      <w:pPr>
        <w:spacing w:after="0" w:line="166"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The retail value of food, beverage, rooms and other services furnished to customers on a complimentary basis is included in gross revenues and then deducted as promotional allowances. The Company rewards customers, through the use of our loyalty programs, with complimentaries based on amounts wagered or won that can be redeemed for a specified time period. The Company also offers discretionary coupons to our customers, the retail values of which are included as a component of promotional allowances in the accompanying consolidated statements of operations in accordance with Financial Accounting Standards Board (“FASB”) Section 605</w:t>
      </w:r>
      <w:r>
        <w:rPr>
          <w:rFonts w:ascii="MS PGothic" w:cs="MS PGothic" w:eastAsia="MS PGothic" w:hAnsi="MS PGothic"/>
          <w:sz w:val="16"/>
          <w:szCs w:val="16"/>
          <w:color w:val="auto"/>
        </w:rPr>
        <w:t>‑</w:t>
      </w:r>
      <w:r>
        <w:rPr>
          <w:rFonts w:ascii="Arial" w:cs="Arial" w:eastAsia="Arial" w:hAnsi="Arial"/>
          <w:sz w:val="16"/>
          <w:szCs w:val="16"/>
          <w:color w:val="auto"/>
        </w:rPr>
        <w:t>50 for revenue recognition.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retail value of complimentaries included in promotional allowances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ind w:left="220"/>
              <w:spacing w:after="0"/>
              <w:rPr>
                <w:sz w:val="20"/>
                <w:szCs w:val="20"/>
                <w:color w:val="auto"/>
              </w:rPr>
            </w:pPr>
            <w:r>
              <w:rPr>
                <w:rFonts w:ascii="Arial" w:cs="Arial" w:eastAsia="Arial" w:hAnsi="Arial"/>
                <w:sz w:val="14"/>
                <w:szCs w:val="14"/>
                <w:b w:val="1"/>
                <w:bCs w:val="1"/>
                <w:color w:val="auto"/>
              </w:rPr>
              <w:t>For the Year Ended December 31,</w:t>
            </w:r>
          </w:p>
        </w:tc>
      </w:tr>
      <w:tr>
        <w:trPr>
          <w:trHeight w:val="129"/>
        </w:trPr>
        <w:tc>
          <w:tcPr>
            <w:tcW w:w="3720" w:type="dxa"/>
            <w:vAlign w:val="bottom"/>
            <w:tcBorders>
              <w:bottom w:val="single" w:sz="8" w:color="CCEEFF"/>
            </w:tcBorders>
          </w:tcPr>
          <w:p>
            <w:pPr>
              <w:spacing w:after="0"/>
              <w:rPr>
                <w:sz w:val="11"/>
                <w:szCs w:val="11"/>
                <w:color w:val="auto"/>
              </w:rPr>
            </w:pPr>
          </w:p>
        </w:tc>
        <w:tc>
          <w:tcPr>
            <w:tcW w:w="23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1"/>
                <w:szCs w:val="1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29,356</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Hotel</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11,386</w:t>
            </w: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CEEFF"/>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2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64,757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48,449</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43,067</w:t>
            </w:r>
          </w:p>
        </w:tc>
        <w:tc>
          <w:tcPr>
            <w:tcW w:w="80" w:type="dxa"/>
            <w:vAlign w:val="bottom"/>
          </w:tcPr>
          <w:p>
            <w:pPr>
              <w:spacing w:after="0"/>
              <w:rPr>
                <w:sz w:val="18"/>
                <w:szCs w:val="18"/>
                <w:color w:val="auto"/>
              </w:rPr>
            </w:pPr>
          </w:p>
        </w:tc>
      </w:tr>
      <w:tr>
        <w:trPr>
          <w:trHeight w:val="27"/>
        </w:trPr>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88"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The costs of providing such complimentary services are recorded in casino expenses in the accompanying consolidated statements of operations and are estimated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ind w:left="220"/>
              <w:spacing w:after="0"/>
              <w:rPr>
                <w:sz w:val="20"/>
                <w:szCs w:val="20"/>
                <w:color w:val="auto"/>
              </w:rPr>
            </w:pPr>
            <w:r>
              <w:rPr>
                <w:rFonts w:ascii="Arial" w:cs="Arial" w:eastAsia="Arial" w:hAnsi="Arial"/>
                <w:sz w:val="14"/>
                <w:szCs w:val="14"/>
                <w:b w:val="1"/>
                <w:bCs w:val="1"/>
                <w:color w:val="auto"/>
              </w:rPr>
              <w:t>For the Year Ended December 31,</w:t>
            </w:r>
          </w:p>
        </w:tc>
      </w:tr>
      <w:tr>
        <w:trPr>
          <w:trHeight w:val="129"/>
        </w:trPr>
        <w:tc>
          <w:tcPr>
            <w:tcW w:w="3720" w:type="dxa"/>
            <w:vAlign w:val="bottom"/>
            <w:tcBorders>
              <w:bottom w:val="single" w:sz="8" w:color="CCEEFF"/>
            </w:tcBorders>
          </w:tcPr>
          <w:p>
            <w:pPr>
              <w:spacing w:after="0"/>
              <w:rPr>
                <w:sz w:val="11"/>
                <w:szCs w:val="11"/>
                <w:color w:val="auto"/>
              </w:rPr>
            </w:pPr>
          </w:p>
        </w:tc>
        <w:tc>
          <w:tcPr>
            <w:tcW w:w="23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1"/>
                <w:szCs w:val="1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Hotel</w:t>
            </w: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4,438</w:t>
            </w:r>
          </w:p>
        </w:tc>
        <w:tc>
          <w:tcPr>
            <w:tcW w:w="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shd w:val="clear" w:color="auto" w:fill="CCEEFF"/>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2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40,188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32,080</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28,919</w:t>
            </w:r>
          </w:p>
        </w:tc>
        <w:tc>
          <w:tcPr>
            <w:tcW w:w="80" w:type="dxa"/>
            <w:vAlign w:val="bottom"/>
          </w:tcPr>
          <w:p>
            <w:pPr>
              <w:spacing w:after="0"/>
              <w:rPr>
                <w:sz w:val="18"/>
                <w:szCs w:val="18"/>
                <w:color w:val="auto"/>
              </w:rPr>
            </w:pPr>
          </w:p>
        </w:tc>
      </w:tr>
      <w:tr>
        <w:trPr>
          <w:trHeight w:val="27"/>
        </w:trPr>
        <w:tc>
          <w:tcPr>
            <w:tcW w:w="3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88"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6"/>
          <w:szCs w:val="16"/>
          <w:b w:val="1"/>
          <w:bCs w:val="1"/>
          <w:i w:val="1"/>
          <w:iCs w:val="1"/>
          <w:color w:val="auto"/>
        </w:rPr>
        <w:t xml:space="preserve">Advertising. </w:t>
      </w:r>
      <w:r>
        <w:rPr>
          <w:rFonts w:ascii="Arial" w:cs="Arial" w:eastAsia="Arial" w:hAnsi="Arial"/>
          <w:sz w:val="16"/>
          <w:szCs w:val="16"/>
          <w:color w:val="auto"/>
        </w:rPr>
        <w:t>Advertising costs are expensed in the period the advertising initially takes place and are included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promotions expenses. Advertising costs included in marketing and promotion expenses were $31.2 million, $22.0 million and $17.7 million for the years ended December 31, 2015, 2014 and 2013,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648"/>
        <w:spacing w:after="0" w:line="22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account for income taxes in accordance with ASC Topic 740, Income Taxes (“ASC 740”).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740 requires the recognition of deferred income tax liabilities and deferred income tax assets for the difference between the book basis and tax basis of assets and liabilities. We have recorded valuation allowances related to net operating loss carry forwards and certain temporary differences. Recognizable future tax benefits are subject to a valuation allowance, unless such tax benefits are determined to be more likely than not realizable. We recognize accrued interest and penalties related to unrecognized tax benefits in income tax expense.</w:t>
      </w:r>
    </w:p>
    <w:p>
      <w:pPr>
        <w:spacing w:after="0" w:line="161" w:lineRule="exact"/>
        <w:rPr>
          <w:sz w:val="20"/>
          <w:szCs w:val="20"/>
          <w:color w:val="auto"/>
        </w:rPr>
      </w:pPr>
    </w:p>
    <w:p>
      <w:pPr>
        <w:ind w:right="159" w:firstLine="648"/>
        <w:spacing w:after="0" w:line="188" w:lineRule="exact"/>
        <w:rPr>
          <w:sz w:val="20"/>
          <w:szCs w:val="20"/>
          <w:color w:val="auto"/>
        </w:rPr>
      </w:pPr>
      <w:r>
        <w:rPr>
          <w:rFonts w:ascii="Arial" w:cs="Arial" w:eastAsia="Arial" w:hAnsi="Arial"/>
          <w:sz w:val="18"/>
          <w:szCs w:val="18"/>
          <w:b w:val="1"/>
          <w:bCs w:val="1"/>
          <w:i w:val="1"/>
          <w:iCs w:val="1"/>
          <w:color w:val="auto"/>
        </w:rPr>
        <w:t>Fair Value Measurements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is an exit price, representing the amount that would be received to sell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147" w:lineRule="exact"/>
        <w:rPr>
          <w:sz w:val="20"/>
          <w:szCs w:val="20"/>
          <w:color w:val="auto"/>
        </w:rPr>
      </w:pPr>
    </w:p>
    <w:p>
      <w:pPr>
        <w:ind w:left="720" w:hanging="6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ind w:left="660"/>
        <w:spacing w:after="0" w:line="176"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2</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ind w:left="740" w:hanging="8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128" w:lineRule="exact"/>
        <w:rPr>
          <w:sz w:val="20"/>
          <w:szCs w:val="20"/>
          <w:color w:val="auto"/>
        </w:rPr>
      </w:pPr>
    </w:p>
    <w:p>
      <w:pPr>
        <w:ind w:right="39" w:firstLine="648"/>
        <w:spacing w:after="0" w:line="187" w:lineRule="exact"/>
        <w:rPr>
          <w:sz w:val="20"/>
          <w:szCs w:val="20"/>
          <w:color w:val="auto"/>
        </w:rPr>
      </w:pPr>
      <w:r>
        <w:rPr>
          <w:rFonts w:ascii="Arial" w:cs="Arial" w:eastAsia="Arial" w:hAnsi="Arial"/>
          <w:sz w:val="16"/>
          <w:szCs w:val="16"/>
          <w:b w:val="1"/>
          <w:bCs w:val="1"/>
          <w:i w:val="1"/>
          <w:iCs w:val="1"/>
          <w:color w:val="auto"/>
        </w:rPr>
        <w:t>Stock</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Based Compensation. </w:t>
      </w:r>
      <w:r>
        <w:rPr>
          <w:rFonts w:ascii="Arial" w:cs="Arial" w:eastAsia="Arial" w:hAnsi="Arial"/>
          <w:sz w:val="16"/>
          <w:szCs w:val="16"/>
          <w:color w:val="auto"/>
        </w:rPr>
        <w:t>We account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 accordance with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Codification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ASC 718 requires all share</w:t>
      </w:r>
      <w:r>
        <w:rPr>
          <w:rFonts w:ascii="MS PGothic" w:cs="MS PGothic" w:eastAsia="MS PGothic" w:hAnsi="MS PGothic"/>
          <w:sz w:val="16"/>
          <w:szCs w:val="16"/>
          <w:color w:val="auto"/>
        </w:rPr>
        <w:t>‑</w:t>
      </w:r>
      <w:r>
        <w:rPr>
          <w:rFonts w:ascii="Arial" w:cs="Arial" w:eastAsia="Arial" w:hAnsi="Arial"/>
          <w:sz w:val="16"/>
          <w:szCs w:val="16"/>
          <w:color w:val="auto"/>
        </w:rPr>
        <w:t>based payments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 members of the Board of Directors, including grants of stock options and restricted stock units (“RSUs”), to be recognized in the consolidated statement of operations based on their fair values and that compensation expense be recognized for awards over the requisite service period of the award or until an employee’s eligible retirement date, if earlier.</w:t>
      </w:r>
    </w:p>
    <w:p>
      <w:pPr>
        <w:spacing w:after="0" w:line="162" w:lineRule="exact"/>
        <w:rPr>
          <w:sz w:val="20"/>
          <w:szCs w:val="20"/>
          <w:color w:val="auto"/>
        </w:rPr>
      </w:pPr>
    </w:p>
    <w:p>
      <w:pPr>
        <w:ind w:right="139" w:firstLine="648"/>
        <w:spacing w:after="0" w:line="212"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earnings per share is computed by dividing net income (loss) by the weighted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during the reporting period. Diluted earnings per share is computed similarly to basic earnings per share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65"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b w:val="1"/>
          <w:bCs w:val="1"/>
          <w:i w:val="1"/>
          <w:iCs w:val="1"/>
          <w:color w:val="auto"/>
        </w:rPr>
        <w:t xml:space="preserve">Segment Reporting. </w:t>
      </w:r>
      <w:r>
        <w:rPr>
          <w:rFonts w:ascii="Arial" w:cs="Arial" w:eastAsia="Arial" w:hAnsi="Arial"/>
          <w:sz w:val="18"/>
          <w:szCs w:val="18"/>
          <w:color w:val="auto"/>
        </w:rPr>
        <w:t>The executive decision makers of our Company review operating results, assess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make decisions on a “significant market” basis. The Company’s management views each of its casino resorts as an operating segment. Operating segments are aggregated based on their similar economic characteristics, types of customers, types of services and products provided, the regulatory environments in which they operate, and their management and reporting structure. The Company’s principal operating activities occur in three geographic regions: Nevada, Louisiana and Eastern. The Company has aggregated its operations into three reportable segments based on the similar characteristics of the operating segments within the regions in which they operate. We, therefore, consider Eldorado Reno, Silver Legacy and Circus Reno as Nevada, Eldorado Shreveport as Louisiana, and Scioto Downs, Presque Isle Downs and Mountaineer as Eastern.</w:t>
      </w:r>
    </w:p>
    <w:p>
      <w:pPr>
        <w:spacing w:after="0" w:line="153" w:lineRule="exact"/>
        <w:rPr>
          <w:sz w:val="20"/>
          <w:szCs w:val="20"/>
          <w:color w:val="auto"/>
        </w:rPr>
      </w:pPr>
    </w:p>
    <w:p>
      <w:pPr>
        <w:ind w:right="79" w:firstLine="648"/>
        <w:spacing w:after="0" w:line="214" w:lineRule="auto"/>
        <w:rPr>
          <w:sz w:val="20"/>
          <w:szCs w:val="20"/>
          <w:color w:val="auto"/>
        </w:rPr>
      </w:pPr>
      <w:r>
        <w:rPr>
          <w:rFonts w:ascii="Arial" w:cs="Arial" w:eastAsia="Arial" w:hAnsi="Arial"/>
          <w:sz w:val="18"/>
          <w:szCs w:val="18"/>
          <w:b w:val="1"/>
          <w:bCs w:val="1"/>
          <w:i w:val="1"/>
          <w:iCs w:val="1"/>
          <w:color w:val="auto"/>
        </w:rPr>
        <w:t xml:space="preserve">Capitalized Interest. </w:t>
      </w:r>
      <w:r>
        <w:rPr>
          <w:rFonts w:ascii="Arial" w:cs="Arial" w:eastAsia="Arial" w:hAnsi="Arial"/>
          <w:sz w:val="18"/>
          <w:szCs w:val="18"/>
          <w:color w:val="auto"/>
        </w:rPr>
        <w:t>The interest cost associated with major development and construction projects is capitalized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included in the cost of the project. When no debt is incurred specifically for a project, interest is capitalized on amounts expended on the project using the weighted-average cost of the Company’s outstanding borrowings. Capitalization of interest ceases when the project is substantially complete or development activity is suspended for more than a brief period. For the year ended December 31, 2015, the Company had $0.2 million of capitalized interest costs. The Company did not record capitalized interest costs in 2014 and 2013.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499" w:firstLine="648"/>
        <w:spacing w:after="0" w:line="259" w:lineRule="auto"/>
        <w:rPr>
          <w:sz w:val="20"/>
          <w:szCs w:val="20"/>
          <w:color w:val="auto"/>
        </w:rPr>
      </w:pPr>
      <w:r>
        <w:rPr>
          <w:rFonts w:ascii="Arial" w:cs="Arial" w:eastAsia="Arial" w:hAnsi="Arial"/>
          <w:sz w:val="16"/>
          <w:szCs w:val="16"/>
          <w:color w:val="auto"/>
        </w:rPr>
        <w:t>In February 2016, the FASB issued an accounting standards update which addresses the recognition and measurement of leases. Under the new guidance, for all leases (with the exception of short-term leases), at the commencement date, lessees will be required to recognize a lease liability, which is a lessee’s obligation to make lease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payments arising from a lease, measured on a discounted basis, and a right-of-use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financial statements. We are currently evaluating the impact of adopting this accounting standard on our consolidated financial statements.</w:t>
      </w:r>
    </w:p>
    <w:p>
      <w:pPr>
        <w:spacing w:after="0" w:line="154"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In November 2015, the FASB issued ASU 2015-17, “Income Taxes—Balance Sheet Classification of Deferred Taxes”, which eliminates the guidance in Topic 740, Income Taxes, that required an entity to separate deferred tax liabilities and assets between current and noncurrent amounts in a classified balance sheet. The amendment require that all deferred tax liabilities and assets of the same tax jurisdiction or a tax filing group, as well as any related valuation allowance, be offset and presented as a single noncurrent amount in a classified balance sheet. The amendment is effective for annual periods beginning after December 15, 2016. Early application is permitted. The guidance may be applied either prospectively to all deferred tax liabilities and assets or retrospectively to all periods presented. The Company applied this guidance in the accompanying consolidated financial statements with prospective application effective October 1, 2015.</w:t>
      </w:r>
    </w:p>
    <w:p>
      <w:pPr>
        <w:spacing w:after="0" w:line="140"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In September 2015, the FASB issued ASU 2015-16, Business Combinations (Topic 805): Simplifying the Accounting for Measurement-Period Adjustments. ASU 2015-16 eliminates the requirement that an acquirer in a business combination account for measurement-period adjustments retrospectively. Instead, an acquirer will recognize a measurement-period adjustment during the period in which it determines the amount of the adjustment. The guidance is effective for public business entities for fiscal years beginning after December 15, 2015, and interim periods within those fiscal years. For all other entities, it is effective for fiscal years beginning after December 15, 2016. We are evaluating the effects, if any, that the adoption of this guidance will have on our consolidated financial statements.</w:t>
      </w:r>
    </w:p>
    <w:p>
      <w:pPr>
        <w:spacing w:after="0" w:line="14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In July 2015, the FASB issued ASU 2015-11, “Simplifying the Measurement of Inventory”, which requires that inventory within the scope of ASU 2015-11 be measured at the lower of cost and net realizable value. Inventory measured using last-in, first-out (LIFO) and the retail inventory method are not impacted by the new guidance. ASU 2015-11 applies to all other inventory, which includes inventory that is measured using first-in, first-out (FIFO) or average cost.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is effective for annual periods beginning after December 15, 2016. Early adoption is permitted. We are currently evaluating the impact on our financial statements and disclosures.</w:t>
      </w:r>
    </w:p>
    <w:p>
      <w:pPr>
        <w:spacing w:after="0" w:line="154"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In April 2015, the FASB issued an accounting standards update which changes the presentation of debt issuance costs in financial statements. Under the new standard, an entity presents such costs in the balance sheet as a direct deduction from the related debt liability rather than as an asset. The amortization of the costs is reported as interest expense. In August 2015, the FASB issued an accounting standards update which clarifies that companies may continue to present unamortized debt issuance costs associated with line of credit arrangements as an asset. The new guidance should be applied on a retrospective basis, wherein the balance sheet of each individual period should be adjusted to reflect the period-specific effects of applying the new guidance. The effective dates for these updates were for the annual and interim periods beginning after December 15, 2015. We elected to early adopt this guidance during the third quarter of 2015.</w:t>
      </w:r>
    </w:p>
    <w:p>
      <w:pPr>
        <w:spacing w:after="0" w:line="140"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In February 2015, the FASB issued ASU 2015-02, “Amendments to the Consolidation Analysis”, which amends: the assessment of whether a limited partnership is a variable interest entity; the effect that fees paid to a decision maker have on the consolidation analysis; how variable interests held by a reporting entity’s related parties or de facto agents affect its consolidation conclusion; and for entities other than limited partnerships, clarifies how to determine whether the equity holders as a group have power over an entity. The new guidance is effective for fiscal years, and interim periods within those years, beginning after December 15, 2015. We elected to early adopt this guidance during the fourth quarter of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January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 “Income Statement—Extraordinary and Unusual Items” (Subtopic 225</w:t>
      </w:r>
      <w:r>
        <w:rPr>
          <w:rFonts w:ascii="MS PGothic" w:cs="MS PGothic" w:eastAsia="MS PGothic" w:hAnsi="MS PGothic"/>
          <w:sz w:val="16"/>
          <w:szCs w:val="16"/>
          <w:color w:val="auto"/>
        </w:rPr>
        <w:t>‑</w:t>
      </w:r>
      <w:r>
        <w:rPr>
          <w:rFonts w:ascii="Arial" w:cs="Arial" w:eastAsia="Arial" w:hAnsi="Arial"/>
          <w:sz w:val="16"/>
          <w:szCs w:val="16"/>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We believe that the effects, if any, of the adoption of this guidance will not have a material impact on our consolidated financial statements.</w:t>
      </w:r>
    </w:p>
    <w:p>
      <w:pPr>
        <w:spacing w:after="0" w:line="149"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In August 2014, the FASB issued ASU No. 2014</w:t>
      </w:r>
      <w:r>
        <w:rPr>
          <w:rFonts w:ascii="MS PGothic" w:cs="MS PGothic" w:eastAsia="MS PGothic" w:hAnsi="MS PGothic"/>
          <w:sz w:val="17"/>
          <w:szCs w:val="17"/>
          <w:color w:val="auto"/>
        </w:rPr>
        <w:t>‑</w:t>
      </w:r>
      <w:r>
        <w:rPr>
          <w:rFonts w:ascii="Arial" w:cs="Arial" w:eastAsia="Arial" w:hAnsi="Arial"/>
          <w:sz w:val="17"/>
          <w:szCs w:val="17"/>
          <w:color w:val="auto"/>
        </w:rPr>
        <w:t>15, “Presentation of Financial Statements—Going Concern” (Subtopic 205</w:t>
      </w:r>
      <w:r>
        <w:rPr>
          <w:rFonts w:ascii="MS PGothic" w:cs="MS PGothic" w:eastAsia="MS PGothic" w:hAnsi="MS PGothic"/>
          <w:sz w:val="17"/>
          <w:szCs w:val="17"/>
          <w:color w:val="auto"/>
        </w:rPr>
        <w:t>‑</w:t>
      </w:r>
      <w:r>
        <w:rPr>
          <w:rFonts w:ascii="Arial" w:cs="Arial" w:eastAsia="Arial" w:hAnsi="Arial"/>
          <w:sz w:val="17"/>
          <w:szCs w:val="17"/>
          <w:color w:val="auto"/>
        </w:rPr>
        <w:t>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We are currently evaluating the effects, if any, adoption of this guidance will have on our consolidated financial statements.</w:t>
      </w:r>
    </w:p>
    <w:p>
      <w:pPr>
        <w:spacing w:after="0" w:line="13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June 2014, the FASB issued an accounting standards update with respect to performance share awards. This accounting standards update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adoption is permitted. We do not believe that the adoption of this accounting standard will have a material impact on our consolidated financial statements.</w:t>
      </w:r>
    </w:p>
    <w:p>
      <w:pPr>
        <w:spacing w:after="0" w:line="154"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In May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9, “Revenue from Contracts with Customers”, which provides guidance for revenue recognition. The new standard outlines a single comprehensive model for entities to use in accounting for revenue arising from contracts with customers and supersedes most current revenue recognition guidance, including industry</w:t>
      </w:r>
      <w:r>
        <w:rPr>
          <w:rFonts w:ascii="MS PGothic" w:cs="MS PGothic" w:eastAsia="MS PGothic" w:hAnsi="MS PGothic"/>
          <w:sz w:val="16"/>
          <w:szCs w:val="16"/>
          <w:color w:val="auto"/>
        </w:rPr>
        <w:t>‑</w:t>
      </w:r>
      <w:r>
        <w:rPr>
          <w:rFonts w:ascii="Arial" w:cs="Arial" w:eastAsia="Arial" w:hAnsi="Arial"/>
          <w:sz w:val="16"/>
          <w:szCs w:val="16"/>
          <w:color w:val="auto"/>
        </w:rPr>
        <w:t>specific guidance. The core principle of the revenue model is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fiscal years, and interim periods within those years, beginning after December 15, 2017. Early adoption is not permitted. We are currently evaluating the impact of the adoption of ASU 2014</w:t>
      </w:r>
      <w:r>
        <w:rPr>
          <w:rFonts w:ascii="MS PGothic" w:cs="MS PGothic" w:eastAsia="MS PGothic" w:hAnsi="MS PGothic"/>
          <w:sz w:val="16"/>
          <w:szCs w:val="16"/>
          <w:color w:val="auto"/>
        </w:rPr>
        <w:t>‑</w:t>
      </w:r>
      <w:r>
        <w:rPr>
          <w:rFonts w:ascii="Arial" w:cs="Arial" w:eastAsia="Arial" w:hAnsi="Arial"/>
          <w:sz w:val="16"/>
          <w:szCs w:val="16"/>
          <w:color w:val="auto"/>
        </w:rPr>
        <w:t>09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reclassifications of prior year presentations have been made to conform to the current period presentation.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and Preliminary Purchase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Silver Legacy and Circus Reno</w:t>
      </w:r>
    </w:p>
    <w:p>
      <w:pPr>
        <w:spacing w:after="0" w:line="158"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On November 24, 2015, the Company acquired all of the assets and properties of Circus Reno and the 50% membership interest in the Silver Legacy Joint Venture owned by Galleon, Inc. The total estimated purchase consideration is $224.9 million. The purchase consideration and allocation are still considered preliminary pending receipt of a final valuation report from third-party valuation specialists, the final determination of the income tax</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implications of the acquisition and fair values, and the finalization and approval by all parties of the purchase price allocation and working capital adjustments required under the Purchase and Sale Agreement.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Purchase consideration calculation (dollars in thousands)</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Silver Legacy</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Circus Reno</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2"/>
        </w:trPr>
        <w:tc>
          <w:tcPr>
            <w:tcW w:w="532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Cash consideration paid by ERI for MGM’s 50% equity interest and</w:t>
            </w:r>
          </w:p>
        </w:tc>
        <w:tc>
          <w:tcPr>
            <w:tcW w:w="4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48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MGM’s member note</w:t>
            </w:r>
          </w:p>
        </w:tc>
        <w:tc>
          <w:tcPr>
            <w:tcW w:w="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Fair value of ERI’s preexisting 50% equity interest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Silver Legacy’s long term debt(1)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Closing Silver Legacy and Circus Reno net working capital(2)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consideration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224,894</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60" w:right="260" w:hanging="257"/>
        <w:spacing w:after="0" w:line="235" w:lineRule="auto"/>
        <w:tabs>
          <w:tab w:leader="none" w:pos="2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$5.0 million of short-term debt, $75.5 million of long-term debt, the remaining 50% of the $11.5 million of member notes (net of discount), and accrued interest.</w:t>
      </w:r>
    </w:p>
    <w:p>
      <w:pPr>
        <w:spacing w:after="0" w:line="161" w:lineRule="exact"/>
        <w:rPr>
          <w:rFonts w:ascii="Arial" w:cs="Arial" w:eastAsia="Arial" w:hAnsi="Arial"/>
          <w:sz w:val="18"/>
          <w:szCs w:val="18"/>
          <w:color w:val="auto"/>
        </w:rPr>
      </w:pPr>
    </w:p>
    <w:p>
      <w:pPr>
        <w:ind w:left="260" w:right="120" w:hanging="257"/>
        <w:spacing w:after="0" w:line="224" w:lineRule="auto"/>
        <w:tabs>
          <w:tab w:leader="none" w:pos="2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the Purchase and Sale Agreement, the purchase price was $72.5 million plus the Final Closing Circus Reno Net Working Capital (as defined in the Purchase and Sale Agreement). The preliminary working capital adjustment was $8.0 million and is subject to final approval and possible adjustment.</w:t>
      </w:r>
    </w:p>
    <w:p>
      <w:pPr>
        <w:spacing w:after="0" w:line="123"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transaction was accounted for using the acquisition method. Accordingly, goodwill if any, will be measured as the excess of the total consideration over the amounts assigned to the identifiable assets acquired and liabilities assumed.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 – Silver Legacy and Circus Reno</w:t>
      </w:r>
    </w:p>
    <w:p>
      <w:pPr>
        <w:spacing w:after="0" w:line="171" w:lineRule="exact"/>
        <w:rPr>
          <w:sz w:val="20"/>
          <w:szCs w:val="20"/>
          <w:color w:val="auto"/>
        </w:rPr>
      </w:pPr>
    </w:p>
    <w:p>
      <w:pPr>
        <w:ind w:right="40" w:firstLine="648"/>
        <w:spacing w:after="0" w:line="187" w:lineRule="exact"/>
        <w:rPr>
          <w:sz w:val="20"/>
          <w:szCs w:val="20"/>
          <w:color w:val="auto"/>
        </w:rPr>
      </w:pPr>
      <w:r>
        <w:rPr>
          <w:rFonts w:ascii="Arial" w:cs="Arial" w:eastAsia="Arial" w:hAnsi="Arial"/>
          <w:sz w:val="18"/>
          <w:szCs w:val="18"/>
          <w:color w:val="auto"/>
        </w:rPr>
        <w:t>The following table summarizes the preliminary allocation of the estimated purchase consideration to the identifiable assets acquired and liabilities assumed in the Circus Reno/Silver Legacy Purchase. The fair values were based on management’s analysis, including preliminary work performed by third</w:t>
      </w:r>
      <w:r>
        <w:rPr>
          <w:rFonts w:ascii="MS PGothic" w:cs="MS PGothic" w:eastAsia="MS PGothic" w:hAnsi="MS PGothic"/>
          <w:sz w:val="18"/>
          <w:szCs w:val="18"/>
          <w:color w:val="auto"/>
        </w:rPr>
        <w:t>‑</w:t>
      </w:r>
      <w:r>
        <w:rPr>
          <w:rFonts w:ascii="Arial" w:cs="Arial" w:eastAsia="Arial" w:hAnsi="Arial"/>
          <w:sz w:val="18"/>
          <w:szCs w:val="18"/>
          <w:color w:val="auto"/>
        </w:rPr>
        <w:t>party valuation specialists. The following table summarizes the preliminary purchase price allocation of the acquired assets and assumed liabilities as of December 31, 2015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Silver Legacy</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Circus Reno</w:t>
            </w:r>
          </w:p>
        </w:tc>
        <w:tc>
          <w:tcPr>
            <w:tcW w:w="22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and other assets, net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169,544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184,345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10,809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10,809</w:t>
            </w:r>
          </w:p>
        </w:tc>
      </w:tr>
      <w:tr>
        <w:trPr>
          <w:trHeight w:val="217"/>
        </w:trPr>
        <w:tc>
          <w:tcPr>
            <w:tcW w:w="5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224,894</w:t>
            </w:r>
          </w:p>
        </w:tc>
      </w:tr>
    </w:tbl>
    <w:p>
      <w:pPr>
        <w:spacing w:after="0" w:line="188" w:lineRule="exact"/>
        <w:rPr>
          <w:sz w:val="20"/>
          <w:szCs w:val="20"/>
          <w:color w:val="auto"/>
        </w:rPr>
      </w:pPr>
    </w:p>
    <w:p>
      <w:pPr>
        <w:ind w:left="260" w:right="300" w:hanging="257"/>
        <w:spacing w:after="0" w:line="235" w:lineRule="auto"/>
        <w:tabs>
          <w:tab w:leader="none" w:pos="2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Intangible assets consist of trademarks which are non amortizable and loyalty programs which are amortized over one year.</w:t>
      </w:r>
    </w:p>
    <w:p>
      <w:pPr>
        <w:spacing w:after="0" w:line="324"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Fair valuation methods used for the identifiable net assets acquired in that acquisition make use of quoted prices in active markets and discounted cash flows using current interest rates and are provisional pending development of a final valuation.</w:t>
      </w:r>
    </w:p>
    <w:p>
      <w:pPr>
        <w:spacing w:after="0" w:line="150"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Trade receivables and payables, inventory as well as other current and noncurrent assets and liabilities were valued at the existing carrying values as they represented the fair value of those items at December 31, 2015, based on management’s judgments and estimates.</w:t>
      </w:r>
    </w:p>
    <w:p>
      <w:pPr>
        <w:spacing w:after="0" w:line="150"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The fair value estimate of property and equipment utilized a combination of the cost and market approaches, depending on the characteristics of the asset classification. The fair value of land was determined using the market approach, which considers sales of comparable assets and applies compensating factors for any differences specific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 particular assets. With respect to personal property components of the assets (gaming equipment, furniture, fixtures and equipment, computers, and vehicles) the cost approach was used, which is based on replacement or reproduction costs of the asset. Building and site improvements were valued using the cost approach using a direct cost model built on estimates of replacement cost.</w:t>
      </w:r>
    </w:p>
    <w:p>
      <w:pPr>
        <w:spacing w:after="0" w:line="149"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Trademark were valued using the relief</w:t>
      </w:r>
      <w:r>
        <w:rPr>
          <w:rFonts w:ascii="MS PGothic" w:cs="MS PGothic" w:eastAsia="MS PGothic" w:hAnsi="MS PGothic"/>
          <w:sz w:val="17"/>
          <w:szCs w:val="17"/>
          <w:color w:val="auto"/>
        </w:rPr>
        <w:t>‑</w:t>
      </w:r>
      <w:r>
        <w:rPr>
          <w:rFonts w:ascii="Arial" w:cs="Arial" w:eastAsia="Arial" w:hAnsi="Arial"/>
          <w:sz w:val="17"/>
          <w:szCs w:val="17"/>
          <w:color w:val="auto"/>
        </w:rPr>
        <w:t>from</w:t>
      </w:r>
      <w:r>
        <w:rPr>
          <w:rFonts w:ascii="MS PGothic" w:cs="MS PGothic" w:eastAsia="MS PGothic" w:hAnsi="MS PGothic"/>
          <w:sz w:val="17"/>
          <w:szCs w:val="17"/>
          <w:color w:val="auto"/>
        </w:rPr>
        <w:t>‑</w:t>
      </w:r>
      <w:r>
        <w:rPr>
          <w:rFonts w:ascii="Arial" w:cs="Arial" w:eastAsia="Arial" w:hAnsi="Arial"/>
          <w:sz w:val="17"/>
          <w:szCs w:val="17"/>
          <w:color w:val="auto"/>
        </w:rPr>
        <w:t xml:space="preserve">royalty method. The loyalty program was valued using a comparative business valuation method. Management has assigned trademarks an indefinite useful life, in accordance with its review of applicable guidance of ASC Topic No.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standard required management to consider, among other things, the expected use of the asset, the expected useful life of other related asset or asset group,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management determined that no legal, regulatory, contractual, competitive, economic or other factors limit the useful lives of these intangible assets. The loyalty program is being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a one year useful life.</w:t>
      </w:r>
    </w:p>
    <w:p>
      <w:pPr>
        <w:spacing w:after="0" w:line="135"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For the period from the Acquisition Date through December 31, 2015, the Silver Legacy generated net revenue of $13.5 million and a net loss of $0.3 million. Circus Reno generated net revenues of $8.3 million and net income of $1.4 million during the same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years ended December 31, 2015 and 2014, as if the Merger and Acquisition had both occurred on January 1, 2014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For the years ended December 31,</w:t>
            </w:r>
          </w:p>
        </w:tc>
      </w:tr>
      <w:tr>
        <w:trPr>
          <w:trHeight w:val="129"/>
        </w:trPr>
        <w:tc>
          <w:tcPr>
            <w:tcW w:w="45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73"/>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1"/>
                <w:szCs w:val="1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908,415</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40,552</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Basic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0.87</w:t>
            </w: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4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shares outstanding: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46,550,042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46,426,714</w:t>
            </w:r>
          </w:p>
        </w:tc>
        <w:tc>
          <w:tcPr>
            <w:tcW w:w="40" w:type="dxa"/>
            <w:vAlign w:val="bottom"/>
            <w:shd w:val="clear" w:color="auto" w:fill="CCEEFF"/>
          </w:tcPr>
          <w:p>
            <w:pPr>
              <w:spacing w:after="0"/>
              <w:rPr>
                <w:sz w:val="18"/>
                <w:szCs w:val="18"/>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47,008,980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46,509,008</w:t>
            </w:r>
          </w:p>
        </w:tc>
        <w:tc>
          <w:tcPr>
            <w:tcW w:w="40" w:type="dxa"/>
            <w:vAlign w:val="bottom"/>
          </w:tcPr>
          <w:p>
            <w:pPr>
              <w:spacing w:after="0"/>
              <w:rPr>
                <w:sz w:val="21"/>
                <w:szCs w:val="21"/>
                <w:color w:val="auto"/>
              </w:rPr>
            </w:pPr>
          </w:p>
        </w:tc>
      </w:tr>
    </w:tbl>
    <w:p>
      <w:pPr>
        <w:spacing w:after="0" w:line="121"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These pro forma results do not necessarily represent the results of operations that would have been achieved if the acquisition had taken place on January 1, 2014, nor are they indicative of the results of operations for future periods. The pro forma amounts include the historical operating results of the Company, MTR Gaming, the Silver Legacy and Circus Reno prior to the Merger and Acquisition, with adjustments directly attributable to the Merger and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MTR Gaming Merger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Transferred</w:t>
      </w:r>
    </w:p>
    <w:p>
      <w:pPr>
        <w:spacing w:after="0" w:line="18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The total consideration paid was $103.0 million. The purchase consideration in a reverse acquisition is determined with reference to the value of equity that the accounting acquirer, HoldCo, would have had to issue to the owners of the accounting acquiree, MTR Gaming, to give them the same percentage interest in the combined entity. However, in a reverse acquisition between a public company as the legal acquirer and a private company as the accounting acquirer, the fair value of the legal acquirer’s publicly traded stock generally is a more reliable determination of the fair value of the purchase consideration than the fair value of the accounting acquirer’s untraded equity security, and, as such, is generally used in calculating the purchase consideration. Accordingly, the following table provides the calculation of the purchase price using the fair value of the outstanding common stock of MTR Gaming based on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closing stock price of $4.43 on the Merger Date, as well as a reconciliation of the total shares outstanding on the Merger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Allocation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Merger</w:t>
      </w:r>
    </w:p>
    <w:p>
      <w:pPr>
        <w:spacing w:after="0" w:line="229" w:lineRule="auto"/>
        <w:rPr>
          <w:sz w:val="20"/>
          <w:szCs w:val="20"/>
          <w:color w:val="auto"/>
        </w:rPr>
      </w:pPr>
      <w:r>
        <w:rPr>
          <w:rFonts w:ascii="Arial" w:cs="Arial" w:eastAsia="Arial" w:hAnsi="Arial"/>
          <w:sz w:val="16"/>
          <w:szCs w:val="16"/>
          <w:color w:val="auto"/>
        </w:rPr>
        <w:t>Date. The fair values were based on management’s analysis, including work performed by third-party valuation specialists.</w:t>
      </w:r>
    </w:p>
    <w:p>
      <w:pPr>
        <w:spacing w:after="0" w:line="229" w:lineRule="auto"/>
        <w:rPr>
          <w:sz w:val="20"/>
          <w:szCs w:val="20"/>
          <w:color w:val="auto"/>
        </w:rPr>
      </w:pPr>
      <w:r>
        <w:rPr>
          <w:rFonts w:ascii="Arial" w:cs="Arial" w:eastAsia="Arial" w:hAnsi="Arial"/>
          <w:sz w:val="16"/>
          <w:szCs w:val="16"/>
          <w:color w:val="auto"/>
        </w:rPr>
        <w:t>The following table summarizes the final purchase price allocation of the acquired assets and assumed liabilities as recorded</w:t>
      </w:r>
    </w:p>
    <w:p>
      <w:pPr>
        <w:spacing w:after="0"/>
        <w:rPr>
          <w:sz w:val="20"/>
          <w:szCs w:val="20"/>
          <w:color w:val="auto"/>
        </w:rPr>
      </w:pPr>
      <w:r>
        <w:rPr>
          <w:rFonts w:ascii="Arial" w:cs="Arial" w:eastAsia="Arial" w:hAnsi="Arial"/>
          <w:sz w:val="18"/>
          <w:szCs w:val="18"/>
          <w:color w:val="auto"/>
        </w:rPr>
        <w:t>at fair value on the Merger Date (in thousands):</w:t>
      </w:r>
    </w:p>
    <w:p>
      <w:pPr>
        <w:sectPr>
          <w:pgSz w:w="11900" w:h="16838" w:orient="portrait"/>
          <w:cols w:equalWidth="0" w:num="1">
            <w:col w:w="9060"/>
          </w:cols>
          <w:pgMar w:left="1420" w:top="111" w:right="141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Current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575437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noncurrent assets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Deferred income taxes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Total liabilities assumed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4408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2" w:lineRule="exact"/>
        <w:rPr>
          <w:sz w:val="20"/>
          <w:szCs w:val="20"/>
          <w:color w:val="auto"/>
        </w:rPr>
      </w:pPr>
    </w:p>
    <w:p>
      <w:pPr>
        <w:ind w:left="320" w:hanging="317"/>
        <w:spacing w:after="0"/>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Intangible assets consist of gaming licenses, trade names and loyalty programs.</w:t>
      </w:r>
    </w:p>
    <w:p>
      <w:pPr>
        <w:spacing w:after="0" w:line="88" w:lineRule="exact"/>
        <w:rPr>
          <w:rFonts w:ascii="Arial" w:cs="Arial" w:eastAsia="Arial" w:hAnsi="Arial"/>
          <w:sz w:val="17"/>
          <w:szCs w:val="17"/>
          <w:color w:val="auto"/>
        </w:rPr>
      </w:pPr>
    </w:p>
    <w:p>
      <w:pPr>
        <w:ind w:left="320" w:hanging="317"/>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debt was comprised of MTR Second Lien Notes totaling $570.7 million.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51" w:hanging="551"/>
        <w:spacing w:after="0"/>
        <w:tabs>
          <w:tab w:leader="none" w:pos="551" w:val="left"/>
        </w:tabs>
        <w:numPr>
          <w:ilvl w:val="0"/>
          <w:numId w:val="39"/>
        </w:numPr>
        <w:rPr>
          <w:rFonts w:ascii="Arial" w:cs="Arial" w:eastAsia="Arial" w:hAnsi="Arial"/>
          <w:sz w:val="15"/>
          <w:szCs w:val="15"/>
          <w:color w:val="auto"/>
        </w:rPr>
      </w:pPr>
      <w:r>
        <w:rPr>
          <w:rFonts w:ascii="Arial" w:cs="Arial" w:eastAsia="Arial" w:hAnsi="Arial"/>
          <w:sz w:val="15"/>
          <w:szCs w:val="15"/>
          <w:color w:val="auto"/>
        </w:rPr>
        <w:t>75,031</w:t>
      </w:r>
    </w:p>
    <w:p>
      <w:pPr>
        <w:spacing w:after="0" w:line="59" w:lineRule="exact"/>
        <w:rPr>
          <w:rFonts w:ascii="Arial" w:cs="Arial" w:eastAsia="Arial" w:hAnsi="Arial"/>
          <w:sz w:val="15"/>
          <w:szCs w:val="15"/>
          <w:color w:val="auto"/>
        </w:rPr>
      </w:pPr>
    </w:p>
    <w:p>
      <w:pPr>
        <w:ind w:left="471"/>
        <w:spacing w:after="0"/>
        <w:rPr>
          <w:rFonts w:ascii="Arial" w:cs="Arial" w:eastAsia="Arial" w:hAnsi="Arial"/>
          <w:sz w:val="15"/>
          <w:szCs w:val="15"/>
          <w:color w:val="auto"/>
        </w:rPr>
      </w:pPr>
      <w:r>
        <w:rPr>
          <w:rFonts w:ascii="Arial" w:cs="Arial" w:eastAsia="Arial" w:hAnsi="Arial"/>
          <w:sz w:val="15"/>
          <w:szCs w:val="15"/>
          <w:color w:val="auto"/>
        </w:rPr>
        <w:t>289,211</w:t>
      </w:r>
    </w:p>
    <w:p>
      <w:pPr>
        <w:spacing w:after="0" w:line="41" w:lineRule="exact"/>
        <w:rPr>
          <w:rFonts w:ascii="Arial" w:cs="Arial" w:eastAsia="Arial" w:hAnsi="Arial"/>
          <w:sz w:val="15"/>
          <w:szCs w:val="15"/>
          <w:color w:val="auto"/>
        </w:rPr>
      </w:pPr>
    </w:p>
    <w:p>
      <w:pPr>
        <w:ind w:left="551"/>
        <w:spacing w:after="0"/>
        <w:rPr>
          <w:rFonts w:ascii="Arial" w:cs="Arial" w:eastAsia="Arial" w:hAnsi="Arial"/>
          <w:sz w:val="15"/>
          <w:szCs w:val="15"/>
          <w:color w:val="auto"/>
        </w:rPr>
      </w:pPr>
      <w:r>
        <w:rPr>
          <w:rFonts w:ascii="Arial" w:cs="Arial" w:eastAsia="Arial" w:hAnsi="Arial"/>
          <w:sz w:val="15"/>
          <w:szCs w:val="15"/>
          <w:color w:val="auto"/>
        </w:rPr>
        <w:t>66,826</w:t>
      </w:r>
    </w:p>
    <w:p>
      <w:pPr>
        <w:spacing w:after="0" w:line="43" w:lineRule="exact"/>
        <w:rPr>
          <w:rFonts w:ascii="Arial" w:cs="Arial" w:eastAsia="Arial" w:hAnsi="Arial"/>
          <w:sz w:val="15"/>
          <w:szCs w:val="15"/>
          <w:color w:val="auto"/>
        </w:rPr>
      </w:pPr>
    </w:p>
    <w:p>
      <w:pPr>
        <w:ind w:left="451"/>
        <w:spacing w:after="0"/>
        <w:rPr>
          <w:rFonts w:ascii="Arial" w:cs="Arial" w:eastAsia="Arial" w:hAnsi="Arial"/>
          <w:sz w:val="15"/>
          <w:szCs w:val="15"/>
          <w:color w:val="auto"/>
        </w:rPr>
      </w:pPr>
      <w:r>
        <w:rPr>
          <w:rFonts w:ascii="Arial" w:cs="Arial" w:eastAsia="Arial" w:hAnsi="Arial"/>
          <w:sz w:val="16"/>
          <w:szCs w:val="16"/>
          <w:color w:val="auto"/>
        </w:rPr>
        <w:t>473,000</w:t>
      </w:r>
    </w:p>
    <w:p>
      <w:pPr>
        <w:spacing w:after="0" w:line="32" w:lineRule="exact"/>
        <w:rPr>
          <w:rFonts w:ascii="Arial" w:cs="Arial" w:eastAsia="Arial" w:hAnsi="Arial"/>
          <w:sz w:val="15"/>
          <w:szCs w:val="15"/>
          <w:color w:val="auto"/>
        </w:rPr>
      </w:pPr>
    </w:p>
    <w:p>
      <w:pPr>
        <w:ind w:left="551"/>
        <w:spacing w:after="0"/>
        <w:rPr>
          <w:rFonts w:ascii="Arial" w:cs="Arial" w:eastAsia="Arial" w:hAnsi="Arial"/>
          <w:sz w:val="15"/>
          <w:szCs w:val="15"/>
          <w:color w:val="auto"/>
        </w:rPr>
      </w:pPr>
      <w:r>
        <w:rPr>
          <w:rFonts w:ascii="Arial" w:cs="Arial" w:eastAsia="Arial" w:hAnsi="Arial"/>
          <w:sz w:val="15"/>
          <w:szCs w:val="15"/>
          <w:color w:val="auto"/>
        </w:rPr>
        <w:t>20,381</w:t>
      </w:r>
    </w:p>
    <w:p>
      <w:pPr>
        <w:spacing w:after="0" w:line="43" w:lineRule="exact"/>
        <w:rPr>
          <w:rFonts w:ascii="Arial" w:cs="Arial" w:eastAsia="Arial" w:hAnsi="Arial"/>
          <w:sz w:val="15"/>
          <w:szCs w:val="15"/>
          <w:color w:val="auto"/>
        </w:rPr>
      </w:pPr>
    </w:p>
    <w:p>
      <w:pPr>
        <w:ind w:left="451"/>
        <w:spacing w:after="0"/>
        <w:rPr>
          <w:rFonts w:ascii="Arial" w:cs="Arial" w:eastAsia="Arial" w:hAnsi="Arial"/>
          <w:sz w:val="15"/>
          <w:szCs w:val="15"/>
          <w:color w:val="auto"/>
        </w:rPr>
      </w:pPr>
      <w:r>
        <w:rPr>
          <w:rFonts w:ascii="Arial" w:cs="Arial" w:eastAsia="Arial" w:hAnsi="Arial"/>
          <w:sz w:val="16"/>
          <w:szCs w:val="16"/>
          <w:color w:val="auto"/>
        </w:rPr>
        <w:t>924,449</w:t>
      </w:r>
    </w:p>
    <w:p>
      <w:pPr>
        <w:spacing w:after="0" w:line="45" w:lineRule="exact"/>
        <w:rPr>
          <w:rFonts w:ascii="Arial" w:cs="Arial" w:eastAsia="Arial" w:hAnsi="Arial"/>
          <w:sz w:val="15"/>
          <w:szCs w:val="15"/>
          <w:color w:val="auto"/>
        </w:rPr>
      </w:pPr>
    </w:p>
    <w:p>
      <w:pPr>
        <w:ind w:left="551"/>
        <w:spacing w:after="0"/>
        <w:rPr>
          <w:rFonts w:ascii="Arial" w:cs="Arial" w:eastAsia="Arial" w:hAnsi="Arial"/>
          <w:sz w:val="15"/>
          <w:szCs w:val="15"/>
          <w:color w:val="auto"/>
        </w:rPr>
      </w:pPr>
      <w:r>
        <w:rPr>
          <w:rFonts w:ascii="Arial" w:cs="Arial" w:eastAsia="Arial" w:hAnsi="Arial"/>
          <w:sz w:val="15"/>
          <w:szCs w:val="15"/>
          <w:color w:val="auto"/>
        </w:rPr>
        <w:t>46,446</w:t>
      </w:r>
    </w:p>
    <w:p>
      <w:pPr>
        <w:spacing w:after="0" w:line="43" w:lineRule="exact"/>
        <w:rPr>
          <w:rFonts w:ascii="Arial" w:cs="Arial" w:eastAsia="Arial" w:hAnsi="Arial"/>
          <w:sz w:val="15"/>
          <w:szCs w:val="15"/>
          <w:color w:val="auto"/>
        </w:rPr>
      </w:pPr>
    </w:p>
    <w:p>
      <w:pPr>
        <w:ind w:left="451"/>
        <w:spacing w:after="0"/>
        <w:rPr>
          <w:rFonts w:ascii="Arial" w:cs="Arial" w:eastAsia="Arial" w:hAnsi="Arial"/>
          <w:sz w:val="15"/>
          <w:szCs w:val="15"/>
          <w:color w:val="auto"/>
        </w:rPr>
      </w:pPr>
      <w:r>
        <w:rPr>
          <w:rFonts w:ascii="Arial" w:cs="Arial" w:eastAsia="Arial" w:hAnsi="Arial"/>
          <w:sz w:val="16"/>
          <w:szCs w:val="16"/>
          <w:color w:val="auto"/>
        </w:rPr>
        <w:t>624,877</w:t>
      </w:r>
    </w:p>
    <w:p>
      <w:pPr>
        <w:spacing w:after="0" w:line="32" w:lineRule="exact"/>
        <w:rPr>
          <w:rFonts w:ascii="Arial" w:cs="Arial" w:eastAsia="Arial" w:hAnsi="Arial"/>
          <w:sz w:val="15"/>
          <w:szCs w:val="15"/>
          <w:color w:val="auto"/>
        </w:rPr>
      </w:pPr>
    </w:p>
    <w:p>
      <w:pPr>
        <w:ind w:left="451"/>
        <w:spacing w:after="0"/>
        <w:rPr>
          <w:rFonts w:ascii="Arial" w:cs="Arial" w:eastAsia="Arial" w:hAnsi="Arial"/>
          <w:sz w:val="15"/>
          <w:szCs w:val="15"/>
          <w:color w:val="auto"/>
        </w:rPr>
      </w:pPr>
      <w:r>
        <w:rPr>
          <w:rFonts w:ascii="Arial" w:cs="Arial" w:eastAsia="Arial" w:hAnsi="Arial"/>
          <w:sz w:val="16"/>
          <w:szCs w:val="16"/>
          <w:color w:val="auto"/>
        </w:rPr>
        <w:t>143,104</w:t>
      </w:r>
    </w:p>
    <w:p>
      <w:pPr>
        <w:spacing w:after="0" w:line="32" w:lineRule="exact"/>
        <w:rPr>
          <w:rFonts w:ascii="Arial" w:cs="Arial" w:eastAsia="Arial" w:hAnsi="Arial"/>
          <w:sz w:val="15"/>
          <w:szCs w:val="15"/>
          <w:color w:val="auto"/>
        </w:rPr>
      </w:pPr>
    </w:p>
    <w:p>
      <w:pPr>
        <w:ind w:left="651"/>
        <w:spacing w:after="0"/>
        <w:rPr>
          <w:rFonts w:ascii="Arial" w:cs="Arial" w:eastAsia="Arial" w:hAnsi="Arial"/>
          <w:sz w:val="15"/>
          <w:szCs w:val="15"/>
          <w:color w:val="auto"/>
        </w:rPr>
      </w:pPr>
      <w:r>
        <w:rPr>
          <w:rFonts w:ascii="Arial" w:cs="Arial" w:eastAsia="Arial" w:hAnsi="Arial"/>
          <w:sz w:val="15"/>
          <w:szCs w:val="15"/>
          <w:color w:val="auto"/>
        </w:rPr>
        <w:t>7,011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-666115</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 w:lineRule="exact"/>
        <w:rPr>
          <w:sz w:val="20"/>
          <w:szCs w:val="20"/>
          <w:color w:val="auto"/>
        </w:rPr>
      </w:pPr>
    </w:p>
    <w:p>
      <w:pPr>
        <w:ind w:left="451"/>
        <w:spacing w:after="0"/>
        <w:rPr>
          <w:sz w:val="20"/>
          <w:szCs w:val="20"/>
          <w:color w:val="auto"/>
        </w:rPr>
      </w:pPr>
      <w:r>
        <w:rPr>
          <w:rFonts w:ascii="Arial" w:cs="Arial" w:eastAsia="Arial" w:hAnsi="Arial"/>
          <w:sz w:val="16"/>
          <w:szCs w:val="16"/>
          <w:color w:val="auto"/>
        </w:rPr>
        <w:t>821,438</w:t>
      </w:r>
    </w:p>
    <w:p>
      <w:pPr>
        <w:spacing w:after="0" w:line="46" w:lineRule="exact"/>
        <w:rPr>
          <w:sz w:val="20"/>
          <w:szCs w:val="20"/>
          <w:color w:val="auto"/>
        </w:rPr>
      </w:pPr>
    </w:p>
    <w:p>
      <w:pPr>
        <w:ind w:left="471" w:hanging="471"/>
        <w:spacing w:after="0"/>
        <w:tabs>
          <w:tab w:leader="none" w:pos="471" w:val="left"/>
        </w:tabs>
        <w:numPr>
          <w:ilvl w:val="0"/>
          <w:numId w:val="40"/>
        </w:numPr>
        <w:rPr>
          <w:rFonts w:ascii="Arial" w:cs="Arial" w:eastAsia="Arial" w:hAnsi="Arial"/>
          <w:sz w:val="15"/>
          <w:szCs w:val="15"/>
          <w:color w:val="auto"/>
        </w:rPr>
      </w:pPr>
      <w:r>
        <w:rPr>
          <w:rFonts w:ascii="Arial" w:cs="Arial" w:eastAsia="Arial" w:hAnsi="Arial"/>
          <w:sz w:val="15"/>
          <w:szCs w:val="15"/>
          <w:color w:val="auto"/>
        </w:rPr>
        <w:t>103,011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6946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6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4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853" w:lineRule="exact"/>
        <w:rPr>
          <w:sz w:val="20"/>
          <w:szCs w:val="20"/>
          <w:color w:val="auto"/>
        </w:rPr>
      </w:pPr>
    </w:p>
    <w:p>
      <w:pPr>
        <w:sectPr>
          <w:pgSz w:w="11900" w:h="16838" w:orient="portrait"/>
          <w:cols w:equalWidth="0" w:num="2">
            <w:col w:w="7129" w:space="720"/>
            <w:col w:w="1211"/>
          </w:cols>
          <w:pgMar w:left="1420" w:top="111" w:right="1419" w:bottom="1440" w:gutter="0" w:footer="0" w:header="0"/>
          <w:type w:val="continuous"/>
        </w:sectPr>
      </w:pPr>
    </w:p>
    <w:p>
      <w:pPr>
        <w:ind w:left="220" w:right="240" w:hanging="215"/>
        <w:spacing w:after="0" w:line="235" w:lineRule="auto"/>
        <w:rPr>
          <w:sz w:val="20"/>
          <w:szCs w:val="20"/>
          <w:color w:val="auto"/>
        </w:rPr>
      </w:pPr>
      <w:r>
        <w:rPr>
          <w:rFonts w:ascii="Arial" w:cs="Arial" w:eastAsia="Arial" w:hAnsi="Arial"/>
          <w:sz w:val="18"/>
          <w:szCs w:val="18"/>
          <w:color w:val="auto"/>
        </w:rPr>
        <w:t>(3)Deferred tax liabilities were derived based on fair value adjustments for property and equipment, identified intangibles, deferred financing costs, certain long term liabilities and long-term debt.</w:t>
      </w:r>
    </w:p>
    <w:p>
      <w:pPr>
        <w:spacing w:after="0" w:line="54"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Goodwill, the excess of the purchase price of acquiring MTR Gaming over the fair market value of the net assets acquired, in the amount of $66.8 million was recorded as of the Merger Date. The Company considers the goodwill to represent benefits expected to be realized as a result of the Merger.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accounts receivable, net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60" w:type="dxa"/>
            <w:vAlign w:val="bottom"/>
            <w:tcBorders>
              <w:bottom w:val="single" w:sz="8" w:color="CCEEFF"/>
            </w:tcBorders>
          </w:tcPr>
          <w:p>
            <w:pPr>
              <w:spacing w:after="0"/>
              <w:rPr>
                <w:sz w:val="11"/>
                <w:szCs w:val="11"/>
                <w:color w:val="auto"/>
              </w:rPr>
            </w:pPr>
          </w:p>
        </w:tc>
        <w:tc>
          <w:tcPr>
            <w:tcW w:w="2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1"/>
                <w:szCs w:val="11"/>
                <w:color w:val="auto"/>
              </w:rPr>
            </w:pPr>
          </w:p>
        </w:tc>
      </w:tr>
      <w:tr>
        <w:trPr>
          <w:trHeight w:val="21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2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Allowance for doubtful accounts</w:t>
            </w:r>
          </w:p>
        </w:tc>
        <w:tc>
          <w:tcPr>
            <w:tcW w:w="2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tcPr>
          <w:p>
            <w:pPr>
              <w:spacing w:after="0"/>
              <w:rPr>
                <w:sz w:val="18"/>
                <w:szCs w:val="18"/>
                <w:color w:val="auto"/>
              </w:rPr>
            </w:pPr>
          </w:p>
        </w:tc>
      </w:tr>
      <w:tr>
        <w:trPr>
          <w:trHeight w:val="210"/>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shd w:val="clear" w:color="auto" w:fill="CCEEFF"/>
          </w:tcPr>
          <w:p>
            <w:pPr>
              <w:spacing w:after="0"/>
              <w:rPr>
                <w:sz w:val="18"/>
                <w:szCs w:val="18"/>
                <w:color w:val="auto"/>
              </w:rPr>
            </w:pPr>
          </w:p>
        </w:tc>
      </w:tr>
      <w:tr>
        <w:trPr>
          <w:trHeight w:val="27"/>
        </w:trPr>
        <w:tc>
          <w:tcPr>
            <w:tcW w:w="46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The provision for bad debt expense was $1.1 million and $0.8 million for the years ended December 31, 2014 and 2013, respectively. There was a benefit for bad debt expense of less than $0.1 million in 2015. Write</w:t>
      </w:r>
      <w:r>
        <w:rPr>
          <w:rFonts w:ascii="MS PGothic" w:cs="MS PGothic" w:eastAsia="MS PGothic" w:hAnsi="MS PGothic"/>
          <w:sz w:val="18"/>
          <w:szCs w:val="18"/>
          <w:color w:val="auto"/>
        </w:rPr>
        <w:t>‑</w:t>
      </w:r>
      <w:r>
        <w:rPr>
          <w:rFonts w:ascii="Arial" w:cs="Arial" w:eastAsia="Arial" w:hAnsi="Arial"/>
          <w:sz w:val="18"/>
          <w:szCs w:val="18"/>
          <w:color w:val="auto"/>
        </w:rPr>
        <w:t>offs of accounts receivable were $1.1 million, $0.2 million and $1.1 million for the years ended December 31, 2015, 2014 and 2013, respectively. Recoveries of accounts receivable previously written off during the years ended December 31, 2015 and 2014 amounted to $0.2 million and $0.2 million, respectively and were less than $0.1 million during the year ended December 31,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Unconsolidated Affiliates</w:t>
      </w:r>
    </w:p>
    <w:p>
      <w:pPr>
        <w:spacing w:after="0" w:line="189" w:lineRule="exact"/>
        <w:rPr>
          <w:sz w:val="20"/>
          <w:szCs w:val="20"/>
          <w:color w:val="auto"/>
        </w:rPr>
      </w:pPr>
    </w:p>
    <w:p>
      <w:pPr>
        <w:ind w:right="80" w:firstLine="648"/>
        <w:spacing w:after="0" w:line="258" w:lineRule="auto"/>
        <w:rPr>
          <w:sz w:val="20"/>
          <w:szCs w:val="20"/>
          <w:color w:val="auto"/>
        </w:rPr>
      </w:pPr>
      <w:r>
        <w:rPr>
          <w:rFonts w:ascii="Arial" w:cs="Arial" w:eastAsia="Arial" w:hAnsi="Arial"/>
          <w:sz w:val="17"/>
          <w:szCs w:val="17"/>
          <w:b w:val="1"/>
          <w:bCs w:val="1"/>
          <w:i w:val="1"/>
          <w:iCs w:val="1"/>
          <w:color w:val="auto"/>
        </w:rPr>
        <w:t xml:space="preserve">Hotel Partnership. </w:t>
      </w:r>
      <w:r>
        <w:rPr>
          <w:rFonts w:ascii="Arial" w:cs="Arial" w:eastAsia="Arial" w:hAnsi="Arial"/>
          <w:sz w:val="17"/>
          <w:szCs w:val="17"/>
          <w:color w:val="auto"/>
        </w:rPr>
        <w:t>The Company holds a 42.1% variable interest in a partnership with other investors to develop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118-room Hampton Inn &amp; Suites hotel to be developed at Scioto Downs. Pursuant to the terms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212" w:lineRule="auto"/>
        <w:rPr>
          <w:sz w:val="20"/>
          <w:szCs w:val="20"/>
          <w:color w:val="auto"/>
        </w:rPr>
      </w:pPr>
      <w:r>
        <w:rPr>
          <w:rFonts w:ascii="Arial" w:cs="Arial" w:eastAsia="Arial" w:hAnsi="Arial"/>
          <w:sz w:val="18"/>
          <w:szCs w:val="18"/>
          <w:color w:val="auto"/>
        </w:rPr>
        <w:t>partnership agreement, the Company contributed $1 million of cash and 2.4 acres of a leasehold immediately adjacent to the Brew Brothers microbrewery and restaurant at Scioto Downs. The partnership will be responsible for the construction of the hotel at an estimated cost of $15.0 million and other investor members have been identified to operate the hotel upon completion. The Company is not the primary beneficiary, and therefore, the entity is accounted for under the equity method of accounting. At December 31, 2015, the Company’s investment in the partnership was $1.3 million, classified as “Investment in and advances to unconsolidated affiliates” in the consolidated balance sheets, representing the Company’s maximum exposure to loss.</w:t>
      </w:r>
    </w:p>
    <w:p>
      <w:pPr>
        <w:spacing w:after="0" w:line="165" w:lineRule="exact"/>
        <w:rPr>
          <w:sz w:val="20"/>
          <w:szCs w:val="20"/>
          <w:color w:val="auto"/>
        </w:rPr>
      </w:pPr>
    </w:p>
    <w:p>
      <w:pPr>
        <w:ind w:right="19" w:firstLine="648"/>
        <w:spacing w:after="0" w:line="211" w:lineRule="auto"/>
        <w:rPr>
          <w:sz w:val="20"/>
          <w:szCs w:val="20"/>
          <w:color w:val="auto"/>
        </w:rPr>
      </w:pPr>
      <w:r>
        <w:rPr>
          <w:rFonts w:ascii="Arial" w:cs="Arial" w:eastAsia="Arial" w:hAnsi="Arial"/>
          <w:sz w:val="18"/>
          <w:szCs w:val="18"/>
          <w:b w:val="1"/>
          <w:bCs w:val="1"/>
          <w:i w:val="1"/>
          <w:iCs w:val="1"/>
          <w:color w:val="auto"/>
        </w:rPr>
        <w:t xml:space="preserve">Silver Legacy Joint Venture. </w:t>
      </w:r>
      <w:r>
        <w:rPr>
          <w:rFonts w:ascii="Arial" w:cs="Arial" w:eastAsia="Arial" w:hAnsi="Arial"/>
          <w:sz w:val="18"/>
          <w:szCs w:val="18"/>
          <w:color w:val="auto"/>
        </w:rPr>
        <w:t>Effective March 1, 1994, ELLC and Galleon, (each a “Partner” and, together,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entered into the Silver Legacy Joint Venture pursuant to a joint venture agreement (the “Joint Venture Agreement”) to develop the Silver Legacy. The Silver Legacy consists of a casino and hotel located in Reno, Nevada, which began operations on July 28, 1995. Prior to the Acquisition Date, each partner owned a 50% interest in the Silver Legacy Joint Venture. Prior to the Merger Date, the Company owned a 48.1% interest in the Silver Legacy Joint Venture by means of its 96.2% ownership of ELLC, which owned a 50% interest in the Silver Legacy Joint Venture. The noncontrolling interest’s share of $103,000 in income was reflected in the accompanying consolidated statements of operations for the year ended December 31, 2014.</w:t>
      </w:r>
    </w:p>
    <w:p>
      <w:pPr>
        <w:spacing w:after="0" w:line="178" w:lineRule="exact"/>
        <w:rPr>
          <w:sz w:val="20"/>
          <w:szCs w:val="20"/>
          <w:color w:val="auto"/>
        </w:rPr>
      </w:pPr>
    </w:p>
    <w:p>
      <w:pPr>
        <w:ind w:right="79" w:firstLine="648"/>
        <w:spacing w:after="0" w:line="220" w:lineRule="exact"/>
        <w:rPr>
          <w:sz w:val="20"/>
          <w:szCs w:val="20"/>
          <w:color w:val="auto"/>
        </w:rPr>
      </w:pPr>
      <w:r>
        <w:rPr>
          <w:rFonts w:ascii="Arial" w:cs="Arial" w:eastAsia="Arial" w:hAnsi="Arial"/>
          <w:sz w:val="18"/>
          <w:szCs w:val="18"/>
          <w:color w:val="auto"/>
        </w:rPr>
        <w:t>On the Acquisition Date, Resorts consummated the acquisition of the other 50% membership interest in the Silver Legacy Joint Venture owned by Galleon, Inc. pursuant to the Purchase Agreement and also exercised its right to acquire the 3.8% interest in ELLC held by certain affiliates of the Company. As a result of these transactions, ELLC became a wholly-owned subsidiary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ERI. In conjunction with the Acquisition, we recorded a $35.6 million gain related to the valuation of our pre-acquisition investment in the Silver Legacy Joint Venture.</w:t>
      </w:r>
    </w:p>
    <w:p>
      <w:pPr>
        <w:spacing w:after="0" w:line="193" w:lineRule="exact"/>
        <w:rPr>
          <w:sz w:val="20"/>
          <w:szCs w:val="20"/>
          <w:color w:val="auto"/>
        </w:rPr>
      </w:pPr>
    </w:p>
    <w:p>
      <w:pPr>
        <w:jc w:val="both"/>
        <w:ind w:right="79" w:firstLine="648"/>
        <w:spacing w:after="0" w:line="259" w:lineRule="auto"/>
        <w:rPr>
          <w:sz w:val="20"/>
          <w:szCs w:val="20"/>
          <w:color w:val="auto"/>
        </w:rPr>
      </w:pPr>
      <w:r>
        <w:rPr>
          <w:rFonts w:ascii="Arial" w:cs="Arial" w:eastAsia="Arial" w:hAnsi="Arial"/>
          <w:sz w:val="16"/>
          <w:szCs w:val="16"/>
          <w:color w:val="auto"/>
        </w:rPr>
        <w:t>As consideration for the noncontrolling interest, the Company issued 373,135 shares of common stock. Subsequent to this action the Company owned 100% of ELLC. The Company valued the shares at the market price on the day the shares were issued to the noncontrolling interest holders. The value of the total consideration paid was $3.6 million.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2014, Silver Legacy deposited $5.0 million of cash into a cash collateral account securing its</w:t>
      </w:r>
    </w:p>
    <w:p>
      <w:pPr>
        <w:spacing w:after="0" w:line="215" w:lineRule="auto"/>
        <w:rPr>
          <w:sz w:val="20"/>
          <w:szCs w:val="20"/>
          <w:color w:val="auto"/>
        </w:rPr>
      </w:pPr>
      <w:r>
        <w:rPr>
          <w:rFonts w:ascii="Arial" w:cs="Arial" w:eastAsia="Arial" w:hAnsi="Arial"/>
          <w:sz w:val="17"/>
          <w:szCs w:val="17"/>
          <w:color w:val="auto"/>
        </w:rPr>
        <w:t>obligations under its credit agreement, which reduced the credit support obligation of each of ELLC and Galleon to</w:t>
      </w:r>
    </w:p>
    <w:p>
      <w:pPr>
        <w:spacing w:after="0" w:line="216" w:lineRule="auto"/>
        <w:rPr>
          <w:sz w:val="20"/>
          <w:szCs w:val="20"/>
          <w:color w:val="auto"/>
        </w:rPr>
      </w:pPr>
      <w:r>
        <w:rPr>
          <w:rFonts w:ascii="Arial" w:cs="Arial" w:eastAsia="Arial" w:hAnsi="Arial"/>
          <w:sz w:val="17"/>
          <w:szCs w:val="17"/>
          <w:color w:val="auto"/>
        </w:rPr>
        <w:t>$2.5 million each and resulted in the return of $2.5 million of the $5.0 million of cash collateral that Resorts previously</w:t>
      </w:r>
    </w:p>
    <w:p>
      <w:pPr>
        <w:spacing w:after="0" w:line="229" w:lineRule="auto"/>
        <w:rPr>
          <w:sz w:val="20"/>
          <w:szCs w:val="20"/>
          <w:color w:val="auto"/>
        </w:rPr>
      </w:pPr>
      <w:r>
        <w:rPr>
          <w:rFonts w:ascii="Arial" w:cs="Arial" w:eastAsia="Arial" w:hAnsi="Arial"/>
          <w:sz w:val="16"/>
          <w:szCs w:val="16"/>
          <w:color w:val="auto"/>
        </w:rPr>
        <w:t>provided as credit support for Silver Legacy’s obligations under its credit agreement. In August 2015, the remaining credit</w:t>
      </w:r>
    </w:p>
    <w:p>
      <w:pPr>
        <w:spacing w:after="0" w:line="215" w:lineRule="auto"/>
        <w:rPr>
          <w:sz w:val="20"/>
          <w:szCs w:val="20"/>
          <w:color w:val="auto"/>
        </w:rPr>
      </w:pPr>
      <w:r>
        <w:rPr>
          <w:rFonts w:ascii="Arial" w:cs="Arial" w:eastAsia="Arial" w:hAnsi="Arial"/>
          <w:sz w:val="17"/>
          <w:szCs w:val="17"/>
          <w:color w:val="auto"/>
        </w:rPr>
        <w:t>support obligation was released upon Silver Legacy’s deposit of an additional $5.0 million. The collateral deposit was</w:t>
      </w:r>
    </w:p>
    <w:p>
      <w:pPr>
        <w:spacing w:after="0" w:line="229" w:lineRule="auto"/>
        <w:rPr>
          <w:sz w:val="20"/>
          <w:szCs w:val="20"/>
          <w:color w:val="auto"/>
        </w:rPr>
      </w:pPr>
      <w:r>
        <w:rPr>
          <w:rFonts w:ascii="Arial" w:cs="Arial" w:eastAsia="Arial" w:hAnsi="Arial"/>
          <w:sz w:val="16"/>
          <w:szCs w:val="16"/>
          <w:color w:val="auto"/>
        </w:rPr>
        <w:t>included as noncurrent restricted cash in the amounts of $2.5 million in the accompanying consolidated balance sheets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69"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color w:val="auto"/>
        </w:rPr>
        <w:t>On December 16, 2013, the Silver Legacy Joint Venture entered into a new senior secured term loan facility totaling $90.5 million (the “New Silver Legacy Credit Facility”) to refinance its indebtedness under its then existing senior secured term loan and Silver Legacy Second Lien Notes. The New Silver Legacy Credit Facility was scheduled to mature on November 16, 2017, which was the maturity date of the original Silver Legacy credit facility. In connection with the Circus Reno/Silver Legacy Purchase, all amounts outstanding under the Silver Legacy Credit Facility were paid in full and the cash collateral securing such obligations were released.</w:t>
      </w:r>
    </w:p>
    <w:p>
      <w:pPr>
        <w:spacing w:after="0" w:line="162" w:lineRule="exact"/>
        <w:rPr>
          <w:sz w:val="20"/>
          <w:szCs w:val="20"/>
          <w:color w:val="auto"/>
        </w:rPr>
      </w:pPr>
    </w:p>
    <w:p>
      <w:pPr>
        <w:ind w:right="19" w:firstLine="648"/>
        <w:spacing w:after="0" w:line="258" w:lineRule="auto"/>
        <w:rPr>
          <w:sz w:val="20"/>
          <w:szCs w:val="20"/>
          <w:color w:val="auto"/>
        </w:rPr>
      </w:pPr>
      <w:r>
        <w:rPr>
          <w:rFonts w:ascii="Arial" w:cs="Arial" w:eastAsia="Arial" w:hAnsi="Arial"/>
          <w:sz w:val="17"/>
          <w:szCs w:val="17"/>
          <w:color w:val="auto"/>
        </w:rPr>
        <w:t>Equity in income related to the Silver Legacy Joint Venture for the 2015 period prior to the Acquisition Date and for the years ended December 31, 2014 and 2013 amounted to $3.5 million, $2.0 million and 2.3 million, respectively.</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Summarized information for the Company’s investment in and advances to the Silver Legacy Joint Venture for 2015 prior to its acquisition by the Company and for the years ended December 31, 2014 and 2013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10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January 1, 2015</w:t>
            </w:r>
          </w:p>
        </w:tc>
        <w:tc>
          <w:tcPr>
            <w:tcW w:w="80" w:type="dxa"/>
            <w:vAlign w:val="bottom"/>
          </w:tcPr>
          <w:p>
            <w:pPr>
              <w:spacing w:after="0"/>
              <w:rPr>
                <w:sz w:val="11"/>
                <w:szCs w:val="11"/>
                <w:color w:val="auto"/>
              </w:rPr>
            </w:pPr>
          </w:p>
        </w:tc>
        <w:tc>
          <w:tcPr>
            <w:tcW w:w="19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7"/>
              </w:rPr>
              <w:t>For the year ended December</w:t>
            </w:r>
          </w:p>
        </w:tc>
        <w:tc>
          <w:tcPr>
            <w:tcW w:w="0" w:type="dxa"/>
            <w:vAlign w:val="bottom"/>
          </w:tcPr>
          <w:p>
            <w:pPr>
              <w:spacing w:after="0"/>
              <w:rPr>
                <w:sz w:val="1"/>
                <w:szCs w:val="1"/>
                <w:color w:val="auto"/>
              </w:rPr>
            </w:pPr>
          </w:p>
        </w:tc>
      </w:tr>
      <w:tr>
        <w:trPr>
          <w:trHeight w:val="135"/>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through</w:t>
            </w:r>
          </w:p>
        </w:tc>
        <w:tc>
          <w:tcPr>
            <w:tcW w:w="80" w:type="dxa"/>
            <w:vAlign w:val="bottom"/>
          </w:tcPr>
          <w:p>
            <w:pPr>
              <w:spacing w:after="0"/>
              <w:rPr>
                <w:sz w:val="11"/>
                <w:szCs w:val="11"/>
                <w:color w:val="auto"/>
              </w:rPr>
            </w:pPr>
          </w:p>
        </w:tc>
        <w:tc>
          <w:tcPr>
            <w:tcW w:w="1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960" w:type="dxa"/>
            <w:vAlign w:val="bottom"/>
          </w:tcPr>
          <w:p>
            <w:pPr>
              <w:spacing w:after="0"/>
              <w:rPr>
                <w:sz w:val="12"/>
                <w:szCs w:val="12"/>
                <w:color w:val="auto"/>
              </w:rPr>
            </w:pPr>
          </w:p>
        </w:tc>
        <w:tc>
          <w:tcPr>
            <w:tcW w:w="106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November 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2"/>
          </w:tcPr>
          <w:p>
            <w:pPr>
              <w:jc w:val="right"/>
              <w:ind w:right="180"/>
              <w:spacing w:after="0" w:line="139" w:lineRule="exact"/>
              <w:rPr>
                <w:sz w:val="20"/>
                <w:szCs w:val="20"/>
                <w:color w:val="auto"/>
              </w:rPr>
            </w:pPr>
            <w:r>
              <w:rPr>
                <w:rFonts w:ascii="Arial" w:cs="Arial" w:eastAsia="Arial" w:hAnsi="Arial"/>
                <w:sz w:val="14"/>
                <w:szCs w:val="14"/>
                <w:b w:val="1"/>
                <w:bCs w:val="1"/>
                <w:color w:val="auto"/>
                <w:w w:val="81"/>
              </w:rPr>
              <w:t>31,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Equity in income of unconsolidated affiliate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early extinguishment of debt of unconsolidated affiliate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7"/>
                <w:szCs w:val="17"/>
                <w:color w:val="auto"/>
                <w:w w:val="97"/>
              </w:rPr>
              <w:t>Gain on termination of supplemental executive retirement plan of unconsolidated</w:t>
            </w:r>
          </w:p>
        </w:tc>
        <w:tc>
          <w:tcPr>
            <w:tcW w:w="10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affiliate</w:t>
            </w: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9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Other comprehensive (loss) income-minimum pension liability adjustment of</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unconsolidated affiliate</w:t>
            </w: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Valuation of unconsolidated affiliate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acquisition of non controlling interest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distribution</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balance sheet information for the Silver Legacy Joint Venture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7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r>
      <w:tr>
        <w:trPr>
          <w:trHeight w:val="210"/>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30,563</w:t>
            </w: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190,592</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40" w:type="dxa"/>
            <w:vAlign w:val="bottom"/>
            <w:shd w:val="clear" w:color="auto" w:fill="CCEEFF"/>
          </w:tcPr>
          <w:p>
            <w:pPr>
              <w:spacing w:after="0"/>
              <w:rPr>
                <w:sz w:val="18"/>
                <w:szCs w:val="18"/>
                <w:color w:val="auto"/>
              </w:rPr>
            </w:pPr>
          </w:p>
        </w:tc>
      </w:tr>
      <w:tr>
        <w:trPr>
          <w:trHeight w:val="217"/>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227,567</w:t>
            </w:r>
          </w:p>
        </w:tc>
        <w:tc>
          <w:tcPr>
            <w:tcW w:w="40" w:type="dxa"/>
            <w:vAlign w:val="bottom"/>
            <w:tcBorders>
              <w:bottom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18,707</w:t>
            </w: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89,322</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Partners’ equity</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119,538</w:t>
            </w:r>
          </w:p>
        </w:tc>
        <w:tc>
          <w:tcPr>
            <w:tcW w:w="40" w:type="dxa"/>
            <w:vAlign w:val="bottom"/>
            <w:shd w:val="clear" w:color="auto" w:fill="CCEEFF"/>
          </w:tcPr>
          <w:p>
            <w:pPr>
              <w:spacing w:after="0"/>
              <w:rPr>
                <w:sz w:val="18"/>
                <w:szCs w:val="18"/>
                <w:color w:val="auto"/>
              </w:rPr>
            </w:pPr>
          </w:p>
        </w:tc>
      </w:tr>
      <w:tr>
        <w:trPr>
          <w:trHeight w:val="217"/>
        </w:trPr>
        <w:tc>
          <w:tcPr>
            <w:tcW w:w="7900" w:type="dxa"/>
            <w:vAlign w:val="bottom"/>
          </w:tcPr>
          <w:p>
            <w:pPr>
              <w:spacing w:after="0"/>
              <w:rPr>
                <w:sz w:val="20"/>
                <w:szCs w:val="20"/>
                <w:color w:val="auto"/>
              </w:rPr>
            </w:pPr>
            <w:r>
              <w:rPr>
                <w:rFonts w:ascii="Arial" w:cs="Arial" w:eastAsia="Arial" w:hAnsi="Arial"/>
                <w:sz w:val="18"/>
                <w:szCs w:val="18"/>
                <w:color w:val="auto"/>
              </w:rPr>
              <w:t>Total liabilities and partners’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227,567</w:t>
            </w:r>
          </w:p>
        </w:tc>
        <w:tc>
          <w:tcPr>
            <w:tcW w:w="40" w:type="dxa"/>
            <w:vAlign w:val="bottom"/>
          </w:tcPr>
          <w:p>
            <w:pPr>
              <w:spacing w:after="0"/>
              <w:rPr>
                <w:sz w:val="18"/>
                <w:szCs w:val="18"/>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operations for the Silver Legacy Joint Venture are as follows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3180" w:type="dxa"/>
            <w:vAlign w:val="bottom"/>
            <w:gridSpan w:val="4"/>
          </w:tcPr>
          <w:p>
            <w:pPr>
              <w:jc w:val="center"/>
              <w:ind w:left="1959"/>
              <w:spacing w:after="0" w:line="135" w:lineRule="exact"/>
              <w:rPr>
                <w:sz w:val="20"/>
                <w:szCs w:val="20"/>
                <w:color w:val="auto"/>
              </w:rPr>
            </w:pPr>
            <w:r>
              <w:rPr>
                <w:rFonts w:ascii="Arial" w:cs="Arial" w:eastAsia="Arial" w:hAnsi="Arial"/>
                <w:sz w:val="14"/>
                <w:szCs w:val="14"/>
                <w:b w:val="1"/>
                <w:bCs w:val="1"/>
                <w:color w:val="auto"/>
                <w:w w:val="93"/>
              </w:rPr>
              <w:t>January 1, 2015</w:t>
            </w:r>
          </w:p>
        </w:tc>
        <w:tc>
          <w:tcPr>
            <w:tcW w:w="100" w:type="dxa"/>
            <w:vAlign w:val="bottom"/>
          </w:tcPr>
          <w:p>
            <w:pPr>
              <w:spacing w:after="0"/>
              <w:rPr>
                <w:sz w:val="11"/>
                <w:szCs w:val="11"/>
                <w:color w:val="auto"/>
              </w:rPr>
            </w:pPr>
          </w:p>
        </w:tc>
        <w:tc>
          <w:tcPr>
            <w:tcW w:w="19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5"/>
              </w:rPr>
              <w:t>For the year ended December</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1"/>
                <w:szCs w:val="11"/>
                <w:color w:val="auto"/>
              </w:rPr>
            </w:pPr>
          </w:p>
        </w:tc>
        <w:tc>
          <w:tcPr>
            <w:tcW w:w="1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60" w:type="dxa"/>
            <w:vAlign w:val="bottom"/>
            <w:gridSpan w:val="3"/>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November 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30"/>
              <w:spacing w:after="0" w:line="139" w:lineRule="exact"/>
              <w:rPr>
                <w:sz w:val="20"/>
                <w:szCs w:val="20"/>
                <w:color w:val="auto"/>
              </w:rPr>
            </w:pPr>
            <w:r>
              <w:rPr>
                <w:rFonts w:ascii="Arial" w:cs="Arial" w:eastAsia="Arial" w:hAnsi="Arial"/>
                <w:sz w:val="14"/>
                <w:szCs w:val="14"/>
                <w:b w:val="1"/>
                <w:bCs w:val="1"/>
                <w:color w:val="auto"/>
              </w:rPr>
              <w:t>31,</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860" w:type="dxa"/>
            <w:vAlign w:val="bottom"/>
            <w:tcBorders>
              <w:bottom w:val="single" w:sz="8" w:color="CCEEFF"/>
            </w:tcBorders>
          </w:tcPr>
          <w:p>
            <w:pPr>
              <w:spacing w:after="0"/>
              <w:rPr>
                <w:sz w:val="11"/>
                <w:szCs w:val="11"/>
                <w:color w:val="auto"/>
              </w:rPr>
            </w:pPr>
          </w:p>
        </w:tc>
        <w:tc>
          <w:tcPr>
            <w:tcW w:w="2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(112,086)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(112,558)</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income (expense)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7,195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5,402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b w:val="1"/>
          <w:bCs w:val="1"/>
          <w:i w:val="1"/>
          <w:iCs w:val="1"/>
          <w:color w:val="auto"/>
        </w:rPr>
        <w:t xml:space="preserve">Tamarack. </w:t>
      </w:r>
      <w:r>
        <w:rPr>
          <w:rFonts w:ascii="Arial" w:cs="Arial" w:eastAsia="Arial" w:hAnsi="Arial"/>
          <w:sz w:val="16"/>
          <w:szCs w:val="16"/>
          <w:color w:val="auto"/>
        </w:rPr>
        <w:t>Prior to the Merger, Resorts owned a 21.3% interest in Tamarack, which owned and operated Tamarack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Junction, a small casino in south Reno, Nevada. Donald L. Carano (“Carano”), who was the presiding member of Resorts’ Board of Managers and the Chief Executive Officer of Resorts, owned a 26.3% interest in Tamarack. Four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members of Tamarack, including Resorts and three unaffiliated third parties, managed the business and affairs of Tamarack Junction. At December 31, 2013, Resorts’ financial investment in Tamarack was $5.3 million. Resorts’ capital contribution to Tamarack represented its proportionate share of the total capital contributions of the members. Resorts’ investment in Tamarack was accounted for using the equity method of accounting. Equity in income related to Tamarack for the period prior to its disposition in 2014 and for the year ended December 31, 2013 of $0.7 million and $1.1 million, respectively, is included as a component of operating income.</w:t>
      </w:r>
    </w:p>
    <w:p>
      <w:pPr>
        <w:spacing w:after="0" w:line="162" w:lineRule="exact"/>
        <w:rPr>
          <w:sz w:val="20"/>
          <w:szCs w:val="20"/>
          <w:color w:val="auto"/>
        </w:rPr>
      </w:pPr>
    </w:p>
    <w:p>
      <w:pPr>
        <w:ind w:right="320" w:firstLine="648"/>
        <w:spacing w:after="0" w:line="216" w:lineRule="auto"/>
        <w:rPr>
          <w:sz w:val="20"/>
          <w:szCs w:val="20"/>
          <w:color w:val="auto"/>
        </w:rPr>
      </w:pPr>
      <w:r>
        <w:rPr>
          <w:rFonts w:ascii="Arial" w:cs="Arial" w:eastAsia="Arial" w:hAnsi="Arial"/>
          <w:sz w:val="18"/>
          <w:szCs w:val="18"/>
          <w:color w:val="auto"/>
        </w:rPr>
        <w:t>On September 1, 2014, and as a condition to closing the Merger, Resorts distributed to HoldCo and HoldCo subsequently distributed to its members, including members of the Carano family, on a pro rata basis Resorts’ interest in Tamarack. No gain or loss was recognized in the accompanying unaudited consolidated financial statements as a result of such distribution because the distribution was in the amount of the book value of Tamarack. The distributed interests in Tamarack had a carrying amount of $5.5 million.</w:t>
      </w:r>
    </w:p>
    <w:p>
      <w:pPr>
        <w:spacing w:after="0" w:line="162"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Summarized information for the Company’s equity in Tamarack for 2014 prior to its disposition and for the year ended December 31, 2013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Period from,</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93"/>
        </w:trPr>
        <w:tc>
          <w:tcPr>
            <w:tcW w:w="4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January 1, 2014</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5"/>
        </w:trPr>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through</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3"/>
              </w:rPr>
              <w:t>September 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Member’s distribution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of unconsolidated affiliate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Distribution of investment</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unaudited results of operations for Tamarack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Period from,</w:t>
            </w:r>
          </w:p>
        </w:tc>
        <w:tc>
          <w:tcPr>
            <w:tcW w:w="280" w:type="dxa"/>
            <w:vAlign w:val="bottom"/>
          </w:tcPr>
          <w:p>
            <w:pPr>
              <w:spacing w:after="0"/>
              <w:rPr>
                <w:sz w:val="14"/>
                <w:szCs w:val="14"/>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January 1, 2014</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through</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294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September 1, 2014</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3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(16,172)</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w:t>
            </w:r>
          </w:p>
        </w:tc>
        <w:tc>
          <w:tcPr>
            <w:tcW w:w="3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770"/>
        </w:trPr>
        <w:tc>
          <w:tcPr>
            <w:tcW w:w="294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jc w:val="right"/>
              <w:ind w:right="1350"/>
              <w:spacing w:after="0"/>
              <w:rPr>
                <w:sz w:val="20"/>
                <w:szCs w:val="20"/>
                <w:color w:val="auto"/>
              </w:rPr>
            </w:pPr>
            <w:r>
              <w:rPr>
                <w:rFonts w:ascii="Arial" w:cs="Arial" w:eastAsia="Arial" w:hAnsi="Arial"/>
                <w:sz w:val="18"/>
                <w:szCs w:val="18"/>
                <w:color w:val="auto"/>
              </w:rPr>
              <w:t>83</w:t>
            </w: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9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Service Life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060" w:type="dxa"/>
            <w:vAlign w:val="bottom"/>
          </w:tcPr>
          <w:p>
            <w:pPr>
              <w:spacing w:after="0" w:line="20" w:lineRule="exact"/>
              <w:rPr>
                <w:sz w:val="1"/>
                <w:szCs w:val="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0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Buildings and other leasehold improvements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10 - 45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619,614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Riverboat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3 - 15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 held under capital leases (Note 16)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949,963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Less—Accumulated depreciation and amortization</w:t>
            </w:r>
          </w:p>
        </w:tc>
        <w:tc>
          <w:tcPr>
            <w:tcW w:w="8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(324,547)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(283,886)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625,416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Substantially all property and equipment is pledged as collateral under our long</w:t>
      </w:r>
      <w:r>
        <w:rPr>
          <w:rFonts w:ascii="MS PGothic" w:cs="MS PGothic" w:eastAsia="MS PGothic" w:hAnsi="MS PGothic"/>
          <w:sz w:val="18"/>
          <w:szCs w:val="18"/>
          <w:color w:val="auto"/>
        </w:rPr>
        <w:t>‑</w:t>
      </w:r>
      <w:r>
        <w:rPr>
          <w:rFonts w:ascii="Arial" w:cs="Arial" w:eastAsia="Arial" w:hAnsi="Arial"/>
          <w:sz w:val="18"/>
          <w:szCs w:val="18"/>
          <w:color w:val="auto"/>
        </w:rPr>
        <w:t>term debt (see Note 9).</w:t>
      </w:r>
    </w:p>
    <w:p>
      <w:pPr>
        <w:spacing w:after="0" w:line="185" w:lineRule="exact"/>
        <w:rPr>
          <w:sz w:val="20"/>
          <w:szCs w:val="20"/>
          <w:color w:val="auto"/>
        </w:rPr>
      </w:pPr>
    </w:p>
    <w:p>
      <w:pPr>
        <w:ind w:right="320" w:firstLine="648"/>
        <w:spacing w:after="0" w:line="219" w:lineRule="auto"/>
        <w:rPr>
          <w:sz w:val="20"/>
          <w:szCs w:val="20"/>
          <w:color w:val="auto"/>
        </w:rPr>
      </w:pPr>
      <w:r>
        <w:rPr>
          <w:rFonts w:ascii="Arial" w:cs="Arial" w:eastAsia="Arial" w:hAnsi="Arial"/>
          <w:sz w:val="18"/>
          <w:szCs w:val="18"/>
          <w:color w:val="auto"/>
        </w:rPr>
        <w:t>Depreciation expense, including amortization expense on capital leases, was $51.0 million, $26.9 million and $17.0 million for the years ended December 31, 2015, 2014 and 2013, respectively. At December 31, 2015 and 2014, accumulated depreciation and amortization includes $3.3 million and $3.4 million, respectively, related to assets acquired under capital leases.</w:t>
      </w:r>
    </w:p>
    <w:p>
      <w:pPr>
        <w:spacing w:after="0" w:line="163"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During the year ended December 31, 2015, Mountaineer submitted $3.9 million for reimbursement from the West Virginia Racing Commission for capital expenditures of which $1.3 million has been reimbursed in 2015. These reimbursement amounts were applied against the applicable acquisition costs, which resulted in corresponding adjustments to the basis of the capitalized fixed assets. These reimbursements, which are reflected within investing activities in our accompanying consolidated statement of cash flows, did not have a material impact on our consolidated financial statements. Future reimbursements from the West Virginia Racing Commission are subject to the availability of racing funds.</w:t>
      </w:r>
    </w:p>
    <w:p>
      <w:pPr>
        <w:spacing w:after="0" w:line="161"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In addition to the racing funds discussed above, Mountaineer also participates in a modernization fund which provides for reimbursement from amounts paid to the West Virginia Lottery Commission of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As of December 31, 2015, Mountaineer remains eligible for $3.0 million under annual modernization fund grants that expire in varying dates through June 30, 2017. We can make no assurances Mountaineer will be able to make qualifying capital expenditures purchases sufficient to receive reimbursement of the available funds prior to their expiration nor that the modernization funds will continue to be available.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and Intangible Assets,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w w:val="96"/>
              </w:rPr>
              <w:t>2014</w:t>
            </w:r>
          </w:p>
        </w:tc>
      </w:tr>
      <w:tr>
        <w:trPr>
          <w:trHeight w:val="210"/>
        </w:trPr>
        <w:tc>
          <w:tcPr>
            <w:tcW w:w="5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66,826</w:t>
            </w:r>
          </w:p>
        </w:tc>
      </w:tr>
      <w:tr>
        <w:trPr>
          <w:trHeight w:val="216"/>
        </w:trPr>
        <w:tc>
          <w:tcPr>
            <w:tcW w:w="5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Gaming license (indefinite-lived)</w:t>
            </w:r>
          </w:p>
        </w:tc>
        <w:tc>
          <w:tcPr>
            <w:tcW w:w="17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482,074</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482,074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w:t>
            </w: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Loyalty programs</w:t>
            </w:r>
          </w:p>
        </w:tc>
        <w:tc>
          <w:tcPr>
            <w:tcW w:w="1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4,800</w:t>
            </w:r>
          </w:p>
        </w:tc>
      </w:tr>
      <w:tr>
        <w:trPr>
          <w:trHeight w:val="210"/>
        </w:trPr>
        <w:tc>
          <w:tcPr>
            <w:tcW w:w="5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493,574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loyalty programs</w:t>
            </w:r>
          </w:p>
        </w:tc>
        <w:tc>
          <w:tcPr>
            <w:tcW w:w="1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r>
      <w:tr>
        <w:trPr>
          <w:trHeight w:val="210"/>
        </w:trPr>
        <w:tc>
          <w:tcPr>
            <w:tcW w:w="5100" w:type="dxa"/>
            <w:vAlign w:val="bottom"/>
          </w:tcPr>
          <w:p>
            <w:pPr>
              <w:ind w:left="320"/>
              <w:spacing w:after="0"/>
              <w:rPr>
                <w:sz w:val="20"/>
                <w:szCs w:val="20"/>
                <w:color w:val="auto"/>
              </w:rPr>
            </w:pPr>
            <w:r>
              <w:rPr>
                <w:rFonts w:ascii="Arial" w:cs="Arial" w:eastAsia="Arial" w:hAnsi="Arial"/>
                <w:sz w:val="18"/>
                <w:szCs w:val="18"/>
                <w:color w:val="auto"/>
              </w:rPr>
              <w:t>Total goodwill and other intangible assets</w:t>
            </w:r>
          </w:p>
        </w:tc>
        <w:tc>
          <w:tcPr>
            <w:tcW w:w="17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492,033</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491,913</w:t>
            </w:r>
          </w:p>
        </w:tc>
      </w:tr>
      <w:tr>
        <w:trPr>
          <w:trHeight w:val="27"/>
        </w:trPr>
        <w:tc>
          <w:tcPr>
            <w:tcW w:w="5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 held for development</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w:t>
            </w: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5,354</w:t>
            </w: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 net</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w:t>
            </w:r>
          </w:p>
        </w:tc>
      </w:tr>
      <w:tr>
        <w:trPr>
          <w:trHeight w:val="27"/>
        </w:trPr>
        <w:tc>
          <w:tcPr>
            <w:tcW w:w="5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r>
    </w:tbl>
    <w:p>
      <w:pPr>
        <w:spacing w:after="0" w:line="188"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Goodwill, the excess of the purchase price of acquiring MTR Gaming over the fair market value of the net assets acquired, in the amount of $66.8 million was recorded as of December 31, 2015.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Included in gaming licenses is the Eldorado Shreveport gaming license recorded at $20.6 million at both December 31, 2015 and 2014. The license represents an intangible asset acquired from the purchase of a gaming entity located in a gaming jurisdiction where competition is limited, such as when only a limited number of gaming operators are allowed to operate. Included in gaming licenses are the gaming and racing licenses of Mountaineer, Presque Isle Downs and Scioto Downs totaling $482.1 million, which reflects the fair value of the licenses calculated as of the Merger Date, as well as the Eldorado Shreveport gaming license in the amount of $20.6 million as of December 31, 2015 and 2014. Gaming license rights are not subject to amortization as the Company has determined that they have an indefinite useful life.</w:t>
      </w:r>
    </w:p>
    <w:p>
      <w:pPr>
        <w:spacing w:after="0" w:line="163"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Trade names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 year useful life and the loyalty program is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year useful life. Amortization expense with respect to trade names and the loyalty program amounted to $1.9 million and $4.0 million, respectively, for the year ended December 31, 2015, which is included in depreciation and amortization in the consolidated statements of operations. Such amortization expense is expected to be $1.9 million during each of the years ended December 31, 2016 through 2017 and $0.4 million for the year ended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and Other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liabilities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4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1"/>
                <w:szCs w:val="1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and medical claims</w:t>
            </w:r>
          </w:p>
        </w:tc>
        <w:tc>
          <w:tcPr>
            <w:tcW w:w="2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Unclaimed chips</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purses and track related liabilities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w w:val="95"/>
              </w:rPr>
              <w:t>Jackpot liabilities and other accrued gaming promotions</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project and equipment liabilities</w:t>
            </w:r>
          </w:p>
        </w:tc>
        <w:tc>
          <w:tcPr>
            <w:tcW w:w="2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tcPr>
          <w:p>
            <w:pPr>
              <w:spacing w:after="0"/>
              <w:rPr>
                <w:sz w:val="18"/>
                <w:szCs w:val="18"/>
                <w:color w:val="auto"/>
              </w:rPr>
            </w:pPr>
          </w:p>
        </w:tc>
      </w:tr>
      <w:tr>
        <w:trPr>
          <w:trHeight w:val="230"/>
        </w:trPr>
        <w:tc>
          <w:tcPr>
            <w:tcW w:w="424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31,798</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00" w:type="dxa"/>
            <w:vAlign w:val="bottom"/>
            <w:shd w:val="clear" w:color="auto" w:fill="CCEEFF"/>
          </w:tcPr>
          <w:p>
            <w:pPr>
              <w:spacing w:after="0"/>
              <w:rPr>
                <w:sz w:val="19"/>
                <w:szCs w:val="19"/>
                <w:color w:val="auto"/>
              </w:rPr>
            </w:pPr>
          </w:p>
        </w:tc>
      </w:tr>
      <w:tr>
        <w:trPr>
          <w:trHeight w:val="811"/>
        </w:trPr>
        <w:tc>
          <w:tcPr>
            <w:tcW w:w="424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jc w:val="right"/>
              <w:ind w:right="2130"/>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2"/>
        </w:trPr>
        <w:tc>
          <w:tcPr>
            <w:tcW w:w="424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36"/>
        </w:trPr>
        <w:tc>
          <w:tcPr>
            <w:tcW w:w="5920" w:type="dxa"/>
            <w:vAlign w:val="bottom"/>
            <w:gridSpan w:val="2"/>
          </w:tcPr>
          <w:p>
            <w:pPr>
              <w:spacing w:after="0" w:line="207" w:lineRule="exact"/>
              <w:rPr>
                <w:sz w:val="20"/>
                <w:szCs w:val="20"/>
                <w:color w:val="auto"/>
              </w:rPr>
            </w:pPr>
            <w:r>
              <w:rPr>
                <w:rFonts w:ascii="Arial" w:cs="Arial" w:eastAsia="Arial" w:hAnsi="Arial"/>
                <w:sz w:val="18"/>
                <w:szCs w:val="18"/>
                <w:b w:val="1"/>
                <w:bCs w:val="1"/>
                <w:color w:val="auto"/>
              </w:rPr>
              <w:t>Note 9.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920" w:type="dxa"/>
            <w:vAlign w:val="bottom"/>
            <w:gridSpan w:val="2"/>
          </w:tcPr>
          <w:p>
            <w:pPr>
              <w:ind w:left="660"/>
              <w:spacing w:after="0"/>
              <w:rPr>
                <w:sz w:val="20"/>
                <w:szCs w:val="20"/>
                <w:color w:val="auto"/>
              </w:rPr>
            </w:pPr>
            <w:r>
              <w:rPr>
                <w:rFonts w:ascii="Arial" w:cs="Arial" w:eastAsia="Arial" w:hAnsi="Arial"/>
                <w:sz w:val="18"/>
                <w:szCs w:val="18"/>
                <w:color w:val="auto"/>
              </w:rPr>
              <w:t>Long-term debt consisted of the following (in thousands):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21"/>
        </w:trPr>
        <w:tc>
          <w:tcPr>
            <w:tcW w:w="12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169"/>
        </w:trPr>
        <w:tc>
          <w:tcPr>
            <w:tcW w:w="12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70"/>
              <w:spacing w:after="0" w:line="170"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50"/>
              <w:spacing w:after="0" w:line="170" w:lineRule="exact"/>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Unamortized debt issuance costs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366,043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Term Loan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422,875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Less: Unamortized discount and debt issuance costs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408,410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Revolving Credit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Unamortized debt issuance costs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Resorts Senior Secured Notes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168,000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Unamortized discount and debt issuance costs</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tcPr>
          <w:p>
            <w:pPr>
              <w:spacing w:after="0"/>
              <w:rPr>
                <w:sz w:val="18"/>
                <w:szCs w:val="18"/>
                <w:color w:val="auto"/>
              </w:rPr>
            </w:pPr>
          </w:p>
        </w:tc>
      </w:tr>
      <w:tr>
        <w:trPr>
          <w:trHeight w:val="210"/>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164,229</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MTR Second Lien Notes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560,664</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Add: Unamortized premium</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50,163</w:t>
            </w:r>
          </w:p>
        </w:tc>
        <w:tc>
          <w:tcPr>
            <w:tcW w:w="100" w:type="dxa"/>
            <w:vAlign w:val="bottom"/>
            <w:tcBorders>
              <w:bottom w:val="single" w:sz="8" w:color="CCEEFF"/>
            </w:tcBorders>
          </w:tcPr>
          <w:p>
            <w:pPr>
              <w:spacing w:after="0"/>
              <w:rPr>
                <w:sz w:val="18"/>
                <w:szCs w:val="18"/>
                <w:color w:val="auto"/>
              </w:rPr>
            </w:pPr>
          </w:p>
        </w:tc>
      </w:tr>
      <w:tr>
        <w:trPr>
          <w:trHeight w:val="210"/>
        </w:trPr>
        <w:tc>
          <w:tcPr>
            <w:tcW w:w="5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610,827</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1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8"/>
                <w:szCs w:val="18"/>
                <w:color w:val="auto"/>
              </w:rPr>
            </w:pPr>
          </w:p>
        </w:tc>
      </w:tr>
      <w:tr>
        <w:trPr>
          <w:trHeight w:val="217"/>
        </w:trPr>
        <w:tc>
          <w:tcPr>
            <w:tcW w:w="5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861,713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775,059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$93.5 million in 2020, $395.3 million in 2022 and $375.0 million in 2023. Debt issuance costs and the discount associated with the issuance of the Senior Notes, New Term Loan and New Revolving Credit Facility (as such terms are defined below) in July 2015 totaled $25.8 million. Amortization of debt issuance costs is computed using the effective interest method and is included in interest expense. Amortization of the debt issuance costs and the discount associated with the Senior Notes and New Credit Facility (as defined below) totaled $1.5 million for the year ended December 31, 2015.</w:t>
      </w:r>
    </w:p>
    <w:p>
      <w:pPr>
        <w:spacing w:after="0" w:line="95"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Amortization of Resorts’ bond costs was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which approximated the effective interest method, over the term of the bonds, and was included in interest expense. Amortization expense with respect to deferred financing costs on Resorts Senior Secured Notes (as defined below) amounted to $0.5 million and $0.9 million for years ended December 31, 2015 and 2014,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On July 23, 2015, the Company issued $375 million in aggregate principal amount of 7.0% senior notes due 2023 (“Senior Notes”) pursuant to the indenture, dated as of July 23, 2015 (the “Indenture”), at an issue price equal to 100.0% of the aggregate principal amount of the Senior Notes. The Senior Notes are guaranteed by all of the Company’s direct and indirect restricted subsidiaries other than immaterial subsidiaries, CC-Reno and the Silver Legacy Joint Venture. CC-Reno, LLC and the Silver Legacy Joint Venture will become guarantors upon receipt of the requisite gaming approvals. The Senior Notes will mature on August 1, 2023, with interest payable semi-annually in arrears on February 1 and August 1 of each year.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The Company used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Acquisition Date. As a result of the July 2015 refinancing, we recognized a $1.9 million net loss on the early retirement of debt.</w:t>
      </w:r>
    </w:p>
    <w:p>
      <w:pPr>
        <w:spacing w:after="0" w:line="41"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0"/>
              </w:rPr>
              <w:t>Percentage</w:t>
            </w:r>
          </w:p>
        </w:tc>
      </w:tr>
      <w:tr>
        <w:trPr>
          <w:trHeight w:val="210"/>
        </w:trPr>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103.500 %</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101.750 %</w:t>
            </w:r>
          </w:p>
        </w:tc>
      </w:tr>
      <w:tr>
        <w:trPr>
          <w:trHeight w:val="243"/>
        </w:trPr>
        <w:tc>
          <w:tcPr>
            <w:tcW w:w="796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22"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 dividends or distributions or make certain other restricted payments or investments;</w:t>
      </w:r>
    </w:p>
    <w:p>
      <w:pPr>
        <w:ind w:left="380" w:right="340" w:hanging="53"/>
        <w:spacing w:after="0" w:line="203" w:lineRule="auto"/>
        <w:rPr>
          <w:sz w:val="20"/>
          <w:szCs w:val="20"/>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ind w:left="820" w:hanging="493"/>
        <w:spacing w:after="0" w:line="20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liens;</w:t>
      </w:r>
    </w:p>
    <w:p>
      <w:pPr>
        <w:ind w:left="600" w:hanging="273"/>
        <w:spacing w:after="0" w:line="203"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and sell assets;</w:t>
      </w:r>
    </w:p>
    <w:p>
      <w:pPr>
        <w:ind w:left="320" w:right="1060"/>
        <w:spacing w:after="0" w:line="203" w:lineRule="auto"/>
        <w:rPr>
          <w:sz w:val="20"/>
          <w:szCs w:val="20"/>
          <w:color w:val="auto"/>
        </w:rPr>
      </w:pPr>
      <w:r>
        <w:rPr>
          <w:rFonts w:ascii="Arial" w:cs="Arial" w:eastAsia="Arial" w:hAnsi="Arial"/>
          <w:sz w:val="18"/>
          <w:szCs w:val="18"/>
          <w:color w:val="auto"/>
        </w:rPr>
        <w:t>·merge, consolidate, or sell, trainer or otherwise dispose of all or substantially all of the Company’s assets; · enter into certain transactions with affiliates;</w:t>
      </w:r>
    </w:p>
    <w:p>
      <w:pPr>
        <w:spacing w:after="0" w:line="1" w:lineRule="exact"/>
        <w:rPr>
          <w:sz w:val="20"/>
          <w:szCs w:val="20"/>
          <w:color w:val="auto"/>
        </w:rPr>
      </w:pPr>
    </w:p>
    <w:p>
      <w:pPr>
        <w:ind w:left="320" w:right="1820"/>
        <w:spacing w:after="0" w:line="268" w:lineRule="auto"/>
        <w:rPr>
          <w:sz w:val="20"/>
          <w:szCs w:val="20"/>
          <w:color w:val="auto"/>
        </w:rPr>
      </w:pPr>
      <w:r>
        <w:rPr>
          <w:rFonts w:ascii="Arial" w:cs="Arial" w:eastAsia="Arial" w:hAnsi="Arial"/>
          <w:sz w:val="16"/>
          <w:szCs w:val="16"/>
          <w:color w:val="auto"/>
        </w:rPr>
        <w:t>·engage in lines of business other than the Company’s core business and related businesses; and · create restrictions on dividends or other payments by restricted subsidiaries.</w:t>
      </w:r>
    </w:p>
    <w:p>
      <w:pPr>
        <w:spacing w:after="0" w:line="100"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December 31, 2015, the Company was in compliance with all of the covenants under the Indenture relating to the Senior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23, 2015, the Company entered into a new $425.0 million seven year term loan (the “New Term Loan”)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and a new $150.0 million five year revolving credit facility (the “New Revolving Credit Facility” and, together with the New Term Loan, the “New Credit Facility”). Also on July 23, 2015, the Company borrowed $40.0 million under the New Revolving Credit Facility. As of December 31, 2015, the Company had $422.9 million outstanding on the New Term Loan and $93.5 million in borrowings outstanding under the New Revolving Credit Facility. The Company had $56.5 million of available borrowing capacity under its New Revolving Credit Facility as of December 31, 2015. At December 31, 2015, the interest rate on the New Term Loan was 4.25% and the average interest rate on the New Revolving Credit Facility was 3.7%.</w:t>
      </w:r>
    </w:p>
    <w:p>
      <w:pPr>
        <w:spacing w:after="0" w:line="120"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New Revolving Credit Facility not being utilized in the amount of 0.50% per annum.</w:t>
      </w:r>
    </w:p>
    <w:p>
      <w:pPr>
        <w:spacing w:after="0" w:line="12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2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credit agreement governing the New Credit Facility also includes requirements the Company maintains a maximum total leverage ratio and a minimum interest coverage ratio (adjusting over time). The Company is required to maintain a maximum total leverage ratio of 6.75 to 1.00 from the closing date through December 31, 2015, 6.00 to 1.00 from January 1, 2016 to December 31, 2017 and 5.00 to 1.00 thereafter. In addition, the Company is required to maintain a minimum interest coverage ratio of 2.50 to 1.00 from the closing date through December 31, 2015, and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6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December 31, 2015, the Company was in compliance with the covenants under the New Credit Facility.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8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components of the Company’s provision for income taxes for the years ended December 31, 2015 and 2014 are presented below (amounts in thousands). For the year ended December 31, 2013, the Company was treated as a partnership for income tax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Current: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State</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Local</w:t>
            </w:r>
          </w:p>
        </w:tc>
        <w:tc>
          <w:tcPr>
            <w:tcW w:w="2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Federal</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(68,103)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4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Local</w:t>
            </w:r>
          </w:p>
        </w:tc>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w:t>
            </w:r>
          </w:p>
        </w:tc>
        <w:tc>
          <w:tcPr>
            <w:tcW w:w="2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10"/>
        </w:trPr>
        <w:tc>
          <w:tcPr>
            <w:tcW w:w="4620" w:type="dxa"/>
            <w:vAlign w:val="bottom"/>
          </w:tcPr>
          <w:p>
            <w:pPr>
              <w:ind w:left="220"/>
              <w:spacing w:after="0"/>
              <w:rPr>
                <w:sz w:val="20"/>
                <w:szCs w:val="20"/>
                <w:color w:val="auto"/>
              </w:rPr>
            </w:pPr>
            <w:r>
              <w:rPr>
                <w:rFonts w:ascii="Arial" w:cs="Arial" w:eastAsia="Arial" w:hAnsi="Arial"/>
                <w:sz w:val="18"/>
                <w:szCs w:val="18"/>
                <w:color w:val="auto"/>
              </w:rPr>
              <w:t>Income tax (benefit) expense</w:t>
            </w:r>
          </w:p>
        </w:tc>
        <w:tc>
          <w:tcPr>
            <w:tcW w:w="2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(69,580)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7"/>
        </w:trPr>
        <w:tc>
          <w:tcPr>
            <w:tcW w:w="4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following is a reconciliation of the statutory federal income tax rate (benefit) to the Company’s effective tax rate for the years ended December 31, 2015 and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r>
      <w:tr>
        <w:trPr>
          <w:trHeight w:val="21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statutory rate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State and local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tax rate adjustment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Permanent items</w:t>
            </w:r>
          </w:p>
        </w:tc>
        <w:tc>
          <w:tcPr>
            <w:tcW w:w="104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77.3 %</w:t>
            </w: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Minority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0.2 %</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tax status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6800" w:type="dxa"/>
            <w:vAlign w:val="bottom"/>
          </w:tcPr>
          <w:p>
            <w:pPr>
              <w:ind w:left="220"/>
              <w:spacing w:after="0"/>
              <w:rPr>
                <w:sz w:val="20"/>
                <w:szCs w:val="20"/>
                <w:color w:val="auto"/>
              </w:rPr>
            </w:pPr>
            <w:r>
              <w:rPr>
                <w:rFonts w:ascii="Arial" w:cs="Arial" w:eastAsia="Arial" w:hAnsi="Arial"/>
                <w:sz w:val="18"/>
                <w:szCs w:val="18"/>
                <w:color w:val="auto"/>
              </w:rPr>
              <w:t>Non-taxable gain on fair value adjustment</w:t>
            </w: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14.1 %</w:t>
            </w: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For the year ended December 31, 2015, the difference between the effective rate and the statutory rate is attributable primarily to the release of most of the federal valuation allowance on the Company’s deferred tax assets and the non-taxable gain on the fair value adjustment of previously unconsolidated affiliate. The Company continues to provide for a valuation allowance against net federal and state deferred tax assets associated with non-operating land, the sale of which could result in capital losses that can only be offset against capital gains. The Company also continues to provide for a valuation allowance against net state deferred tax assets relating to operations in Pennsylvania and West Virginia. Management determined it was not more-likely-than-not that the Company will realize these net deferred tax assets.</w:t>
      </w:r>
    </w:p>
    <w:p>
      <w:pPr>
        <w:spacing w:after="0" w:line="16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For the year ended December 31, 2014, the difference between the effective rate and the statutory rate is attributed primarily to the federal and state valuation allowances on the Company’s deferred tax assets. As a result of the Company’s net operating losses and net deferred tax asset position as of December 31, 2014 (after exclusion of certain deferred tax liabilities that generally cannot be offset against deferred tax assets, known as “Naked Credits”), the Company provided for a full valuation allowance against substantially all of the net federal and the net state deferred tax assets.</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For the year ended December 31, 2014, the Company was in a three-year cumulative loss position, which was significant negative evidence, and the Company did not have positive evidence to outweigh the negative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evidence. For the year ended December 31, 2015, the Company’s position changed to a three-year cumulative income position. Additionally, due to positive evidence including reduction in interest expense and acquisitions of properties with positive operations, management believes it is more-likely-than-not to realize its federal, Louisiana and City of Columbus, Ohio deferred tax assets with the exception of non-operating land. The Company will continue to evaluate the realization of its deferred tax assets on a quarterly basis and make adjustments to its valuation allowance as appropriate.</w:t>
      </w:r>
    </w:p>
    <w:p>
      <w:pPr>
        <w:spacing w:after="0" w:line="159" w:lineRule="exact"/>
        <w:rPr>
          <w:sz w:val="20"/>
          <w:szCs w:val="20"/>
          <w:color w:val="auto"/>
        </w:rPr>
      </w:pPr>
    </w:p>
    <w:p>
      <w:pPr>
        <w:jc w:val="both"/>
        <w:ind w:firstLine="648"/>
        <w:spacing w:after="0" w:line="189" w:lineRule="exact"/>
        <w:rPr>
          <w:sz w:val="20"/>
          <w:szCs w:val="20"/>
          <w:color w:val="auto"/>
        </w:rPr>
      </w:pPr>
      <w:r>
        <w:rPr>
          <w:rFonts w:ascii="Arial" w:cs="Arial" w:eastAsia="Arial" w:hAnsi="Arial"/>
          <w:sz w:val="18"/>
          <w:szCs w:val="18"/>
          <w:color w:val="auto"/>
        </w:rPr>
        <w:t>Prior to September 19, 2014, HoldCo was taxed as a partnership under the Internal Revenue Code pursuant to which income taxes were primarily the responsibility of the partners. The Company is a C Corporation subject to the federal and state corporate</w:t>
      </w:r>
      <w:r>
        <w:rPr>
          <w:rFonts w:ascii="MS PGothic" w:cs="MS PGothic" w:eastAsia="MS PGothic" w:hAnsi="MS PGothic"/>
          <w:sz w:val="18"/>
          <w:szCs w:val="18"/>
          <w:color w:val="auto"/>
        </w:rPr>
        <w:t>‑</w:t>
      </w:r>
      <w:r>
        <w:rPr>
          <w:rFonts w:ascii="Arial" w:cs="Arial" w:eastAsia="Arial" w:hAnsi="Arial"/>
          <w:sz w:val="18"/>
          <w:szCs w:val="18"/>
          <w:color w:val="auto"/>
        </w:rPr>
        <w:t>level income taxes at prevailing corporate tax rates. As a result of this change in status, a state tax expense of $0.7 million was recognized by the Company during 2014.</w:t>
      </w:r>
    </w:p>
    <w:p>
      <w:pPr>
        <w:spacing w:after="0" w:line="16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related to continuing operations at December 31, 2015 and 2014 are as follows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660" w:type="dxa"/>
            <w:vAlign w:val="bottom"/>
          </w:tcPr>
          <w:p>
            <w:pPr>
              <w:ind w:left="120"/>
              <w:spacing w:after="0"/>
              <w:rPr>
                <w:sz w:val="20"/>
                <w:szCs w:val="20"/>
                <w:color w:val="auto"/>
              </w:rPr>
            </w:pPr>
            <w:r>
              <w:rPr>
                <w:rFonts w:ascii="Arial" w:cs="Arial" w:eastAsia="Arial" w:hAnsi="Arial"/>
                <w:sz w:val="18"/>
                <w:szCs w:val="18"/>
                <w:color w:val="auto"/>
              </w:rPr>
              <w:t>Deferred tax assets: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and credit carryforwards</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Fixed assets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8"/>
                <w:szCs w:val="18"/>
                <w:color w:val="auto"/>
              </w:rPr>
              <w:t>Investment in partnerships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23,826</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90,777</w:t>
            </w:r>
          </w:p>
        </w:tc>
        <w:tc>
          <w:tcPr>
            <w:tcW w:w="100" w:type="dxa"/>
            <w:vAlign w:val="bottom"/>
            <w:tcBorders>
              <w:bottom w:val="single" w:sz="8" w:color="CCEEFF"/>
            </w:tcBorders>
          </w:tcPr>
          <w:p>
            <w:pPr>
              <w:spacing w:after="0"/>
              <w:rPr>
                <w:sz w:val="18"/>
                <w:szCs w:val="18"/>
                <w:color w:val="auto"/>
              </w:rPr>
            </w:pPr>
          </w:p>
        </w:tc>
      </w:tr>
      <w:tr>
        <w:trPr>
          <w:trHeight w:val="21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8"/>
                <w:szCs w:val="18"/>
                <w:color w:val="auto"/>
              </w:rPr>
              <w:t>Identified intangibles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(145,053)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(146,715)</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partnerships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(149,064)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(148,757)</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Valuation allowance</w:t>
            </w:r>
          </w:p>
        </w:tc>
        <w:tc>
          <w:tcPr>
            <w:tcW w:w="2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(89,067)</w:t>
            </w:r>
          </w:p>
        </w:tc>
        <w:tc>
          <w:tcPr>
            <w:tcW w:w="100" w:type="dxa"/>
            <w:vAlign w:val="bottom"/>
            <w:shd w:val="clear" w:color="auto" w:fill="CCEEFF"/>
          </w:tcPr>
          <w:p>
            <w:pPr>
              <w:spacing w:after="0"/>
              <w:rPr>
                <w:sz w:val="18"/>
                <w:szCs w:val="18"/>
                <w:color w:val="auto"/>
              </w:rPr>
            </w:pPr>
          </w:p>
        </w:tc>
      </w:tr>
      <w:tr>
        <w:trPr>
          <w:trHeight w:val="210"/>
        </w:trPr>
        <w:tc>
          <w:tcPr>
            <w:tcW w:w="4660" w:type="dxa"/>
            <w:vAlign w:val="bottom"/>
          </w:tcPr>
          <w:p>
            <w:pPr>
              <w:ind w:left="120"/>
              <w:spacing w:after="0"/>
              <w:rPr>
                <w:sz w:val="20"/>
                <w:szCs w:val="20"/>
                <w:color w:val="auto"/>
              </w:rPr>
            </w:pPr>
            <w:r>
              <w:rPr>
                <w:rFonts w:ascii="Arial" w:cs="Arial" w:eastAsia="Arial" w:hAnsi="Arial"/>
                <w:sz w:val="18"/>
                <w:szCs w:val="18"/>
                <w:color w:val="auto"/>
              </w:rPr>
              <w:t>Net deferred tax liabilities</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(78,797)</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(147,047)</w:t>
            </w:r>
          </w:p>
        </w:tc>
        <w:tc>
          <w:tcPr>
            <w:tcW w:w="100" w:type="dxa"/>
            <w:vAlign w:val="bottom"/>
          </w:tcPr>
          <w:p>
            <w:pPr>
              <w:spacing w:after="0"/>
              <w:rPr>
                <w:sz w:val="18"/>
                <w:szCs w:val="18"/>
                <w:color w:val="auto"/>
              </w:rPr>
            </w:pPr>
          </w:p>
        </w:tc>
      </w:tr>
      <w:tr>
        <w:trPr>
          <w:trHeight w:val="27"/>
        </w:trPr>
        <w:tc>
          <w:tcPr>
            <w:tcW w:w="46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88" w:lineRule="exact"/>
        <w:rPr>
          <w:sz w:val="20"/>
          <w:szCs w:val="20"/>
          <w:color w:val="auto"/>
        </w:rPr>
      </w:pPr>
    </w:p>
    <w:p>
      <w:pPr>
        <w:jc w:val="both"/>
        <w:ind w:firstLine="648"/>
        <w:spacing w:after="0" w:line="181" w:lineRule="exact"/>
        <w:rPr>
          <w:sz w:val="20"/>
          <w:szCs w:val="20"/>
          <w:color w:val="auto"/>
        </w:rPr>
      </w:pPr>
      <w:r>
        <w:rPr>
          <w:rFonts w:ascii="Arial" w:cs="Arial" w:eastAsia="Arial" w:hAnsi="Arial"/>
          <w:sz w:val="16"/>
          <w:szCs w:val="16"/>
          <w:color w:val="auto"/>
        </w:rPr>
        <w:t>At December 31, 2015, management determined it was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that the Company will realize its federal, Louisiana and Columbus, Ohio deferred tax assets. The recognition of the federal deferred tax assets during 2015 resulted in an income tax benefit of $80.3 million. Management has determined that it is not more-likely-than-not that the Company will realize its Pennsylvania and West Virginia deferred tax assets. Therefore, a full valuation allowance has been recognized against these deferred tax assets, excluding deferred tax liabilities related to indefinite</w:t>
      </w:r>
      <w:r>
        <w:rPr>
          <w:rFonts w:ascii="MS PGothic" w:cs="MS PGothic" w:eastAsia="MS PGothic" w:hAnsi="MS PGothic"/>
          <w:sz w:val="16"/>
          <w:szCs w:val="16"/>
          <w:color w:val="auto"/>
        </w:rPr>
        <w:t>‑</w:t>
      </w:r>
      <w:r>
        <w:rPr>
          <w:rFonts w:ascii="Arial" w:cs="Arial" w:eastAsia="Arial" w:hAnsi="Arial"/>
          <w:sz w:val="16"/>
          <w:szCs w:val="16"/>
          <w:color w:val="auto"/>
        </w:rPr>
        <w:t>lived assets. These indefinite</w:t>
      </w:r>
      <w:r>
        <w:rPr>
          <w:rFonts w:ascii="MS PGothic" w:cs="MS PGothic" w:eastAsia="MS PGothic" w:hAnsi="MS PGothic"/>
          <w:sz w:val="16"/>
          <w:szCs w:val="16"/>
          <w:color w:val="auto"/>
        </w:rPr>
        <w:t>‑</w:t>
      </w:r>
      <w:r>
        <w:rPr>
          <w:rFonts w:ascii="Arial" w:cs="Arial" w:eastAsia="Arial" w:hAnsi="Arial"/>
          <w:sz w:val="16"/>
          <w:szCs w:val="16"/>
          <w:color w:val="auto"/>
        </w:rPr>
        <w:t>lived assets primarily related to gaming licenses in various jurisdictions. These gaming licenses are not being amortized for book purposes, and will only reverse upon ultimate sale or book impairment. Due to the uncertain timing of such reversal, the temporary differences associated with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intangibles and certain land improvements cannot be considered a source of future taxable income for purposes of determining the valuation allowance.</w:t>
      </w:r>
    </w:p>
    <w:p>
      <w:pPr>
        <w:spacing w:after="0" w:line="16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As of December 31, 2015, the Company had federal and state net operating loss carryforwards of $133.3 million and $40.0 million, respectively. The federal and state net operating losses begin to expire in 2027 and 2018, respectively. As of December 31, 2015, the Company had Alternative Minimum Tax credit carryforwards of $0.6 million, which can be carried forward indefinitely. As of December 31, 2015, the Company had federal jobs credit carryforwards of $0.8 million, which begin to expire in 2026.</w:t>
      </w:r>
    </w:p>
    <w:p>
      <w:pPr>
        <w:spacing w:after="0" w:line="162" w:lineRule="exact"/>
        <w:rPr>
          <w:sz w:val="20"/>
          <w:szCs w:val="20"/>
          <w:color w:val="auto"/>
        </w:rPr>
      </w:pPr>
    </w:p>
    <w:p>
      <w:pPr>
        <w:jc w:val="both"/>
        <w:ind w:firstLine="648"/>
        <w:spacing w:after="0" w:line="194" w:lineRule="exact"/>
        <w:rPr>
          <w:sz w:val="20"/>
          <w:szCs w:val="20"/>
          <w:color w:val="auto"/>
        </w:rPr>
      </w:pPr>
      <w:r>
        <w:rPr>
          <w:rFonts w:ascii="Arial" w:cs="Arial" w:eastAsia="Arial" w:hAnsi="Arial"/>
          <w:sz w:val="16"/>
          <w:szCs w:val="16"/>
          <w:color w:val="auto"/>
        </w:rPr>
        <w:t>Utilization of net operating loss, credit, and other carryforwards are subject to annual limitations due to ownership changes as provided by the Internal Revenue Code of 1986, as amended and similar state provisions. An ownership change is defined as a greater than 50% change in ownership by 5% shareholders in any three</w:t>
      </w:r>
      <w:r>
        <w:rPr>
          <w:rFonts w:ascii="MS PGothic" w:cs="MS PGothic" w:eastAsia="MS PGothic" w:hAnsi="MS PGothic"/>
          <w:sz w:val="16"/>
          <w:szCs w:val="16"/>
          <w:color w:val="auto"/>
        </w:rPr>
        <w:t>‑</w:t>
      </w:r>
      <w:r>
        <w:rPr>
          <w:rFonts w:ascii="Arial" w:cs="Arial" w:eastAsia="Arial" w:hAnsi="Arial"/>
          <w:sz w:val="16"/>
          <w:szCs w:val="16"/>
          <w:color w:val="auto"/>
        </w:rPr>
        <w:t>year period. Under Sections 382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and 383 of the Internal Revenue Code of 1986, as amended, the Company had a “change in ownership” event that limits the utilization of net operating loss, credit, and other carryforwards that were previously available to MTR Gaming Group to offset future taxable income. The “change in ownership” event occurred on September 19, 2014 in connection with the merger with MTR Gaming Group. This limitation resulted in no significant loss of federal attributes, but did result in significant loss of state attributes. The federal and state net operating loss credit and other carryforwards are stated net of limitations.</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of December 31, 2015,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63"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Company files a US federal and various state and local income tax returns. With few exceptions, the Company is no longer subject to US federal or state and local tax examinations by tax authorities for years before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8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b w:val="1"/>
          <w:bCs w:val="1"/>
          <w:i w:val="1"/>
          <w:iCs w:val="1"/>
          <w:color w:val="auto"/>
        </w:rPr>
        <w:t xml:space="preserve">Resorts’ Plans. </w:t>
      </w:r>
      <w:r>
        <w:rPr>
          <w:rFonts w:ascii="Arial" w:cs="Arial" w:eastAsia="Arial" w:hAnsi="Arial"/>
          <w:sz w:val="17"/>
          <w:szCs w:val="17"/>
          <w:color w:val="auto"/>
        </w:rPr>
        <w:t>Resorts participates in a multi-employer savings plan (the “401(k) Plan”) qualified under Sections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401(a) and 401(k) of the Internal Revenue Code of 1986, as amended. The 401(k) Plan in which Resorts participates functions as an aggregation of several single-employer plans in order to enable the participating employers to pool plan assets for investment purposes and to reduce the costs of plan administration. The 401(k) Plan maintains separate accounts for each employer so that each employer’s contributions provide benefits only for its employees. Generally, all employees of Resorts who are 21 years of age or older, who have completed six months and 1,000 hours of service and who are not covered by collective bargaining agreements, including the named executive officers, are eligible to participate in the 401(k) Plan. Employees who elect to participate in the 401(k) Plan may defer up to 100% but not less than 1% of their annual compensation, subject to statutory and certain other limits. Effective February 15, 2009, Resorts ceased making matching contributions to the 401(k) Plan. Effective February 1, 2014, Eldorado Reno reinstated an employer matching contribution up to 25 percent of the first four percent of each participating employee’s compensation. Employees of the Eldorado Shreveport also participate in Resorts’ 401(k) Plan. The plan covering Eldorado Shreveport’s employees allows for an employer contribution up to 50 percent of the first six percent of each participating employee’s contribution, subject to statutory and certain other limits. Resorts’ matching contributions were $0.5 million, $0.4 million and $0.2 million, respectively, for the years ended December 31, 2015, 2014 and 2013.</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b w:val="1"/>
          <w:bCs w:val="1"/>
          <w:i w:val="1"/>
          <w:iCs w:val="1"/>
          <w:color w:val="auto"/>
        </w:rPr>
        <w:t xml:space="preserve">MTR Gaming’s Plans. </w:t>
      </w:r>
      <w:r>
        <w:rPr>
          <w:rFonts w:ascii="Arial" w:cs="Arial" w:eastAsia="Arial" w:hAnsi="Arial"/>
          <w:sz w:val="18"/>
          <w:szCs w:val="18"/>
          <w:color w:val="auto"/>
        </w:rPr>
        <w:t>In December 2008, MTR Gaming established the MTR Gaming Group, Inc. 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(the “MTR Retirement Plan”). At that time, the Mountaineer qualified defined contribution plan and the Scioto Downs’ 401(k) plan were merged into the MTR Retirement Plan. Additionally, the Retirement Plan provides 401(k) participation to Presque Isle Downs’ employees. Matching contributions by MTR Gaming were $0.1 million and $0.1 million for 2015 and the 2014 period subsequent to the Merger Date, respectively.</w:t>
      </w:r>
    </w:p>
    <w:p>
      <w:pPr>
        <w:spacing w:after="0" w:line="162"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Mountaineer’s qualified defined contribution plan (established by West Virginia legislation) covers substantially all of its employees and was merged as a component of the MTR Retirement Plan as previously discussed. Contributions to the plan are based on 1/4% of the race track and simulcast wagering handles and approximately 1% of the net win from gaming operations until the racetrack reaches its Excess Net Terminal Income threshold, which for Mountaineer is approximately $160 million per year based on the state’s June 30 fiscal year. Contributions to the MTR Retirement Plan for the benefit of Mountaineer employees were $1.3 million and $0.4 million for 2015 and for the 2014 period subsequent to the Merger Date, respectively.</w:t>
      </w:r>
    </w:p>
    <w:p>
      <w:pPr>
        <w:spacing w:after="0" w:line="16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Scioto Downs sponsors a noncontributory defined-benefit plan covering all full-time employees meeting certain age and service requirements. On May 31, 2001, the plan was amended to freeze eligibility, accrual of years of service and benefits. Scioto Downs’ pension income during the 2014 period subsequent to the Merger Date was $39,000. As of December 31, 2015, the fair value of the plan assets was $1.1 million and the fair value of the benefit obligations was $0.9 million, resulting in an over-funded status of $0.3 million. The plan assets are comprised primarily of money market and mutual funds whose values are determined based on quoted market prices and are classified in Level 1 of the fair value hierarchy. We did not make cash contributions to the Scioto Downs pension plan during 2015.</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7"/>
          <w:szCs w:val="17"/>
          <w:color w:val="auto"/>
        </w:rPr>
        <w:t>On January 1, 2016 the Company established a new multi</w:t>
      </w:r>
      <w:r>
        <w:rPr>
          <w:rFonts w:ascii="MS PGothic" w:cs="MS PGothic" w:eastAsia="MS PGothic" w:hAnsi="MS PGothic"/>
          <w:sz w:val="17"/>
          <w:szCs w:val="17"/>
          <w:color w:val="auto"/>
        </w:rPr>
        <w:t>‑</w:t>
      </w:r>
      <w:r>
        <w:rPr>
          <w:rFonts w:ascii="Arial" w:cs="Arial" w:eastAsia="Arial" w:hAnsi="Arial"/>
          <w:sz w:val="17"/>
          <w:szCs w:val="17"/>
          <w:color w:val="auto"/>
        </w:rPr>
        <w:t>employer savings plan for all of its employees. The plan covering Resorts’ employees allows for an employer contribution up to 50 percent of the first four percent of each participating employee’s contribution, up to a maximum of $1,000, subject to statutory and certain other limits.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Common Stock and Incentive Awards</w:t>
      </w:r>
    </w:p>
    <w:p>
      <w:pPr>
        <w:spacing w:after="0" w:line="18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Common Stock and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authorized common stock of 100,000,000 shares, par value $0.00001 per share.</w:t>
      </w:r>
    </w:p>
    <w:p>
      <w:pPr>
        <w:spacing w:after="0" w:line="18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 xml:space="preserve">The Company accounts for stock-based compensation in accordance with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Total stock-based compensation expense recognized was $1.5 million during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There was no stock based compensation expense in 2014. These amounts are included in corporate expenses in the Company’s consolidated statements of operations.</w:t>
      </w:r>
    </w:p>
    <w:p>
      <w:pPr>
        <w:spacing w:after="0" w:line="16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 Other stock-based awards will consist of any right which is not an ERI Stock Option, SAR, RSU, or performance award, and an award based on shares of the Company’s common stock.</w:t>
      </w:r>
    </w:p>
    <w:p>
      <w:pPr>
        <w:spacing w:after="0" w:line="16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On January 23, 2015, the Compensation Committee of the BOD of the Company approved the grant of 685,606 RSUs and performance awards with a fair value of $4.03 per unit, the NASDAQ average price per share on that date, to executive officers and certain key employees under the 2015 Plan, and the grant of 89,900 RSUs with a fair value of $4.03 per unit, the NASDAQ average price per share on that date, to non-employee members of the BOD under the 2015 Plan. Such awards became effective upon our shareholders’ approval of the 2015 Plan on June 23, 2015. Throughout 2015, an additional 9,171 RSUs were granted to certain employees under the 2015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RSU activity for the year ended December 31, 2015 is as follows: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0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Grant 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vMerge w:val="restart"/>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Unvested outstanding as of December 31, 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Granted (1)</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917,283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(89,900)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Unvested outstanding as of December 31, 2015</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827,383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40" w:right="2680" w:hanging="4437"/>
        <w:spacing w:after="0" w:line="763" w:lineRule="auto"/>
        <w:tabs>
          <w:tab w:leader="none" w:pos="3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475,409 of performance awards expected to be awarded at 135% of target.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of December 31, 2015, the Company had $2.4 million of unrecognized compensation expense, including performance awards at the 135% target, related to unvested RSUs that is expected to be recognized over a weighted-average period of 2.12 years.</w:t>
      </w:r>
    </w:p>
    <w:p>
      <w:pPr>
        <w:spacing w:after="0" w:line="16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During the first quarter of 2016, an executive officer terminated employment with the Company. In conjunction with the termination, unvested RSU’s totaling 75,516, which were outstanding as of December 31, 2015, subsequently vested. As a result, stock compensation expense totaling $0.3 million and severance costs totaling $0.8 million were recognized during the first quarter of 2016.</w:t>
      </w:r>
    </w:p>
    <w:p>
      <w:pPr>
        <w:spacing w:after="0" w:line="16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On September 19, 2014, as a result of the Merger, all MTR Gaming common stock, par value $0.00001 per share (“MTR Stock”), all options and rights to receive MTR Gaming Stock (each, a “Stock Option”) granted under the MTR Gaming 2010 Long Term Incentive Plan (the “MTR Plan”), and all restricted stock units in respect of shares of MTR Gaming Stock (each, an “MTR RSU”) that were outstanding immediately prior to the Effective Time were converted into a right to receive shares of ERI Stock, or options to acquire ERI Stock, as follows:</w:t>
      </w:r>
    </w:p>
    <w:p>
      <w:pPr>
        <w:spacing w:after="0" w:line="271" w:lineRule="exact"/>
        <w:rPr>
          <w:sz w:val="20"/>
          <w:szCs w:val="20"/>
          <w:color w:val="auto"/>
        </w:rPr>
      </w:pPr>
    </w:p>
    <w:p>
      <w:pPr>
        <w:jc w:val="both"/>
        <w:ind w:left="700" w:hanging="53"/>
        <w:spacing w:after="0" w:line="224" w:lineRule="auto"/>
        <w:rPr>
          <w:sz w:val="20"/>
          <w:szCs w:val="20"/>
          <w:color w:val="auto"/>
        </w:rPr>
      </w:pPr>
      <w:r>
        <w:rPr>
          <w:rFonts w:ascii="Arial" w:cs="Arial" w:eastAsia="Arial" w:hAnsi="Arial"/>
          <w:sz w:val="18"/>
          <w:szCs w:val="18"/>
          <w:color w:val="auto"/>
        </w:rPr>
        <w:t>·5,785,123 shares of MTR Stock converted into a right to receive $6.05 in cash per each share of MTR Stock, and the remaining 22,600,961 shares of MTR Stock converted into the right to receive one share of ERI Common Stock per each share of MTR Stock.</w:t>
      </w:r>
    </w:p>
    <w:p>
      <w:pPr>
        <w:spacing w:after="0" w:line="163" w:lineRule="exact"/>
        <w:rPr>
          <w:sz w:val="20"/>
          <w:szCs w:val="20"/>
          <w:color w:val="auto"/>
        </w:rPr>
      </w:pPr>
    </w:p>
    <w:p>
      <w:pPr>
        <w:jc w:val="both"/>
        <w:ind w:left="700" w:hanging="53"/>
        <w:spacing w:after="0" w:line="219" w:lineRule="auto"/>
        <w:rPr>
          <w:sz w:val="20"/>
          <w:szCs w:val="20"/>
          <w:color w:val="auto"/>
        </w:rPr>
      </w:pPr>
      <w:r>
        <w:rPr>
          <w:rFonts w:ascii="Arial" w:cs="Arial" w:eastAsia="Arial" w:hAnsi="Arial"/>
          <w:sz w:val="18"/>
          <w:szCs w:val="18"/>
          <w:color w:val="auto"/>
        </w:rPr>
        <w:t>·All outstanding MTR Gaming Stock options vested (to the extent not already vested) and converted into an option or right to purchase the same number of shares of ERI Common Stock (at the same exercise price per share as in effect prior to such conversion). All other terms, except vesting requirements, applicable to such stock options remain the same.</w:t>
      </w:r>
    </w:p>
    <w:p>
      <w:pPr>
        <w:spacing w:after="0" w:line="163" w:lineRule="exact"/>
        <w:rPr>
          <w:sz w:val="20"/>
          <w:szCs w:val="20"/>
          <w:color w:val="auto"/>
        </w:rPr>
      </w:pPr>
    </w:p>
    <w:p>
      <w:pPr>
        <w:jc w:val="both"/>
        <w:ind w:left="700" w:hanging="53"/>
        <w:spacing w:after="0" w:line="216" w:lineRule="auto"/>
        <w:rPr>
          <w:sz w:val="20"/>
          <w:szCs w:val="20"/>
          <w:color w:val="auto"/>
        </w:rPr>
      </w:pPr>
      <w:r>
        <w:rPr>
          <w:rFonts w:ascii="Arial" w:cs="Arial" w:eastAsia="Arial" w:hAnsi="Arial"/>
          <w:sz w:val="18"/>
          <w:szCs w:val="18"/>
          <w:color w:val="auto"/>
        </w:rPr>
        <w:t>·Each MTR RSU that was outstanding under the MTR Plan (including any such MTR RSUs held in participant accounts under any employee benefit or compensation plan or arrangement of MTR Gaming) were settled in the same number of shares of ERI stock as the number of shares of MTR Stock that were subject to such MTR RSU immediately prior to the Effective Time. No further vesting, lapse, or other restrictions under the terms of the prior award agreement applicable to such MTR RSU will apply.</w:t>
      </w:r>
    </w:p>
    <w:p>
      <w:pPr>
        <w:spacing w:after="0" w:line="271" w:lineRule="exact"/>
        <w:rPr>
          <w:sz w:val="20"/>
          <w:szCs w:val="20"/>
          <w:color w:val="auto"/>
        </w:rPr>
      </w:pPr>
    </w:p>
    <w:p>
      <w:pPr>
        <w:jc w:val="both"/>
        <w:ind w:firstLine="648"/>
        <w:spacing w:after="0" w:line="187" w:lineRule="exact"/>
        <w:rPr>
          <w:sz w:val="20"/>
          <w:szCs w:val="20"/>
          <w:color w:val="auto"/>
        </w:rPr>
      </w:pPr>
      <w:r>
        <w:rPr>
          <w:rFonts w:ascii="Arial" w:cs="Arial" w:eastAsia="Arial" w:hAnsi="Arial"/>
          <w:sz w:val="16"/>
          <w:szCs w:val="16"/>
          <w:color w:val="auto"/>
        </w:rPr>
        <w:t>Upon consummation of the Mergers, the Company assumed the MTR Plan from MTR Gaming in accordance with the Plan’s terms. No future equity awards will be made pursuant to the MTR Plan. However, outstanding awards granted under the MTR Plan will continue unaffected. Due to the MTR Gaming Stock Options being fully vested immediately prior to the Mergers and no additional equity awards being issued by the Company subsequent to the Merger, the Company did not record any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during the year ended December 31, 2014.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Stock Option activity from the date of the Merger Date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Range of</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7"/>
                <w:szCs w:val="7"/>
                <w:color w:val="auto"/>
              </w:rPr>
            </w:pPr>
          </w:p>
        </w:tc>
        <w:tc>
          <w:tcPr>
            <w:tcW w:w="8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0"/>
              </w:rPr>
              <w:t>Exercise Prices</w:t>
            </w: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Merger Date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474,833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(76,633)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Expired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Outstanding and Exercisable as of December 31, 2014</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398,200</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u w:val="single" w:color="auto"/>
                <w:color w:val="auto"/>
                <w:w w:val="91"/>
              </w:rPr>
              <w:t>$</w:t>
            </w:r>
            <w:r>
              <w:rPr>
                <w:rFonts w:ascii="Arial" w:cs="Arial" w:eastAsia="Arial" w:hAnsi="Arial"/>
                <w:sz w:val="18"/>
                <w:szCs w:val="18"/>
                <w:color w:val="auto"/>
                <w:w w:val="91"/>
              </w:rPr>
              <w:t>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(86,000)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20"/>
                <w:szCs w:val="20"/>
                <w:color w:val="auto"/>
              </w:rPr>
            </w:pPr>
            <w:r>
              <w:rPr>
                <w:rFonts w:ascii="Arial" w:cs="Arial" w:eastAsia="Arial" w:hAnsi="Arial"/>
                <w:sz w:val="18"/>
                <w:szCs w:val="18"/>
                <w:color w:val="auto"/>
              </w:rPr>
              <w:t>Outstanding and Exercisable as of December 31, 2015</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312,200</w:t>
            </w:r>
          </w:p>
        </w:tc>
        <w:tc>
          <w:tcPr>
            <w:tcW w:w="16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u w:val="single" w:color="auto"/>
                <w:color w:val="auto"/>
                <w:w w:val="91"/>
              </w:rPr>
              <w:t>$</w:t>
            </w:r>
            <w:r>
              <w:rPr>
                <w:rFonts w:ascii="Arial" w:cs="Arial" w:eastAsia="Arial" w:hAnsi="Arial"/>
                <w:sz w:val="18"/>
                <w:szCs w:val="18"/>
                <w:color w:val="auto"/>
                <w:w w:val="91"/>
              </w:rPr>
              <w:t>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4420" w:type="dxa"/>
            <w:vAlign w:val="bottom"/>
          </w:tcPr>
          <w:p>
            <w:pPr>
              <w:spacing w:after="0"/>
              <w:rPr>
                <w:sz w:val="24"/>
                <w:szCs w:val="24"/>
                <w:color w:val="auto"/>
              </w:rPr>
            </w:pPr>
          </w:p>
        </w:tc>
        <w:tc>
          <w:tcPr>
            <w:tcW w:w="64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w w:val="89"/>
              </w:rPr>
              <w:t>93</w:t>
            </w: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There were no options exercised in 2015. Cash received from the exercise of stock options was $0.2 million for the year ended December 31, 2014. The Company did not recognize a tax benefit from the stock option exercises as the Company is in a net operating loss carryforward position.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89"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following table illustrates the required disclosure of the reconciliation of the numerators and denominators of the basic and diluted net income per share computations during the years ended December 31, 2015, 2014 and 2013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w:t>
            </w:r>
          </w:p>
        </w:tc>
        <w:tc>
          <w:tcPr>
            <w:tcW w:w="80" w:type="dxa"/>
            <w:vAlign w:val="bottom"/>
            <w:shd w:val="clear" w:color="auto" w:fill="CCEEFF"/>
          </w:tcPr>
          <w:p>
            <w:pPr>
              <w:spacing w:after="0"/>
              <w:rPr>
                <w:sz w:val="19"/>
                <w:szCs w:val="19"/>
                <w:color w:val="auto"/>
              </w:rPr>
            </w:pPr>
          </w:p>
        </w:tc>
      </w:tr>
      <w:tr>
        <w:trPr>
          <w:trHeight w:val="203"/>
        </w:trPr>
        <w:tc>
          <w:tcPr>
            <w:tcW w:w="4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Shares outstanding:</w:t>
            </w:r>
          </w:p>
        </w:tc>
        <w:tc>
          <w:tcPr>
            <w:tcW w:w="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46,550,042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29,901,405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23,311,492</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shares outstanding</w:t>
            </w:r>
          </w:p>
        </w:tc>
        <w:tc>
          <w:tcPr>
            <w:tcW w:w="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47,008,980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29,901,405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23,311,492</w:t>
            </w:r>
          </w:p>
        </w:tc>
        <w:tc>
          <w:tcPr>
            <w:tcW w:w="8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18"/>
                <w:szCs w:val="18"/>
                <w:color w:val="auto"/>
              </w:rPr>
            </w:pPr>
          </w:p>
        </w:tc>
      </w:tr>
      <w:tr>
        <w:trPr>
          <w:trHeight w:val="27"/>
        </w:trPr>
        <w:tc>
          <w:tcPr>
            <w:tcW w:w="4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0.81</w:t>
            </w:r>
          </w:p>
        </w:tc>
        <w:tc>
          <w:tcPr>
            <w:tcW w:w="80" w:type="dxa"/>
            <w:vAlign w:val="bottom"/>
          </w:tcPr>
          <w:p>
            <w:pPr>
              <w:spacing w:after="0"/>
              <w:rPr>
                <w:sz w:val="18"/>
                <w:szCs w:val="18"/>
                <w:color w:val="auto"/>
              </w:rPr>
            </w:pPr>
          </w:p>
        </w:tc>
      </w:tr>
      <w:tr>
        <w:trPr>
          <w:trHeight w:val="27"/>
        </w:trPr>
        <w:tc>
          <w:tcPr>
            <w:tcW w:w="4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88" w:lineRule="exact"/>
        <w:rPr>
          <w:sz w:val="20"/>
          <w:szCs w:val="20"/>
          <w:color w:val="auto"/>
        </w:rPr>
      </w:pPr>
    </w:p>
    <w:p>
      <w:pPr>
        <w:ind w:right="220" w:firstLine="648"/>
        <w:spacing w:after="0" w:line="249" w:lineRule="auto"/>
        <w:rPr>
          <w:sz w:val="20"/>
          <w:szCs w:val="20"/>
          <w:color w:val="auto"/>
        </w:rPr>
      </w:pPr>
      <w:r>
        <w:rPr>
          <w:rFonts w:ascii="Arial" w:cs="Arial" w:eastAsia="Arial" w:hAnsi="Arial"/>
          <w:sz w:val="16"/>
          <w:szCs w:val="16"/>
          <w:color w:val="auto"/>
        </w:rPr>
        <w:t>As the accounting acquirer in the Merger and in accordance with the applicable accounting guidance in ASC 805, for purposes of computing comparative earnings per share, the Company has presented the historical weighted average number of common shares outstanding multiplied by the exchange ratio established in the Merger Agreement (see Note 3) for the year ended December 31, 2013. At the Merger Date, there were no dilutive securities outstanding.</w:t>
      </w:r>
    </w:p>
    <w:p>
      <w:pPr>
        <w:spacing w:after="0" w:line="11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148"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The Company’s accumulated other comprehensive loss is related to the Scioto Downs defined benefit pension plan. A summary of the change in accumulated other comprehensive income during the year ended December 31, 2015 is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before reclassifications, net of tax of $2</w:t>
            </w:r>
          </w:p>
        </w:tc>
        <w:tc>
          <w:tcPr>
            <w:tcW w:w="15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5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189"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6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 Cash equivalents include investments in money market funds. Investments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can be redeemed immediately 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The credit support deposit was classified as Level 1 as its carrying value approximates market</w:t>
      </w:r>
    </w:p>
    <w:p>
      <w:pPr>
        <w:spacing w:after="0"/>
        <w:rPr>
          <w:sz w:val="20"/>
          <w:szCs w:val="20"/>
          <w:color w:val="auto"/>
        </w:rPr>
      </w:pPr>
      <w:r>
        <w:rPr>
          <w:rFonts w:ascii="Arial" w:cs="Arial" w:eastAsia="Arial" w:hAnsi="Arial"/>
          <w:sz w:val="18"/>
          <w:szCs w:val="18"/>
          <w:color w:val="auto"/>
        </w:rPr>
        <w:t>prices.</w:t>
      </w:r>
    </w:p>
    <w:p>
      <w:pPr>
        <w:spacing w:after="0" w:line="169"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i w:val="1"/>
          <w:iCs w:val="1"/>
          <w:color w:val="auto"/>
        </w:rPr>
        <w:t xml:space="preserve">Advance to Silver Legacy Joint Venture: </w:t>
      </w:r>
      <w:r>
        <w:rPr>
          <w:rFonts w:ascii="Arial" w:cs="Arial" w:eastAsia="Arial" w:hAnsi="Arial"/>
          <w:sz w:val="18"/>
          <w:szCs w:val="18"/>
          <w:color w:val="auto"/>
        </w:rPr>
        <w:t>The $7.5 million note receivable, which was settled at the Acquisition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Circus Reno/Silver Legacy Purchase, due to ELLC from the Silver Legacy Joint Venture (see Note 5) was classified as Level 2 based upon market</w:t>
      </w:r>
      <w:r>
        <w:rPr>
          <w:rFonts w:ascii="MS PGothic" w:cs="MS PGothic" w:eastAsia="MS PGothic" w:hAnsi="MS PGothic"/>
          <w:sz w:val="18"/>
          <w:szCs w:val="18"/>
          <w:color w:val="auto"/>
        </w:rPr>
        <w:t>‑</w:t>
      </w:r>
      <w:r>
        <w:rPr>
          <w:rFonts w:ascii="Arial" w:cs="Arial" w:eastAsia="Arial" w:hAnsi="Arial"/>
          <w:sz w:val="18"/>
          <w:szCs w:val="18"/>
          <w:color w:val="auto"/>
        </w:rPr>
        <w:t>based inputs.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18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term Debt</w:t>
      </w:r>
      <w:r>
        <w:rPr>
          <w:rFonts w:ascii="Arial" w:cs="Arial" w:eastAsia="Arial" w:hAnsi="Arial"/>
          <w:sz w:val="18"/>
          <w:szCs w:val="18"/>
          <w:color w:val="auto"/>
        </w:rPr>
        <w:t>: The $375 million in aggregate principal amount of Senior Notes, Resorts Senior Secured Notes and MTR</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Notes were classified as Level 2 based upon market</w:t>
      </w:r>
      <w:r>
        <w:rPr>
          <w:rFonts w:ascii="MS PGothic" w:cs="MS PGothic" w:eastAsia="MS PGothic" w:hAnsi="MS PGothic"/>
          <w:sz w:val="18"/>
          <w:szCs w:val="18"/>
          <w:color w:val="auto"/>
        </w:rPr>
        <w:t>‑</w:t>
      </w:r>
      <w:r>
        <w:rPr>
          <w:rFonts w:ascii="Arial" w:cs="Arial" w:eastAsia="Arial" w:hAnsi="Arial"/>
          <w:sz w:val="18"/>
          <w:szCs w:val="18"/>
          <w:color w:val="auto"/>
        </w:rPr>
        <w:t>based inputs. The fair value of the Senior Notes was calculated based on management’s estimates of the borrowing rates available as of December 31, 2015, for debt with similar terms and maturities. The fair value of Resorts Senior Secured Notes and the MTR Second Lien Notes were based on quoted market prices as of December 31, 2014.</w:t>
      </w:r>
    </w:p>
    <w:p>
      <w:pPr>
        <w:spacing w:after="0" w:line="162"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 Resorts’ term loan under the New Credit Facility (see Note 9) is classified as Level 2 as it is tied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rates of interest and its carrying value approximates market value.</w:t>
      </w:r>
    </w:p>
    <w:p>
      <w:pPr>
        <w:spacing w:after="0" w:line="16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Resorts’ revolving credit facility under the New Credit Facility (see Note 9) is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Level 2 as it is tied to market rates of interest and its carrying value approximates market value.</w:t>
      </w:r>
    </w:p>
    <w:p>
      <w:pPr>
        <w:spacing w:after="0" w:line="162" w:lineRule="exact"/>
        <w:rPr>
          <w:sz w:val="20"/>
          <w:szCs w:val="20"/>
          <w:color w:val="auto"/>
        </w:rPr>
      </w:pPr>
    </w:p>
    <w:p>
      <w:pPr>
        <w:jc w:val="both"/>
        <w:ind w:right="120" w:firstLine="648"/>
        <w:spacing w:after="0" w:line="187" w:lineRule="exact"/>
        <w:rPr>
          <w:sz w:val="20"/>
          <w:szCs w:val="20"/>
          <w:color w:val="auto"/>
        </w:rPr>
      </w:pPr>
      <w:r>
        <w:rPr>
          <w:rFonts w:ascii="Arial" w:cs="Arial" w:eastAsia="Arial" w:hAnsi="Arial"/>
          <w:sz w:val="18"/>
          <w:szCs w:val="18"/>
          <w:i w:val="1"/>
          <w:iCs w:val="1"/>
          <w:color w:val="auto"/>
        </w:rPr>
        <w:t>Acquisition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Related Contingent Considerations</w:t>
      </w:r>
      <w:r>
        <w:rPr>
          <w:rFonts w:ascii="Arial" w:cs="Arial" w:eastAsia="Arial" w:hAnsi="Arial"/>
          <w:sz w:val="18"/>
          <w:szCs w:val="18"/>
          <w:color w:val="auto"/>
        </w:rPr>
        <w:t>: Contingent consideration related to the July 2003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Scioto Downs represents the estimate of amounts to be paid to former stockholders of Scioto Downs under certain earn</w:t>
      </w:r>
      <w:r>
        <w:rPr>
          <w:rFonts w:ascii="MS PGothic" w:cs="MS PGothic" w:eastAsia="MS PGothic" w:hAnsi="MS PGothic"/>
          <w:sz w:val="18"/>
          <w:szCs w:val="18"/>
          <w:color w:val="auto"/>
        </w:rPr>
        <w:t>‑</w:t>
      </w:r>
      <w:r>
        <w:rPr>
          <w:rFonts w:ascii="Arial" w:cs="Arial" w:eastAsia="Arial" w:hAnsi="Arial"/>
          <w:sz w:val="18"/>
          <w:szCs w:val="18"/>
          <w:color w:val="auto"/>
        </w:rPr>
        <w:t>out provisions. We consider the acquisition</w:t>
      </w:r>
      <w:r>
        <w:rPr>
          <w:rFonts w:ascii="MS PGothic" w:cs="MS PGothic" w:eastAsia="MS PGothic" w:hAnsi="MS PGothic"/>
          <w:sz w:val="18"/>
          <w:szCs w:val="18"/>
          <w:color w:val="auto"/>
        </w:rPr>
        <w:t>‑</w:t>
      </w:r>
      <w:r>
        <w:rPr>
          <w:rFonts w:ascii="Arial" w:cs="Arial" w:eastAsia="Arial" w:hAnsi="Arial"/>
          <w:sz w:val="18"/>
          <w:szCs w:val="18"/>
          <w:color w:val="auto"/>
        </w:rPr>
        <w:t>related contingency’s fair value measurement, which includes forecast assumptions, to be Level 3 within the fair value hierarchy. The fair value of the acquisition</w:t>
      </w:r>
      <w:r>
        <w:rPr>
          <w:rFonts w:ascii="MS PGothic" w:cs="MS PGothic" w:eastAsia="MS PGothic" w:hAnsi="MS PGothic"/>
          <w:sz w:val="18"/>
          <w:szCs w:val="18"/>
          <w:color w:val="auto"/>
        </w:rPr>
        <w:t>‑</w:t>
      </w:r>
      <w:r>
        <w:rPr>
          <w:rFonts w:ascii="Arial" w:cs="Arial" w:eastAsia="Arial" w:hAnsi="Arial"/>
          <w:sz w:val="18"/>
          <w:szCs w:val="18"/>
          <w:color w:val="auto"/>
        </w:rPr>
        <w:t>related contingent consideration was based on its fair value as of the Merger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4"/>
                <w:szCs w:val="14"/>
                <w:color w:val="auto"/>
              </w:rPr>
            </w:pPr>
          </w:p>
        </w:tc>
      </w:tr>
      <w:tr>
        <w:trPr>
          <w:trHeight w:val="183"/>
        </w:trPr>
        <w:tc>
          <w:tcPr>
            <w:tcW w:w="4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w:t>
            </w:r>
          </w:p>
        </w:tc>
      </w:tr>
      <w:tr>
        <w:trPr>
          <w:trHeight w:val="162"/>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87,604</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8,234</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to Silver Legacy Joint Venture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Financial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7.0% Senior Notes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366,043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367,500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New Term Loan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408,410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419,796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Revolving Credit Facility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8.625% Senior Secured Notes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164,229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174,720</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11.5% Senior Secured Second Lien Notes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610,827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606,919</w:t>
            </w:r>
          </w:p>
        </w:tc>
        <w:tc>
          <w:tcPr>
            <w:tcW w:w="80" w:type="dxa"/>
            <w:vAlign w:val="bottom"/>
            <w:shd w:val="clear" w:color="auto" w:fill="CCEEFF"/>
          </w:tcPr>
          <w:p>
            <w:pPr>
              <w:spacing w:after="0"/>
              <w:rPr>
                <w:sz w:val="18"/>
                <w:szCs w:val="18"/>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8"/>
                <w:szCs w:val="18"/>
                <w:color w:val="auto"/>
              </w:rPr>
              <w:t>Acquisition-related contingent considerations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21"/>
                <w:szCs w:val="21"/>
                <w:color w:val="auto"/>
              </w:rPr>
            </w:pPr>
          </w:p>
        </w:tc>
      </w:tr>
    </w:tbl>
    <w:p>
      <w:pPr>
        <w:spacing w:after="0" w:line="337" w:lineRule="exact"/>
        <w:rPr>
          <w:sz w:val="20"/>
          <w:szCs w:val="20"/>
          <w:color w:val="auto"/>
        </w:rPr>
      </w:pPr>
    </w:p>
    <w:p>
      <w:pPr>
        <w:jc w:val="both"/>
        <w:ind w:firstLine="648"/>
        <w:spacing w:after="0" w:line="203" w:lineRule="exact"/>
        <w:rPr>
          <w:sz w:val="20"/>
          <w:szCs w:val="20"/>
          <w:color w:val="auto"/>
        </w:rPr>
      </w:pPr>
      <w:r>
        <w:rPr>
          <w:rFonts w:ascii="Arial" w:cs="Arial" w:eastAsia="Arial" w:hAnsi="Arial"/>
          <w:sz w:val="18"/>
          <w:szCs w:val="18"/>
          <w:color w:val="auto"/>
        </w:rPr>
        <w:t>The following table represents the change in acquisition</w:t>
      </w:r>
      <w:r>
        <w:rPr>
          <w:rFonts w:ascii="MS PGothic" w:cs="MS PGothic" w:eastAsia="MS PGothic" w:hAnsi="MS PGothic"/>
          <w:sz w:val="18"/>
          <w:szCs w:val="18"/>
          <w:color w:val="auto"/>
        </w:rPr>
        <w:t>‑</w:t>
      </w:r>
      <w:r>
        <w:rPr>
          <w:rFonts w:ascii="Arial" w:cs="Arial" w:eastAsia="Arial" w:hAnsi="Arial"/>
          <w:sz w:val="18"/>
          <w:szCs w:val="18"/>
          <w:color w:val="auto"/>
        </w:rPr>
        <w:t>related contingent consideration liabilities during the period from the Merger Date to December 31, 2015 (amounts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Merger Date</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Amortization of present value discount(1)</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adjustment for change in consideration expected to be paid(2)</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Amortization of present value discount(1)</w:t>
            </w: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adjustment for change in consideration expected to be paid(2)</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Settlements</w:t>
            </w:r>
          </w:p>
        </w:tc>
        <w:tc>
          <w:tcPr>
            <w:tcW w:w="1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r>
      <w:tr>
        <w:trPr>
          <w:trHeight w:val="27"/>
        </w:trPr>
        <w:tc>
          <w:tcPr>
            <w:tcW w:w="66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60" w:hanging="254"/>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in present value are included as a component of interest expense in the consolidated statements of operations.</w:t>
      </w:r>
    </w:p>
    <w:p>
      <w:pPr>
        <w:spacing w:after="0" w:line="234" w:lineRule="exact"/>
        <w:rPr>
          <w:rFonts w:ascii="Arial" w:cs="Arial" w:eastAsia="Arial" w:hAnsi="Arial"/>
          <w:sz w:val="16"/>
          <w:szCs w:val="16"/>
          <w:color w:val="auto"/>
        </w:rPr>
      </w:pPr>
    </w:p>
    <w:p>
      <w:pPr>
        <w:ind w:left="360" w:right="400" w:hanging="254"/>
        <w:spacing w:after="0" w:line="235" w:lineRule="auto"/>
        <w:tabs>
          <w:tab w:leader="none" w:pos="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recorded as a component of general and administrative expense in the consolidated statements of operations.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Leases. </w:t>
      </w:r>
      <w:r>
        <w:rPr>
          <w:rFonts w:ascii="Arial" w:cs="Arial" w:eastAsia="Arial" w:hAnsi="Arial"/>
          <w:sz w:val="16"/>
          <w:szCs w:val="16"/>
          <w:color w:val="auto"/>
        </w:rPr>
        <w:t>The Company leases certain equipment under agreements classified as capital leases. The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minimum lease payments, including interest, at December 31, 2015 are $0.3 million in 2016, 2017 and 2018. After reducing these amounts for interest of $0.1 million, the present value of the minimum lease payments at December 31, 2015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$0.8 million.</w:t>
      </w:r>
    </w:p>
    <w:p>
      <w:pPr>
        <w:spacing w:after="0" w:line="182"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The Company leases land and certain equipment, including some of our slot machines, timing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photo finish equipment, videotape and closed circuit television equipment, and certain pari</w:t>
      </w:r>
      <w:r>
        <w:rPr>
          <w:rFonts w:ascii="MS PGothic" w:cs="MS PGothic" w:eastAsia="MS PGothic" w:hAnsi="MS PGothic"/>
          <w:sz w:val="18"/>
          <w:szCs w:val="18"/>
          <w:color w:val="auto"/>
        </w:rPr>
        <w:t>‑</w:t>
      </w:r>
      <w:r>
        <w:rPr>
          <w:rFonts w:ascii="Arial" w:cs="Arial" w:eastAsia="Arial" w:hAnsi="Arial"/>
          <w:sz w:val="18"/>
          <w:szCs w:val="18"/>
          <w:color w:val="auto"/>
        </w:rPr>
        <w:t>mutuel equipment, under operating leases. Future minimum payments under non</w:t>
      </w:r>
      <w:r>
        <w:rPr>
          <w:rFonts w:ascii="MS PGothic" w:cs="MS PGothic" w:eastAsia="MS PGothic" w:hAnsi="MS PGothic"/>
          <w:sz w:val="18"/>
          <w:szCs w:val="18"/>
          <w:color w:val="auto"/>
        </w:rPr>
        <w:t>‑</w:t>
      </w:r>
      <w:r>
        <w:rPr>
          <w:rFonts w:ascii="Arial" w:cs="Arial" w:eastAsia="Arial" w:hAnsi="Arial"/>
          <w:sz w:val="18"/>
          <w:szCs w:val="18"/>
          <w:color w:val="auto"/>
        </w:rPr>
        <w:t>cancellable operating leases with initial terms of one year or more consisted of the following at December 31, 2015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4"/>
                <w:szCs w:val="14"/>
                <w:color w:val="auto"/>
              </w:rPr>
            </w:pPr>
          </w:p>
        </w:tc>
      </w:tr>
      <w:tr>
        <w:trPr>
          <w:trHeight w:val="210"/>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2017</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8"/>
                <w:szCs w:val="18"/>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2018</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2019</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2020</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Thereafter</w:t>
            </w:r>
          </w:p>
        </w:tc>
        <w:tc>
          <w:tcPr>
            <w:tcW w:w="3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25,942</w:t>
            </w:r>
          </w:p>
        </w:tc>
        <w:tc>
          <w:tcPr>
            <w:tcW w:w="120" w:type="dxa"/>
            <w:vAlign w:val="bottom"/>
            <w:tcBorders>
              <w:bottom w:val="single" w:sz="8" w:color="CCEEFF"/>
            </w:tcBorders>
          </w:tcPr>
          <w:p>
            <w:pPr>
              <w:spacing w:after="0"/>
              <w:rPr>
                <w:sz w:val="18"/>
                <w:szCs w:val="18"/>
                <w:color w:val="auto"/>
              </w:rPr>
            </w:pPr>
          </w:p>
        </w:tc>
      </w:tr>
      <w:tr>
        <w:trPr>
          <w:trHeight w:val="210"/>
        </w:trPr>
        <w:tc>
          <w:tcPr>
            <w:tcW w:w="44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120" w:type="dxa"/>
            <w:vAlign w:val="bottom"/>
            <w:shd w:val="clear" w:color="auto" w:fill="CCEEFF"/>
          </w:tcPr>
          <w:p>
            <w:pPr>
              <w:spacing w:after="0"/>
              <w:rPr>
                <w:sz w:val="18"/>
                <w:szCs w:val="18"/>
                <w:color w:val="auto"/>
              </w:rPr>
            </w:pPr>
          </w:p>
        </w:tc>
      </w:tr>
      <w:tr>
        <w:trPr>
          <w:trHeight w:val="27"/>
        </w:trPr>
        <w:tc>
          <w:tcPr>
            <w:tcW w:w="44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Total rental expense under operating leases (exclusive of the Shreveport ground lease described below) was $3.7 million, $2.3 million and $1.6 million for the years ended December 31, 2015, 2014 and 2013, respectively. Additional rent for land upon which the Eldorado Reno resides of $0.6 million in each of the years ended December 31, 2015, 2014 and 2013 was paid to C. S. &amp; Y. Associates, a general partnership of which Donald L. Carano is a general partner (see Note 17). This rental agreement expires June 30, 2027 and the rental payments are more fully described in Note 17, Related Parties.</w:t>
      </w:r>
    </w:p>
    <w:p>
      <w:pPr>
        <w:spacing w:after="0" w:line="159" w:lineRule="exact"/>
        <w:rPr>
          <w:sz w:val="20"/>
          <w:szCs w:val="20"/>
          <w:color w:val="auto"/>
        </w:rPr>
      </w:pPr>
    </w:p>
    <w:p>
      <w:pPr>
        <w:ind w:right="380" w:firstLine="648"/>
        <w:spacing w:after="0" w:line="239" w:lineRule="auto"/>
        <w:rPr>
          <w:sz w:val="20"/>
          <w:szCs w:val="20"/>
          <w:color w:val="auto"/>
        </w:rPr>
      </w:pPr>
      <w:r>
        <w:rPr>
          <w:rFonts w:ascii="Arial" w:cs="Arial" w:eastAsia="Arial" w:hAnsi="Arial"/>
          <w:sz w:val="16"/>
          <w:szCs w:val="16"/>
          <w:color w:val="auto"/>
        </w:rPr>
        <w:t>Eldorado Shreveport is party to a ground lease with the City of Shreveport for the land on which the casino was built. The lease had an initial term which ended December 20, 2010 with subsequent renewals for up to an additional</w:t>
      </w:r>
    </w:p>
    <w:p>
      <w:pPr>
        <w:spacing w:after="0" w:line="229" w:lineRule="auto"/>
        <w:rPr>
          <w:sz w:val="20"/>
          <w:szCs w:val="20"/>
          <w:color w:val="auto"/>
        </w:rPr>
      </w:pPr>
      <w:r>
        <w:rPr>
          <w:rFonts w:ascii="Arial" w:cs="Arial" w:eastAsia="Arial" w:hAnsi="Arial"/>
          <w:sz w:val="16"/>
          <w:szCs w:val="16"/>
          <w:color w:val="auto"/>
        </w:rPr>
        <w:t>40 years. The base rental amount during the initial ten-year lease term was $0.5 million per year. The Louisiana Partnership</w:t>
      </w:r>
    </w:p>
    <w:p>
      <w:pPr>
        <w:spacing w:after="0" w:line="229" w:lineRule="auto"/>
        <w:rPr>
          <w:sz w:val="20"/>
          <w:szCs w:val="20"/>
          <w:color w:val="auto"/>
        </w:rPr>
      </w:pPr>
      <w:r>
        <w:rPr>
          <w:rFonts w:ascii="Arial" w:cs="Arial" w:eastAsia="Arial" w:hAnsi="Arial"/>
          <w:sz w:val="16"/>
          <w:szCs w:val="16"/>
          <w:color w:val="auto"/>
        </w:rPr>
        <w:t>has extended the lease for the first five-year renewal term during which the base annual rental is $0.4 million. The annual</w:t>
      </w:r>
    </w:p>
    <w:p>
      <w:pPr>
        <w:spacing w:after="0" w:line="176" w:lineRule="exact"/>
        <w:rPr>
          <w:sz w:val="20"/>
          <w:szCs w:val="20"/>
          <w:color w:val="auto"/>
        </w:rPr>
      </w:pPr>
      <w:r>
        <w:rPr>
          <w:rFonts w:ascii="Arial" w:cs="Arial" w:eastAsia="Arial" w:hAnsi="Arial"/>
          <w:sz w:val="17"/>
          <w:szCs w:val="17"/>
          <w:color w:val="auto"/>
        </w:rPr>
        <w:t>base rental payment will increase by 15% during each of the second, third, fourth and fifth five</w:t>
      </w:r>
      <w:r>
        <w:rPr>
          <w:rFonts w:ascii="MS PGothic" w:cs="MS PGothic" w:eastAsia="MS PGothic" w:hAnsi="MS PGothic"/>
          <w:sz w:val="17"/>
          <w:szCs w:val="17"/>
          <w:color w:val="auto"/>
        </w:rPr>
        <w:t>‑</w:t>
      </w:r>
      <w:r>
        <w:rPr>
          <w:rFonts w:ascii="Arial" w:cs="Arial" w:eastAsia="Arial" w:hAnsi="Arial"/>
          <w:sz w:val="17"/>
          <w:szCs w:val="17"/>
          <w:color w:val="auto"/>
        </w:rPr>
        <w:t>year renewal terms with</w:t>
      </w:r>
    </w:p>
    <w:p>
      <w:pPr>
        <w:spacing w:after="0" w:line="176" w:lineRule="exact"/>
        <w:rPr>
          <w:sz w:val="20"/>
          <w:szCs w:val="20"/>
          <w:color w:val="auto"/>
        </w:rPr>
      </w:pPr>
      <w:r>
        <w:rPr>
          <w:rFonts w:ascii="Arial" w:cs="Arial" w:eastAsia="Arial" w:hAnsi="Arial"/>
          <w:sz w:val="16"/>
          <w:szCs w:val="16"/>
          <w:color w:val="auto"/>
        </w:rPr>
        <w:t>no further increases. The base rental portion of the ground lease is being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In addition to the</w:t>
      </w:r>
    </w:p>
    <w:p>
      <w:pPr>
        <w:spacing w:after="0" w:line="229" w:lineRule="auto"/>
        <w:rPr>
          <w:sz w:val="20"/>
          <w:szCs w:val="20"/>
          <w:color w:val="auto"/>
        </w:rPr>
      </w:pPr>
      <w:r>
        <w:rPr>
          <w:rFonts w:ascii="Arial" w:cs="Arial" w:eastAsia="Arial" w:hAnsi="Arial"/>
          <w:sz w:val="16"/>
          <w:szCs w:val="16"/>
          <w:color w:val="auto"/>
        </w:rPr>
        <w:t>base rent, the lease requires percentage rent based on adjusted gross receipts to the City of Shreveport and payments in lieu of</w:t>
      </w:r>
    </w:p>
    <w:p>
      <w:pPr>
        <w:spacing w:after="0" w:line="229" w:lineRule="auto"/>
        <w:rPr>
          <w:sz w:val="20"/>
          <w:szCs w:val="20"/>
          <w:color w:val="auto"/>
        </w:rPr>
      </w:pPr>
      <w:r>
        <w:rPr>
          <w:rFonts w:ascii="Arial" w:cs="Arial" w:eastAsia="Arial" w:hAnsi="Arial"/>
          <w:sz w:val="16"/>
          <w:szCs w:val="16"/>
          <w:color w:val="auto"/>
        </w:rPr>
        <w:t>admission fees to the City of Shreveport and the Bossier Parish School Board. Expenses under the terms of the ground lease</w:t>
      </w:r>
    </w:p>
    <w:p>
      <w:pPr>
        <w:spacing w:after="0"/>
        <w:rPr>
          <w:sz w:val="20"/>
          <w:szCs w:val="20"/>
          <w:color w:val="auto"/>
        </w:rPr>
      </w:pPr>
      <w:r>
        <w:rPr>
          <w:rFonts w:ascii="Arial" w:cs="Arial" w:eastAsia="Arial" w:hAnsi="Arial"/>
          <w:sz w:val="18"/>
          <w:szCs w:val="18"/>
          <w:color w:val="auto"/>
        </w:rPr>
        <w:t>are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8"/>
          </w:tcPr>
          <w:p>
            <w:pPr>
              <w:ind w:left="240"/>
              <w:spacing w:after="0"/>
              <w:rPr>
                <w:sz w:val="20"/>
                <w:szCs w:val="20"/>
                <w:color w:val="auto"/>
              </w:rPr>
            </w:pPr>
            <w:r>
              <w:rPr>
                <w:rFonts w:ascii="Arial" w:cs="Arial" w:eastAsia="Arial" w:hAnsi="Arial"/>
                <w:sz w:val="14"/>
                <w:szCs w:val="14"/>
                <w:b w:val="1"/>
                <w:bCs w:val="1"/>
                <w:color w:val="auto"/>
              </w:rPr>
              <w:t>For the year ended December 31,</w:t>
            </w:r>
          </w:p>
        </w:tc>
      </w:tr>
      <w:tr>
        <w:trPr>
          <w:trHeight w:val="129"/>
        </w:trPr>
        <w:tc>
          <w:tcPr>
            <w:tcW w:w="490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1"/>
                <w:szCs w:val="1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Ground lease:</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Base rent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80" w:type="dxa"/>
            <w:vAlign w:val="bottom"/>
            <w:tcBorders>
              <w:bottom w:val="single" w:sz="8" w:color="CCEEFF"/>
            </w:tcBorders>
          </w:tcPr>
          <w:p>
            <w:pPr>
              <w:spacing w:after="0"/>
              <w:rPr>
                <w:sz w:val="18"/>
                <w:szCs w:val="18"/>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Payment in lieu of admissions fees and school taxes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80" w:type="dxa"/>
            <w:vAlign w:val="bottom"/>
            <w:shd w:val="clear" w:color="auto" w:fill="CCEEFF"/>
          </w:tcPr>
          <w:p>
            <w:pPr>
              <w:spacing w:after="0"/>
              <w:rPr>
                <w:sz w:val="18"/>
                <w:szCs w:val="18"/>
                <w:color w:val="auto"/>
              </w:rPr>
            </w:pPr>
          </w:p>
        </w:tc>
      </w:tr>
      <w:tr>
        <w:trPr>
          <w:trHeight w:val="27"/>
        </w:trPr>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b w:val="1"/>
          <w:bCs w:val="1"/>
          <w:i w:val="1"/>
          <w:iCs w:val="1"/>
          <w:color w:val="auto"/>
        </w:rPr>
        <w:t xml:space="preserve">Bond Requirements. </w:t>
      </w:r>
      <w:r>
        <w:rPr>
          <w:rFonts w:ascii="Arial" w:cs="Arial" w:eastAsia="Arial" w:hAnsi="Arial"/>
          <w:sz w:val="18"/>
          <w:szCs w:val="18"/>
          <w:color w:val="auto"/>
        </w:rPr>
        <w:t>Mountaineer is required to maintain bonds in the aggregate amount of $1.1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the West Virginia Lottery Commission, Presque Isle Downs is required to maintain a slot machine payment bond for the benefit of the Commonwealth of Pennsylvania in the amount of $1.0 million and Scioto Downs is required to maintain a VLT license bond for the benefit of the Ohio Lottery Commission in the amount of $1.0 million. The bonding requirements have been satisfied via the issuance of surety bonds.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We are a party to various lawsuits, which have arisen in the normal course of our business.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3" w:lineRule="exact"/>
        <w:rPr>
          <w:sz w:val="20"/>
          <w:szCs w:val="20"/>
          <w:color w:val="auto"/>
        </w:rPr>
      </w:pPr>
    </w:p>
    <w:p>
      <w:pPr>
        <w:ind w:right="340" w:firstLine="648"/>
        <w:spacing w:after="0" w:line="258" w:lineRule="auto"/>
        <w:rPr>
          <w:sz w:val="20"/>
          <w:szCs w:val="20"/>
          <w:color w:val="auto"/>
        </w:rPr>
      </w:pPr>
      <w:r>
        <w:rPr>
          <w:rFonts w:ascii="Arial" w:cs="Arial" w:eastAsia="Arial" w:hAnsi="Arial"/>
          <w:sz w:val="17"/>
          <w:szCs w:val="17"/>
          <w:b w:val="1"/>
          <w:bCs w:val="1"/>
          <w:i w:val="1"/>
          <w:iCs w:val="1"/>
          <w:color w:val="auto"/>
        </w:rPr>
        <w:t xml:space="preserve">Collective Bargaining Agreements. </w:t>
      </w:r>
      <w:r>
        <w:rPr>
          <w:rFonts w:ascii="Arial" w:cs="Arial" w:eastAsia="Arial" w:hAnsi="Arial"/>
          <w:sz w:val="17"/>
          <w:szCs w:val="17"/>
          <w:color w:val="auto"/>
        </w:rPr>
        <w:t>As of December 31, 2015, we had approximately 7,800 employees.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date, we had 11 collective bargaining agreements covering approximately 1,100 employees.</w:t>
      </w:r>
    </w:p>
    <w:p>
      <w:pPr>
        <w:spacing w:after="0" w:line="14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b w:val="1"/>
          <w:bCs w:val="1"/>
          <w:i w:val="1"/>
          <w:iCs w:val="1"/>
          <w:color w:val="auto"/>
        </w:rPr>
        <w:t>Ohio Gaming Referendum Challenge</w:t>
      </w:r>
      <w:r>
        <w:rPr>
          <w:rFonts w:ascii="Arial" w:cs="Arial" w:eastAsia="Arial" w:hAnsi="Arial"/>
          <w:sz w:val="16"/>
          <w:szCs w:val="16"/>
          <w:color w:val="auto"/>
        </w:rPr>
        <w:t>. On October 21, 2011, the Ohio Roundtable filed a complaint in the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 however, the plaintiffs filed an appeal and oral arguments were held on January 17, 2013 in the 10</w:t>
      </w:r>
      <w:r>
        <w:rPr>
          <w:rFonts w:ascii="Arial" w:cs="Arial" w:eastAsia="Arial" w:hAnsi="Arial"/>
          <w:sz w:val="7"/>
          <w:szCs w:val="7"/>
          <w:color w:val="auto"/>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In response to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which was filed jointly by Appellees, the remaining propositions of law were briefed by the parties and oral argument before the Ohio Supreme Court was held on June 23, 2015. A decision on the case has not been issued by the Ohio Supreme Court.</w:t>
      </w:r>
    </w:p>
    <w:p>
      <w:pPr>
        <w:spacing w:after="0" w:line="166" w:lineRule="exact"/>
        <w:rPr>
          <w:sz w:val="20"/>
          <w:szCs w:val="20"/>
          <w:color w:val="auto"/>
        </w:rPr>
      </w:pPr>
    </w:p>
    <w:p>
      <w:pPr>
        <w:ind w:right="20" w:firstLine="648"/>
        <w:spacing w:after="0" w:line="177" w:lineRule="exact"/>
        <w:rPr>
          <w:sz w:val="20"/>
          <w:szCs w:val="20"/>
          <w:color w:val="auto"/>
        </w:rPr>
      </w:pPr>
      <w:r>
        <w:rPr>
          <w:rFonts w:ascii="Arial" w:cs="Arial" w:eastAsia="Arial" w:hAnsi="Arial"/>
          <w:sz w:val="16"/>
          <w:szCs w:val="16"/>
          <w:b w:val="1"/>
          <w:bCs w:val="1"/>
          <w:i w:val="1"/>
          <w:iCs w:val="1"/>
          <w:color w:val="auto"/>
        </w:rPr>
        <w:t xml:space="preserve">Environmental Remediation. </w:t>
      </w:r>
      <w:r>
        <w:rPr>
          <w:rFonts w:ascii="Arial" w:cs="Arial" w:eastAsia="Arial" w:hAnsi="Arial"/>
          <w:sz w:val="16"/>
          <w:szCs w:val="16"/>
          <w:color w:val="auto"/>
        </w:rPr>
        <w:t>In October 2004, the Company acquired 229 acres of real property, known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Paper site, as an alternative site to build Presque Isle Downs. In connection with the acquisition of the International Paper site, the Company entered into a consent order and decree (the “Consent Order”) with the PaDEP and International Paper insulating us from liability for certain pre</w:t>
      </w:r>
      <w:r>
        <w:rPr>
          <w:rFonts w:ascii="MS PGothic" w:cs="MS PGothic" w:eastAsia="MS PGothic" w:hAnsi="MS PGothic"/>
          <w:sz w:val="16"/>
          <w:szCs w:val="16"/>
          <w:color w:val="auto"/>
        </w:rPr>
        <w:t>‑</w:t>
      </w:r>
      <w:r>
        <w:rPr>
          <w:rFonts w:ascii="Arial" w:cs="Arial" w:eastAsia="Arial" w:hAnsi="Arial"/>
          <w:sz w:val="16"/>
          <w:szCs w:val="16"/>
          <w:color w:val="auto"/>
        </w:rPr>
        <w:t>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205 acres to GEIDC who assumed primary responsibility for the remediation obligations under the Consent Order relating to the property they acquired. However, the Company was advised by the PaDEP that it was not released from its liability and responsibility under the Consent Order. The Company also purchased an Environmental Risk Insurance Policy in the amount of</w:t>
      </w:r>
    </w:p>
    <w:p>
      <w:pPr>
        <w:spacing w:after="0" w:line="8" w:lineRule="exact"/>
        <w:rPr>
          <w:sz w:val="20"/>
          <w:szCs w:val="20"/>
          <w:color w:val="auto"/>
        </w:rPr>
      </w:pPr>
    </w:p>
    <w:p>
      <w:pPr>
        <w:ind w:right="500"/>
        <w:spacing w:after="0" w:line="239" w:lineRule="auto"/>
        <w:rPr>
          <w:sz w:val="20"/>
          <w:szCs w:val="20"/>
          <w:color w:val="auto"/>
        </w:rPr>
      </w:pPr>
      <w:r>
        <w:rPr>
          <w:rFonts w:ascii="Arial" w:cs="Arial" w:eastAsia="Arial" w:hAnsi="Arial"/>
          <w:sz w:val="17"/>
          <w:szCs w:val="17"/>
          <w:color w:val="auto"/>
        </w:rPr>
        <w:t>$10.0 million with respect to the property, which was renewed in October 2015 for a period of one year. The Company believes that the insurance coverage is in excess of any exposure that we may have in this matter.</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b w:val="1"/>
          <w:bCs w:val="1"/>
          <w:i w:val="1"/>
          <w:iCs w:val="1"/>
          <w:color w:val="auto"/>
        </w:rPr>
        <w:t xml:space="preserve">Regulatory Gaming Assessments. </w:t>
      </w:r>
      <w:r>
        <w:rPr>
          <w:rFonts w:ascii="Arial" w:cs="Arial" w:eastAsia="Arial" w:hAnsi="Arial"/>
          <w:sz w:val="17"/>
          <w:szCs w:val="17"/>
          <w:color w:val="auto"/>
        </w:rPr>
        <w:t>The Pennsylvania Gaming Control Board (the “PGCB”), the Pennsylvania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5"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(1) 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MTR Gaming has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estimated that its total proportionate share of the aggregate $63.8 million to be assessed to the gaming facilities will be</w:t>
      </w:r>
    </w:p>
    <w:p>
      <w:pPr>
        <w:ind w:right="139"/>
        <w:spacing w:after="0" w:line="182" w:lineRule="exact"/>
        <w:rPr>
          <w:sz w:val="20"/>
          <w:szCs w:val="20"/>
          <w:color w:val="auto"/>
        </w:rPr>
      </w:pPr>
      <w:r>
        <w:rPr>
          <w:rFonts w:ascii="Arial" w:cs="Arial" w:eastAsia="Arial" w:hAnsi="Arial"/>
          <w:sz w:val="18"/>
          <w:szCs w:val="18"/>
          <w:color w:val="auto"/>
        </w:rPr>
        <w:t>$4.1 million and will be paid quarterly over a ten</w:t>
      </w:r>
      <w:r>
        <w:rPr>
          <w:rFonts w:ascii="MS PGothic" w:cs="MS PGothic" w:eastAsia="MS PGothic" w:hAnsi="MS PGothic"/>
          <w:sz w:val="18"/>
          <w:szCs w:val="18"/>
          <w:color w:val="auto"/>
        </w:rPr>
        <w:t>‑</w:t>
      </w:r>
      <w:r>
        <w:rPr>
          <w:rFonts w:ascii="Arial" w:cs="Arial" w:eastAsia="Arial" w:hAnsi="Arial"/>
          <w:sz w:val="18"/>
          <w:szCs w:val="18"/>
          <w:color w:val="auto"/>
        </w:rPr>
        <w:t>year period, which began effective January 1, 2012. For the $36.1 million that was borrowed from the General Fund, payment is scheduled to begin after all fourteen licensees are operational. Although MTR Gaming cannot determine when payment will begin, it has considered a similar repayment model for the General Fund borrowings and estimated that its total proportionate share of the aggregate $36.1 million to all fourteen gaming facilities will approximate $2.1 million, which has been accrued in the accompanying consolidated balance sheet at December 31, 2015.</w:t>
      </w:r>
    </w:p>
    <w:p>
      <w:pPr>
        <w:spacing w:after="0" w:line="162" w:lineRule="exact"/>
        <w:rPr>
          <w:sz w:val="20"/>
          <w:szCs w:val="20"/>
          <w:color w:val="auto"/>
        </w:rPr>
      </w:pPr>
    </w:p>
    <w:p>
      <w:pPr>
        <w:ind w:right="299" w:firstLine="648"/>
        <w:spacing w:after="0" w:line="219"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The estimated total obligation at December 31, 2015 and 2014 was $4.3 million and $5.0 million, respectively and is accrued in the accompanying consolidated balance sheet. MTR Gaming paid $0.4 million in 2015 and $0.1 million during the 2014 period subsequent to the Merger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Agreements with Horsemen and Pari-mutuel Clerks. </w:t>
      </w:r>
      <w:r>
        <w:rPr>
          <w:rFonts w:ascii="Arial" w:cs="Arial" w:eastAsia="Arial" w:hAnsi="Arial"/>
          <w:sz w:val="16"/>
          <w:szCs w:val="16"/>
          <w:color w:val="auto"/>
        </w:rPr>
        <w:t>The Federal Interstate Horse Racing Act and the state racing</w:t>
      </w:r>
    </w:p>
    <w:p>
      <w:pPr>
        <w:spacing w:after="0"/>
        <w:rPr>
          <w:sz w:val="20"/>
          <w:szCs w:val="20"/>
          <w:color w:val="auto"/>
        </w:rPr>
      </w:pPr>
      <w:r>
        <w:rPr>
          <w:rFonts w:ascii="Arial" w:cs="Arial" w:eastAsia="Arial" w:hAnsi="Arial"/>
          <w:sz w:val="16"/>
          <w:szCs w:val="16"/>
          <w:color w:val="auto"/>
        </w:rPr>
        <w:t>laws in West Virginia, Ohio and Pennsylvania require that, in order to simulcast races, we have written agreements with the</w:t>
      </w:r>
    </w:p>
    <w:p>
      <w:pPr>
        <w:spacing w:after="0" w:line="229" w:lineRule="auto"/>
        <w:rPr>
          <w:sz w:val="20"/>
          <w:szCs w:val="20"/>
          <w:color w:val="auto"/>
        </w:rPr>
      </w:pPr>
      <w:r>
        <w:rPr>
          <w:rFonts w:ascii="Arial" w:cs="Arial" w:eastAsia="Arial" w:hAnsi="Arial"/>
          <w:sz w:val="16"/>
          <w:szCs w:val="16"/>
          <w:color w:val="auto"/>
        </w:rPr>
        <w:t>horse owners and trainers at those racetracks. In addition, in order to operate slot machines in West Virginia, we are required</w:t>
      </w:r>
    </w:p>
    <w:p>
      <w:pPr>
        <w:spacing w:after="0" w:line="229" w:lineRule="auto"/>
        <w:rPr>
          <w:sz w:val="20"/>
          <w:szCs w:val="20"/>
          <w:color w:val="auto"/>
        </w:rPr>
      </w:pPr>
      <w:r>
        <w:rPr>
          <w:rFonts w:ascii="Arial" w:cs="Arial" w:eastAsia="Arial" w:hAnsi="Arial"/>
          <w:sz w:val="16"/>
          <w:szCs w:val="16"/>
          <w:color w:val="auto"/>
        </w:rPr>
        <w:t>to enter into written agreements regarding the proceeds of the slot machines (a “proceeds agreement”) with a representative</w:t>
      </w:r>
    </w:p>
    <w:p>
      <w:pPr>
        <w:spacing w:after="0" w:line="176" w:lineRule="exact"/>
        <w:rPr>
          <w:sz w:val="20"/>
          <w:szCs w:val="20"/>
          <w:color w:val="auto"/>
        </w:rPr>
      </w:pPr>
      <w:r>
        <w:rPr>
          <w:rFonts w:ascii="Arial" w:cs="Arial" w:eastAsia="Arial" w:hAnsi="Arial"/>
          <w:sz w:val="18"/>
          <w:szCs w:val="18"/>
          <w:color w:val="auto"/>
        </w:rPr>
        <w:t>of a majority of the horse owners and trainers and with a representative of a majority of the pari</w:t>
      </w:r>
      <w:r>
        <w:rPr>
          <w:rFonts w:ascii="MS PGothic" w:cs="MS PGothic" w:eastAsia="MS PGothic" w:hAnsi="MS PGothic"/>
          <w:sz w:val="18"/>
          <w:szCs w:val="18"/>
          <w:color w:val="auto"/>
        </w:rPr>
        <w:t>‑</w:t>
      </w:r>
      <w:r>
        <w:rPr>
          <w:rFonts w:ascii="Arial" w:cs="Arial" w:eastAsia="Arial" w:hAnsi="Arial"/>
          <w:sz w:val="18"/>
          <w:szCs w:val="18"/>
          <w:color w:val="auto"/>
        </w:rPr>
        <w:t>mutuel clerks. In</w:t>
      </w:r>
    </w:p>
    <w:p>
      <w:pPr>
        <w:spacing w:after="0" w:line="229" w:lineRule="auto"/>
        <w:rPr>
          <w:sz w:val="20"/>
          <w:szCs w:val="20"/>
          <w:color w:val="auto"/>
        </w:rPr>
      </w:pPr>
      <w:r>
        <w:rPr>
          <w:rFonts w:ascii="Arial" w:cs="Arial" w:eastAsia="Arial" w:hAnsi="Arial"/>
          <w:sz w:val="16"/>
          <w:szCs w:val="16"/>
          <w:color w:val="auto"/>
        </w:rPr>
        <w:t>Pennsylvania and Ohio, we must have an agreement with the representative of the horse owners. We have the requisite</w:t>
      </w:r>
    </w:p>
    <w:p>
      <w:pPr>
        <w:spacing w:after="0" w:line="216" w:lineRule="auto"/>
        <w:rPr>
          <w:sz w:val="20"/>
          <w:szCs w:val="20"/>
          <w:color w:val="auto"/>
        </w:rPr>
      </w:pPr>
      <w:r>
        <w:rPr>
          <w:rFonts w:ascii="Arial" w:cs="Arial" w:eastAsia="Arial" w:hAnsi="Arial"/>
          <w:sz w:val="17"/>
          <w:szCs w:val="17"/>
          <w:color w:val="auto"/>
        </w:rPr>
        <w:t>agreements in place with the horsemen at Mountaineer until December 31, 2018. With respect to the Mountaineer</w:t>
      </w:r>
    </w:p>
    <w:p>
      <w:pPr>
        <w:spacing w:after="0" w:line="176" w:lineRule="exact"/>
        <w:rPr>
          <w:sz w:val="20"/>
          <w:szCs w:val="20"/>
          <w:color w:val="auto"/>
        </w:rPr>
      </w:pPr>
      <w:r>
        <w:rPr>
          <w:rFonts w:ascii="Arial" w:cs="Arial" w:eastAsia="Arial" w:hAnsi="Arial"/>
          <w:sz w:val="16"/>
          <w:szCs w:val="16"/>
          <w:color w:val="auto"/>
        </w:rPr>
        <w:t>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2016 and a proceeds agreement until April 14,</w:t>
      </w:r>
    </w:p>
    <w:p>
      <w:pPr>
        <w:spacing w:after="0" w:line="176" w:lineRule="exact"/>
        <w:rPr>
          <w:sz w:val="20"/>
          <w:szCs w:val="20"/>
          <w:color w:val="auto"/>
        </w:rPr>
      </w:pPr>
      <w:r>
        <w:rPr>
          <w:rFonts w:ascii="Arial" w:cs="Arial" w:eastAsia="Arial" w:hAnsi="Arial"/>
          <w:sz w:val="16"/>
          <w:szCs w:val="16"/>
          <w:color w:val="auto"/>
        </w:rPr>
        <w:t>2018.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w:t>
      </w:r>
    </w:p>
    <w:p>
      <w:pPr>
        <w:spacing w:after="0" w:line="229" w:lineRule="auto"/>
        <w:rPr>
          <w:sz w:val="20"/>
          <w:szCs w:val="20"/>
          <w:color w:val="auto"/>
        </w:rPr>
      </w:pPr>
      <w:r>
        <w:rPr>
          <w:rFonts w:ascii="Arial" w:cs="Arial" w:eastAsia="Arial" w:hAnsi="Arial"/>
          <w:sz w:val="16"/>
          <w:szCs w:val="16"/>
          <w:color w:val="auto"/>
        </w:rPr>
        <w:t>clerks as a condition to renewal of our video lottery license for such year. If the requisite proceeds agreement is not in place</w:t>
      </w:r>
    </w:p>
    <w:p>
      <w:pPr>
        <w:spacing w:after="0" w:line="229" w:lineRule="auto"/>
        <w:rPr>
          <w:sz w:val="20"/>
          <w:szCs w:val="20"/>
          <w:color w:val="auto"/>
        </w:rPr>
      </w:pPr>
      <w:r>
        <w:rPr>
          <w:rFonts w:ascii="Arial" w:cs="Arial" w:eastAsia="Arial" w:hAnsi="Arial"/>
          <w:sz w:val="16"/>
          <w:szCs w:val="16"/>
          <w:color w:val="auto"/>
        </w:rPr>
        <w:t>as of July 1 of a particular year, Mountaineer’s application for renewal of its video lottery license could be denied, in which</w:t>
      </w:r>
    </w:p>
    <w:p>
      <w:pPr>
        <w:spacing w:after="0" w:line="229" w:lineRule="auto"/>
        <w:rPr>
          <w:sz w:val="20"/>
          <w:szCs w:val="20"/>
          <w:color w:val="auto"/>
        </w:rPr>
      </w:pPr>
      <w:r>
        <w:rPr>
          <w:rFonts w:ascii="Arial" w:cs="Arial" w:eastAsia="Arial" w:hAnsi="Arial"/>
          <w:sz w:val="16"/>
          <w:szCs w:val="16"/>
          <w:color w:val="auto"/>
        </w:rPr>
        <w:t>case Mountaineer would not be permitted to operate either its slot machines or table games. Scioto Downs has the requisite</w:t>
      </w:r>
    </w:p>
    <w:p>
      <w:pPr>
        <w:spacing w:after="0" w:line="176" w:lineRule="exact"/>
        <w:rPr>
          <w:sz w:val="20"/>
          <w:szCs w:val="20"/>
          <w:color w:val="auto"/>
        </w:rPr>
      </w:pPr>
      <w:r>
        <w:rPr>
          <w:rFonts w:ascii="Arial" w:cs="Arial" w:eastAsia="Arial" w:hAnsi="Arial"/>
          <w:sz w:val="16"/>
          <w:szCs w:val="16"/>
          <w:color w:val="auto"/>
        </w:rPr>
        <w:t>agreement in place with the OHHA until December 31, 2023, with automatic two</w:t>
      </w:r>
      <w:r>
        <w:rPr>
          <w:rFonts w:ascii="MS PGothic" w:cs="MS PGothic" w:eastAsia="MS PGothic" w:hAnsi="MS PGothic"/>
          <w:sz w:val="16"/>
          <w:szCs w:val="16"/>
          <w:color w:val="auto"/>
        </w:rPr>
        <w:t>‑</w:t>
      </w:r>
      <w:r>
        <w:rPr>
          <w:rFonts w:ascii="Arial" w:cs="Arial" w:eastAsia="Arial" w:hAnsi="Arial"/>
          <w:sz w:val="16"/>
          <w:szCs w:val="16"/>
          <w:color w:val="auto"/>
        </w:rPr>
        <w:t>year renewals unless either party requests</w:t>
      </w:r>
    </w:p>
    <w:p>
      <w:pPr>
        <w:spacing w:after="0" w:line="176" w:lineRule="exact"/>
        <w:rPr>
          <w:sz w:val="20"/>
          <w:szCs w:val="20"/>
          <w:color w:val="auto"/>
        </w:rPr>
      </w:pP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negotiation pursuant to its terms. Presque Isle Downs has the requisite agreement in place with the Pennsylvania</w:t>
      </w:r>
    </w:p>
    <w:p>
      <w:pPr>
        <w:spacing w:after="0" w:line="229" w:lineRule="auto"/>
        <w:rPr>
          <w:sz w:val="20"/>
          <w:szCs w:val="20"/>
          <w:color w:val="auto"/>
        </w:rPr>
      </w:pPr>
      <w:r>
        <w:rPr>
          <w:rFonts w:ascii="Arial" w:cs="Arial" w:eastAsia="Arial" w:hAnsi="Arial"/>
          <w:sz w:val="16"/>
          <w:szCs w:val="16"/>
          <w:color w:val="auto"/>
        </w:rPr>
        <w:t>Horsemen’s Benevolent and Protective Association until May 1, 2019. With the exception of the respective Mountaineer,</w:t>
      </w:r>
    </w:p>
    <w:p>
      <w:pPr>
        <w:spacing w:after="0" w:line="176" w:lineRule="exact"/>
        <w:rPr>
          <w:sz w:val="20"/>
          <w:szCs w:val="20"/>
          <w:color w:val="auto"/>
        </w:rPr>
      </w:pPr>
      <w:r>
        <w:rPr>
          <w:rFonts w:ascii="Arial" w:cs="Arial" w:eastAsia="Arial" w:hAnsi="Arial"/>
          <w:sz w:val="16"/>
          <w:szCs w:val="16"/>
          <w:color w:val="auto"/>
        </w:rPr>
        <w:t>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w:t>
      </w:r>
    </w:p>
    <w:p>
      <w:pPr>
        <w:spacing w:after="0" w:line="230" w:lineRule="auto"/>
        <w:rPr>
          <w:sz w:val="20"/>
          <w:szCs w:val="20"/>
          <w:color w:val="auto"/>
        </w:rPr>
      </w:pPr>
      <w:r>
        <w:rPr>
          <w:rFonts w:ascii="Arial" w:cs="Arial" w:eastAsia="Arial" w:hAnsi="Arial"/>
          <w:sz w:val="16"/>
          <w:szCs w:val="16"/>
          <w:color w:val="auto"/>
        </w:rPr>
        <w:t>clerks’ union described above, each of the agreements referred to in this paragraph may be terminated upon written notice by</w:t>
      </w:r>
    </w:p>
    <w:p>
      <w:pPr>
        <w:spacing w:after="0"/>
        <w:rPr>
          <w:sz w:val="20"/>
          <w:szCs w:val="20"/>
          <w:color w:val="auto"/>
        </w:rPr>
      </w:pPr>
      <w:r>
        <w:rPr>
          <w:rFonts w:ascii="Arial" w:cs="Arial" w:eastAsia="Arial" w:hAnsi="Arial"/>
          <w:sz w:val="18"/>
          <w:szCs w:val="18"/>
          <w:color w:val="auto"/>
        </w:rPr>
        <w:t>either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 and HCM</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consummation of the Merger, Resorts was party to a management agreement (the “Eldorado</w:t>
      </w:r>
    </w:p>
    <w:p>
      <w:pPr>
        <w:spacing w:after="0" w:line="232" w:lineRule="auto"/>
        <w:rPr>
          <w:sz w:val="20"/>
          <w:szCs w:val="20"/>
          <w:color w:val="auto"/>
        </w:rPr>
      </w:pPr>
      <w:r>
        <w:rPr>
          <w:rFonts w:ascii="Arial" w:cs="Arial" w:eastAsia="Arial" w:hAnsi="Arial"/>
          <w:sz w:val="17"/>
          <w:szCs w:val="17"/>
          <w:color w:val="auto"/>
        </w:rPr>
        <w:t>Management Agreement”) with REI and HCM, pursuant to which REI and HCM (collectively, the “Managers”) agreed to</w:t>
      </w:r>
    </w:p>
    <w:p>
      <w:pPr>
        <w:ind w:left="240" w:hanging="237"/>
        <w:spacing w:after="0" w:line="232" w:lineRule="auto"/>
        <w:tabs>
          <w:tab w:leader="none" w:pos="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develop strategic plans for Resorts’ business, including preparing annual budgets and capital expenditure plans,</w:t>
      </w:r>
    </w:p>
    <w:p>
      <w:pPr>
        <w:ind w:right="39" w:firstLine="3"/>
        <w:spacing w:after="0" w:line="251"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 advice and oversight with respect to financial matters of Resorts, (c) establish and oversee the operation of financial accounting systems and controls and regularly review Resorts’ financial reports, (d) provide planning, design and architectural services to Resorts and (e) furnish advice and recommendations with respect to certain other aspects of Resorts’ operations. In consideration for such services, Resorts agreed to pay the Managers a management fee not to exceed 1.5% of Resorts’ annual net revenues, not to exceed $600,000 per year. The current term of the Eldorado Management Agreement was scheduled to continue in effect until July 1, 2017. During each of the years 2014 and 2013, the Company paid management fees to REI and HCM in the aggregate amount of $0.5 million and $0.6 million, respectively. REI is beneficially owned by members of the Carano family and HCM is beneficially owned by members of the Poncia family. The Carano family and Poncia family hold ownership interests in ERI of 23.8% and 12.5%, respectively, as of December 31, 2015. Management fees were not paid subsequent to the consummation of the Merger. Subsequent to the consummation of the Merger, Donald L. Carano and Raymond J. Poncia received remuneration in the amount of $0.4 million and $0.2 million in both 2015 and 2014, respectively, for their services as consultants to ERI and its subsidiaries in lieu of the management fees previously paid under the terms of the Eldorado Management Agreement.</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59" w:firstLine="648"/>
        <w:spacing w:after="0" w:line="258" w:lineRule="auto"/>
        <w:rPr>
          <w:sz w:val="20"/>
          <w:szCs w:val="20"/>
          <w:color w:val="auto"/>
        </w:rPr>
      </w:pPr>
      <w:r>
        <w:rPr>
          <w:rFonts w:ascii="Arial" w:cs="Arial" w:eastAsia="Arial" w:hAnsi="Arial"/>
          <w:sz w:val="17"/>
          <w:szCs w:val="17"/>
          <w:color w:val="auto"/>
        </w:rPr>
        <w:t>REI shares certain officers with the Company including Gary Carano who holds the title of Treasurer with REI, Gene Carano who is an Executive Vice President with REI and Glenn Carano who is the Secretary of REI.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w:t>
      </w:r>
    </w:p>
    <w:p>
      <w:pPr>
        <w:spacing w:after="0" w:line="185" w:lineRule="exact"/>
        <w:rPr>
          <w:sz w:val="20"/>
          <w:szCs w:val="20"/>
          <w:color w:val="auto"/>
        </w:rPr>
      </w:pPr>
    </w:p>
    <w:p>
      <w:pPr>
        <w:ind w:right="19" w:firstLine="648"/>
        <w:spacing w:after="0" w:line="211"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a general partnership of which Carano is a general partner (the “CSY Lease”). The CSY Lease expires on June 30, 2027. Annual rent is equal to the greater of (1) $0.4 million or (2) an amount based on a decreasing percentage of the Eldorado’s gross gaming revenues ranging from 3% of the first $6.5 million of gross gaming revenues to 0.1% of gross gaming revenues in excess of $75.0 million. Rent pursuant to the CSY Lease amounted to $0.6 million in each of the years ended December 31, 2015, 2014 and 2013. Additionally, a subordination fee of $0.1 million was paid annually during the term of the Resorts Senior Secured Notes. As a result of the July 2015 refinancing, the subordination was eliminated.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Silver Legacy</w:t>
      </w:r>
    </w:p>
    <w:p>
      <w:pPr>
        <w:spacing w:after="0" w:line="185" w:lineRule="exact"/>
        <w:rPr>
          <w:sz w:val="20"/>
          <w:szCs w:val="20"/>
          <w:color w:val="auto"/>
        </w:rPr>
      </w:pPr>
    </w:p>
    <w:p>
      <w:pPr>
        <w:ind w:right="219" w:firstLine="648"/>
        <w:spacing w:after="0" w:line="235" w:lineRule="auto"/>
        <w:rPr>
          <w:sz w:val="20"/>
          <w:szCs w:val="20"/>
          <w:color w:val="auto"/>
        </w:rPr>
      </w:pPr>
      <w:r>
        <w:rPr>
          <w:rFonts w:ascii="Arial" w:cs="Arial" w:eastAsia="Arial" w:hAnsi="Arial"/>
          <w:sz w:val="18"/>
          <w:szCs w:val="18"/>
          <w:color w:val="auto"/>
        </w:rPr>
        <w:t>In 2015, all related party transactions between Silver Legacy and Resorts refer to the period of January 1, 2015 to the Acquisition Date at which time all transactions were eliminated in consolidation.</w:t>
      </w:r>
    </w:p>
    <w:p>
      <w:pPr>
        <w:spacing w:after="0" w:line="162"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As of December 31, 2014, the Company’s receivables from related parties amounted to $0.4 million. As of December 31, 2014, the Company’s payables to related parties amounted to $0.2 million. At December 31, 2015, there were no receivables or payables to related parties.</w:t>
      </w:r>
    </w:p>
    <w:p>
      <w:pPr>
        <w:spacing w:after="0" w:line="163" w:lineRule="exact"/>
        <w:rPr>
          <w:sz w:val="20"/>
          <w:szCs w:val="20"/>
          <w:color w:val="auto"/>
        </w:rPr>
      </w:pPr>
    </w:p>
    <w:p>
      <w:pPr>
        <w:ind w:right="39" w:firstLine="648"/>
        <w:spacing w:after="0" w:line="226" w:lineRule="auto"/>
        <w:rPr>
          <w:sz w:val="20"/>
          <w:szCs w:val="20"/>
          <w:color w:val="auto"/>
        </w:rPr>
      </w:pPr>
      <w:r>
        <w:rPr>
          <w:rFonts w:ascii="Arial" w:cs="Arial" w:eastAsia="Arial" w:hAnsi="Arial"/>
          <w:sz w:val="17"/>
          <w:szCs w:val="17"/>
          <w:color w:val="auto"/>
        </w:rPr>
        <w:t>Resorts owns the skywalk that connects the Silver Legacy with Eldorado Reno. The charges from the service provider for the utilities associated with this skywalk are billed to the Silver Legacy together with the charges for the utilities associated with the Silver Legacy. Such charges are paid to the service provider by Silver Legacy, and the Silver Legacy is reimbursed by Eldorado Reno for the portion of the charges allocable to the utilities provided to the skywalk. The charges for the utilities provided to the skywalk during January 1, 2015 through the Acquisition Date and during each year ended December 31, 2014 and 2013 were $0.1 million, respectively.</w:t>
      </w:r>
    </w:p>
    <w:p>
      <w:pPr>
        <w:spacing w:after="0" w:line="165" w:lineRule="exact"/>
        <w:rPr>
          <w:sz w:val="20"/>
          <w:szCs w:val="20"/>
          <w:color w:val="auto"/>
        </w:rPr>
      </w:pPr>
    </w:p>
    <w:p>
      <w:pPr>
        <w:ind w:right="199" w:firstLine="648"/>
        <w:spacing w:after="0" w:line="214" w:lineRule="auto"/>
        <w:rPr>
          <w:sz w:val="20"/>
          <w:szCs w:val="20"/>
          <w:color w:val="auto"/>
        </w:rPr>
      </w:pPr>
      <w:r>
        <w:rPr>
          <w:rFonts w:ascii="Arial" w:cs="Arial" w:eastAsia="Arial" w:hAnsi="Arial"/>
          <w:sz w:val="18"/>
          <w:szCs w:val="18"/>
          <w:color w:val="auto"/>
        </w:rPr>
        <w:t>In October 2005, the Silver Legacy began providing on-site laundry services for Eldorado Reno related to the cleaning of certain types of linens. Although there is no agreement obligating Eldorado Reno to utilize this service, it is anticipated that the Silver Legacy will continue to provide these laundry services in the future. The Silver Legacy charges Eldorado Reno for labor and laundry supplies on a per unit basis which totaled $0.1 million, $0.2 million and $0.1 million, respectively, during the period from January 1, 2015 through the Acquisition Date and the years ended December 31, 2014 and 2013.</w:t>
      </w:r>
    </w:p>
    <w:p>
      <w:pPr>
        <w:spacing w:after="0" w:line="162" w:lineRule="exact"/>
        <w:rPr>
          <w:sz w:val="20"/>
          <w:szCs w:val="20"/>
          <w:color w:val="auto"/>
        </w:rPr>
      </w:pPr>
    </w:p>
    <w:p>
      <w:pPr>
        <w:ind w:right="19" w:firstLine="648"/>
        <w:spacing w:after="0" w:line="219" w:lineRule="auto"/>
        <w:rPr>
          <w:sz w:val="20"/>
          <w:szCs w:val="20"/>
          <w:color w:val="auto"/>
        </w:rPr>
      </w:pPr>
      <w:r>
        <w:rPr>
          <w:rFonts w:ascii="Arial" w:cs="Arial" w:eastAsia="Arial" w:hAnsi="Arial"/>
          <w:sz w:val="18"/>
          <w:szCs w:val="18"/>
          <w:color w:val="auto"/>
        </w:rPr>
        <w:t>Since 1998, the Silver Legacy has purchased from Eldorado Reno homemade pasta and other products for use in the restaurants at Silver Legacy. For purchases of these products during the period from January 1, 2015 through the Acquisition Date and the years ended December 31, 2014 and 2013, which are billed to Silver Legacy at cost plus associated labor, the Silver Legacy paid Eldorado Reno $0.1 million.</w:t>
      </w:r>
    </w:p>
    <w:p>
      <w:pPr>
        <w:spacing w:after="0" w:line="163" w:lineRule="exact"/>
        <w:rPr>
          <w:sz w:val="20"/>
          <w:szCs w:val="20"/>
          <w:color w:val="auto"/>
        </w:rPr>
      </w:pPr>
    </w:p>
    <w:p>
      <w:pPr>
        <w:ind w:right="99" w:firstLine="648"/>
        <w:spacing w:after="0" w:line="229" w:lineRule="auto"/>
        <w:rPr>
          <w:sz w:val="20"/>
          <w:szCs w:val="20"/>
          <w:color w:val="auto"/>
        </w:rPr>
      </w:pPr>
      <w:r>
        <w:rPr>
          <w:rFonts w:ascii="Arial" w:cs="Arial" w:eastAsia="Arial" w:hAnsi="Arial"/>
          <w:sz w:val="18"/>
          <w:szCs w:val="18"/>
          <w:color w:val="auto"/>
        </w:rPr>
        <w:t>During the period from January 1, 2015 through the Acquisition Date and during 2014 and 2013, the Silver Legacy reimbursed Resorts $0.9 million, $0.5 million and $0.6 million, respectively, for Silver Legacy’s allocable portion of the shared administrative services costs associated with the operations performed at Eldorado Reno, Eldorado Shreveport and MTR and Resorts reimbursed the Silver Legacy $0.8 million in the 2015 period and $0.3 million in both 2014 and 2013 for Eldorado Reno’s allocable portion of the shared administrative services costs associated with the operations performed at Silver Legacy.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189" w:lineRule="exact"/>
        <w:rPr>
          <w:sz w:val="20"/>
          <w:szCs w:val="20"/>
          <w:color w:val="auto"/>
        </w:rPr>
      </w:pPr>
    </w:p>
    <w:p>
      <w:pPr>
        <w:ind w:right="199" w:firstLine="648"/>
        <w:spacing w:after="0" w:line="259" w:lineRule="auto"/>
        <w:rPr>
          <w:sz w:val="20"/>
          <w:szCs w:val="20"/>
          <w:color w:val="auto"/>
        </w:rPr>
      </w:pPr>
      <w:r>
        <w:rPr>
          <w:rFonts w:ascii="Arial" w:cs="Arial" w:eastAsia="Arial" w:hAnsi="Arial"/>
          <w:sz w:val="16"/>
          <w:szCs w:val="16"/>
          <w:color w:val="auto"/>
        </w:rPr>
        <w:t>The following table sets forth, for the period indicated, certain operating data for our reportable segments. Management views each of our casinos as an operating segment. Operating segments are aggregated based on their similar economic characteristics, types of customers, types of services and products provided, and their management and</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reporting structure. The Company’s principal operating activities occur in three geographic regions: Nevada, Louisiana and parts of the eastern United States. The Company has aggregated its operating segments into three reportable segments: Eldorado Reno, Silver Legacy and Circus Reno as Nevada, Eldorado Shreveport as Louisiana, and Scioto Downs, Presque Isle and Mountaineer as Eastern. (Acquisition Date through December 31, 2015 and Merger Date through December 31, 2014).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For the year ended December 31,</w:t>
            </w:r>
          </w:p>
        </w:tc>
      </w:tr>
      <w:tr>
        <w:trPr>
          <w:trHeight w:val="129"/>
        </w:trPr>
        <w:tc>
          <w:tcPr>
            <w:tcW w:w="5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center"/>
              <w:ind w:right="31"/>
              <w:spacing w:after="0" w:line="129"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1"/>
                <w:szCs w:val="11"/>
                <w:color w:val="auto"/>
              </w:rPr>
            </w:pPr>
          </w:p>
        </w:tc>
      </w:tr>
      <w:tr>
        <w:trPr>
          <w:trHeight w:val="196"/>
        </w:trPr>
        <w:tc>
          <w:tcPr>
            <w:tcW w:w="5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and expenses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i w:val="1"/>
                <w:iCs w:val="1"/>
                <w:color w:val="auto"/>
              </w:rPr>
              <w:t>Nevada:</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revenues(a)</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109,691</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Expenses, excluding depreciation and corporate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(107,723)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(96,685)</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or disposal of property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Equity in income of unconsolidated affiliates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w:t>
            </w:r>
          </w:p>
        </w:tc>
        <w:tc>
          <w:tcPr>
            <w:tcW w:w="80" w:type="dxa"/>
            <w:vAlign w:val="bottom"/>
            <w:tcBorders>
              <w:bottom w:val="single" w:sz="8" w:color="CCEEFF"/>
            </w:tcBorders>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(loss)—Nevada</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80" w:type="dxa"/>
            <w:vAlign w:val="bottom"/>
            <w:shd w:val="clear" w:color="auto" w:fill="CCEEFF"/>
          </w:tcPr>
          <w:p>
            <w:pPr>
              <w:spacing w:after="0"/>
              <w:rPr>
                <w:sz w:val="19"/>
                <w:szCs w:val="19"/>
                <w:color w:val="auto"/>
              </w:rPr>
            </w:pPr>
          </w:p>
        </w:tc>
      </w:tr>
      <w:tr>
        <w:trPr>
          <w:trHeight w:val="203"/>
        </w:trPr>
        <w:tc>
          <w:tcPr>
            <w:tcW w:w="5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Louisiana:</w:t>
            </w:r>
          </w:p>
        </w:tc>
        <w:tc>
          <w:tcPr>
            <w:tcW w:w="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140,495</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Expenses, excluding depreciation, amortization(a)</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(107,316)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(112,068)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(113,844)</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or disposal of property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80" w:type="dxa"/>
            <w:vAlign w:val="bottom"/>
            <w:tcBorders>
              <w:bottom w:val="single" w:sz="8" w:color="CCEEFF"/>
            </w:tcBorders>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income—Louisiana</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80" w:type="dxa"/>
            <w:vAlign w:val="bottom"/>
            <w:shd w:val="clear" w:color="auto" w:fill="CCEEFF"/>
          </w:tcPr>
          <w:p>
            <w:pPr>
              <w:spacing w:after="0"/>
              <w:rPr>
                <w:sz w:val="19"/>
                <w:szCs w:val="19"/>
                <w:color w:val="auto"/>
              </w:rPr>
            </w:pPr>
          </w:p>
        </w:tc>
      </w:tr>
      <w:tr>
        <w:trPr>
          <w:trHeight w:val="203"/>
        </w:trPr>
        <w:tc>
          <w:tcPr>
            <w:tcW w:w="5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Eastern:</w:t>
            </w:r>
          </w:p>
        </w:tc>
        <w:tc>
          <w:tcPr>
            <w:tcW w:w="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455,640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Expenses, excluding depreciation, amortization and corporate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(359,841)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(100,808)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or disposal of property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income—Eastern</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3"/>
        </w:trPr>
        <w:tc>
          <w:tcPr>
            <w:tcW w:w="5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Corporate:</w:t>
            </w:r>
          </w:p>
        </w:tc>
        <w:tc>
          <w:tcPr>
            <w:tcW w:w="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Acquisition charges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or disposal of property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loss—Corporate</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ind w:left="260"/>
              <w:spacing w:after="0"/>
              <w:rPr>
                <w:sz w:val="20"/>
                <w:szCs w:val="20"/>
                <w:color w:val="auto"/>
              </w:rPr>
            </w:pPr>
            <w:r>
              <w:rPr>
                <w:rFonts w:ascii="Arial" w:cs="Arial" w:eastAsia="Arial" w:hAnsi="Arial"/>
                <w:sz w:val="14"/>
                <w:szCs w:val="14"/>
                <w:b w:val="1"/>
                <w:bCs w:val="1"/>
                <w:color w:val="auto"/>
              </w:rPr>
              <w:t>For the year ended December 31,</w:t>
            </w:r>
          </w:p>
        </w:tc>
      </w:tr>
      <w:tr>
        <w:trPr>
          <w:trHeight w:val="129"/>
        </w:trPr>
        <w:tc>
          <w:tcPr>
            <w:tcW w:w="22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1"/>
                <w:szCs w:val="11"/>
                <w:color w:val="auto"/>
              </w:rPr>
            </w:pPr>
          </w:p>
        </w:tc>
      </w:tr>
      <w:tr>
        <w:trPr>
          <w:trHeight w:val="210"/>
        </w:trPr>
        <w:tc>
          <w:tcPr>
            <w:tcW w:w="22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Total Reportable Segments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4"/>
                <w:szCs w:val="14"/>
                <w:color w:val="auto"/>
              </w:rPr>
              <w:t>Net operating revenues(a)</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719,784</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364,073</w:t>
            </w:r>
          </w:p>
        </w:tc>
        <w:tc>
          <w:tcPr>
            <w:tcW w:w="180" w:type="dxa"/>
            <w:vAlign w:val="bottom"/>
          </w:tcPr>
          <w:p>
            <w:pPr>
              <w:spacing w:after="0"/>
              <w:rPr>
                <w:sz w:val="18"/>
                <w:szCs w:val="18"/>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250,186</w:t>
            </w:r>
          </w:p>
        </w:tc>
        <w:tc>
          <w:tcPr>
            <w:tcW w:w="8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Expenses, excluding depreciation, amortization(a)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(313,085)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(210,529)</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4"/>
                <w:szCs w:val="14"/>
                <w:color w:val="auto"/>
              </w:rPr>
              <w:t>Loss on sale or disposal of property</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in income of unconsolidated affiliates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4"/>
                <w:szCs w:val="14"/>
                <w:color w:val="auto"/>
              </w:rPr>
              <w:t>Acquisition charges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(3,173)</w:t>
            </w:r>
          </w:p>
        </w:tc>
        <w:tc>
          <w:tcPr>
            <w:tcW w:w="8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(56,921)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(17,031)</w:t>
            </w:r>
          </w:p>
        </w:tc>
        <w:tc>
          <w:tcPr>
            <w:tcW w:w="80" w:type="dxa"/>
            <w:vAlign w:val="bottom"/>
            <w:shd w:val="clear" w:color="auto" w:fill="CCEEFF"/>
          </w:tcPr>
          <w:p>
            <w:pPr>
              <w:spacing w:after="0"/>
              <w:rPr>
                <w:sz w:val="18"/>
                <w:szCs w:val="18"/>
                <w:color w:val="auto"/>
              </w:rPr>
            </w:pPr>
          </w:p>
        </w:tc>
      </w:tr>
      <w:tr>
        <w:trPr>
          <w:trHeight w:val="190"/>
        </w:trPr>
        <w:tc>
          <w:tcPr>
            <w:tcW w:w="5800" w:type="dxa"/>
            <w:vAlign w:val="bottom"/>
            <w:gridSpan w:val="2"/>
          </w:tcPr>
          <w:p>
            <w:pPr>
              <w:spacing w:after="0"/>
              <w:rPr>
                <w:sz w:val="20"/>
                <w:szCs w:val="20"/>
                <w:color w:val="auto"/>
              </w:rPr>
            </w:pPr>
            <w:r>
              <w:rPr>
                <w:rFonts w:ascii="Arial" w:cs="Arial" w:eastAsia="Arial" w:hAnsi="Arial"/>
                <w:sz w:val="14"/>
                <w:szCs w:val="14"/>
                <w:color w:val="auto"/>
              </w:rPr>
              <w:t>Operating income—Total Reportable Segments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72,516</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17,555</w:t>
            </w:r>
          </w:p>
        </w:tc>
        <w:tc>
          <w:tcPr>
            <w:tcW w:w="180" w:type="dxa"/>
            <w:vAlign w:val="bottom"/>
          </w:tcPr>
          <w:p>
            <w:pPr>
              <w:spacing w:after="0"/>
              <w:rPr>
                <w:sz w:val="16"/>
                <w:szCs w:val="16"/>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22,582</w:t>
            </w:r>
          </w:p>
        </w:tc>
        <w:tc>
          <w:tcPr>
            <w:tcW w:w="80" w:type="dxa"/>
            <w:vAlign w:val="bottom"/>
          </w:tcPr>
          <w:p>
            <w:pPr>
              <w:spacing w:after="0"/>
              <w:rPr>
                <w:sz w:val="16"/>
                <w:szCs w:val="16"/>
                <w:color w:val="auto"/>
              </w:rPr>
            </w:pPr>
          </w:p>
        </w:tc>
      </w:tr>
      <w:tr>
        <w:trPr>
          <w:trHeight w:val="216"/>
        </w:trPr>
        <w:tc>
          <w:tcPr>
            <w:tcW w:w="5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Reconciliations to Consolidated Net Income (Loss):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4"/>
                <w:szCs w:val="14"/>
                <w:color w:val="auto"/>
              </w:rPr>
              <w:t>Operating Income — Total Reportable Segments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72,516</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17,555</w:t>
            </w:r>
          </w:p>
        </w:tc>
        <w:tc>
          <w:tcPr>
            <w:tcW w:w="180" w:type="dxa"/>
            <w:vAlign w:val="bottom"/>
          </w:tcPr>
          <w:p>
            <w:pPr>
              <w:spacing w:after="0"/>
              <w:rPr>
                <w:sz w:val="18"/>
                <w:szCs w:val="18"/>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22,582</w:t>
            </w:r>
          </w:p>
        </w:tc>
        <w:tc>
          <w:tcPr>
            <w:tcW w:w="80" w:type="dxa"/>
            <w:vAlign w:val="bottom"/>
          </w:tcPr>
          <w:p>
            <w:pPr>
              <w:spacing w:after="0"/>
              <w:rPr>
                <w:sz w:val="18"/>
                <w:szCs w:val="18"/>
                <w:color w:val="auto"/>
              </w:rPr>
            </w:pPr>
          </w:p>
        </w:tc>
      </w:tr>
      <w:tr>
        <w:trPr>
          <w:trHeight w:val="216"/>
        </w:trPr>
        <w:tc>
          <w:tcPr>
            <w:tcW w:w="5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Unallocated income and expenses: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(30,752)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(15,681)</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4"/>
                <w:szCs w:val="14"/>
                <w:color w:val="auto"/>
              </w:rPr>
              <w:t>Gain on valuation of unconsolidated affiliate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35,582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 on extinguishment of debt of unconsolidated affiliate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11,980</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4"/>
                <w:szCs w:val="14"/>
                <w:color w:val="auto"/>
                <w:w w:val="97"/>
              </w:rPr>
              <w:t>Gain on termination of supplemental executive retirement plan assets of unconsolidated affiliate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early retirement of debt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5800" w:type="dxa"/>
            <w:vAlign w:val="bottom"/>
            <w:gridSpan w:val="2"/>
          </w:tcPr>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controlling interest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Benefit (provision) for income taxes</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69,580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r>
      <w:tr>
        <w:trPr>
          <w:trHeight w:val="190"/>
        </w:trPr>
        <w:tc>
          <w:tcPr>
            <w:tcW w:w="580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114,183</w:t>
            </w:r>
          </w:p>
        </w:tc>
        <w:tc>
          <w:tcPr>
            <w:tcW w:w="3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(14,425)</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18,897</w:t>
            </w:r>
          </w:p>
        </w:tc>
        <w:tc>
          <w:tcPr>
            <w:tcW w:w="80" w:type="dxa"/>
            <w:vAlign w:val="bottom"/>
          </w:tcPr>
          <w:p>
            <w:pPr>
              <w:spacing w:after="0"/>
              <w:rPr>
                <w:sz w:val="16"/>
                <w:szCs w:val="16"/>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78" w:lineRule="exact"/>
        <w:rPr>
          <w:sz w:val="20"/>
          <w:szCs w:val="20"/>
          <w:color w:val="auto"/>
        </w:rPr>
      </w:pPr>
    </w:p>
    <w:p>
      <w:pPr>
        <w:ind w:left="240" w:right="20" w:hanging="229"/>
        <w:spacing w:after="0" w:line="218" w:lineRule="auto"/>
        <w:rPr>
          <w:sz w:val="20"/>
          <w:szCs w:val="20"/>
          <w:color w:val="auto"/>
        </w:rPr>
      </w:pPr>
      <w:r>
        <w:rPr>
          <w:rFonts w:ascii="Arial" w:cs="Arial" w:eastAsia="Arial" w:hAnsi="Arial"/>
          <w:sz w:val="20"/>
          <w:szCs w:val="20"/>
          <w:color w:val="auto"/>
        </w:rPr>
        <w:t>(a)Net revenues for Nevada and expenses for Louisiana are net of the elimination of $2.3 million and $3.0 million of management and incentive fees received by Eldorado Reno and paid by Eldorado Shreveport for 2014 and 2013, respectively. There were no such fees paid in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60" w:type="dxa"/>
            <w:vAlign w:val="bottom"/>
            <w:gridSpan w:val="10"/>
          </w:tcPr>
          <w:p>
            <w:pPr>
              <w:ind w:left="4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5"/>
              <w:spacing w:after="0" w:line="129"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3"/>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Nevada</w:t>
            </w:r>
          </w:p>
        </w:tc>
        <w:tc>
          <w:tcPr>
            <w:tcW w:w="2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4,682</w:t>
            </w:r>
          </w:p>
        </w:tc>
        <w:tc>
          <w:tcPr>
            <w:tcW w:w="40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3,475</w:t>
            </w:r>
          </w:p>
        </w:tc>
        <w:tc>
          <w:tcPr>
            <w:tcW w:w="1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3,273</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Eastern</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3,816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36,762</w:t>
            </w:r>
          </w:p>
        </w:tc>
        <w:tc>
          <w:tcPr>
            <w:tcW w:w="2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10,564</w:t>
            </w:r>
          </w:p>
        </w:tc>
        <w:tc>
          <w:tcPr>
            <w:tcW w:w="1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1"/>
        </w:trPr>
        <w:tc>
          <w:tcPr>
            <w:tcW w:w="36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376,760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Louisiana</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883,344</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Corporate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Eliminating entries (a)</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(565,701)</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1,325,008</w:t>
            </w:r>
          </w:p>
        </w:tc>
        <w:tc>
          <w:tcPr>
            <w:tcW w:w="1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1,171,559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400" w:right="3980" w:hanging="4073"/>
        <w:spacing w:after="0" w:line="1082" w:lineRule="auto"/>
        <w:tabs>
          <w:tab w:leader="none" w:pos="706"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the following eliminations for the periods indicated.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61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7"/>
        </w:trPr>
        <w:tc>
          <w:tcPr>
            <w:tcW w:w="1280" w:type="dxa"/>
            <w:vAlign w:val="bottom"/>
            <w:tcBorders>
              <w:top w:val="single" w:sz="8" w:color="0563C1"/>
            </w:tcBorders>
          </w:tcPr>
          <w:p>
            <w:pPr>
              <w:spacing w:after="0"/>
              <w:rPr>
                <w:sz w:val="24"/>
                <w:szCs w:val="24"/>
                <w:color w:val="auto"/>
              </w:rPr>
            </w:pPr>
          </w:p>
        </w:tc>
        <w:tc>
          <w:tcPr>
            <w:tcW w:w="4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Proceeds from Resorts Senior Secured Notes loaned to Eldorado Shreveport</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116,308</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Reclass deferred tax assets against deferred tax liabilities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on the above intercompany loan</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Intercompany receivables/payables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394,804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Silver Legacy/Circus Reno</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Net investment in and advances to MTR Gaming</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and advances to Silver Legacy</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investment in and advances to Eldorado Shreveport</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565,701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126,654</w:t>
            </w:r>
          </w:p>
        </w:tc>
        <w:tc>
          <w:tcPr>
            <w:tcW w:w="100" w:type="dxa"/>
            <w:vAlign w:val="bottom"/>
            <w:shd w:val="clear" w:color="auto" w:fill="CCEEFF"/>
          </w:tcPr>
          <w:p>
            <w:pPr>
              <w:spacing w:after="0"/>
              <w:rPr>
                <w:sz w:val="18"/>
                <w:szCs w:val="18"/>
                <w:color w:val="auto"/>
              </w:rPr>
            </w:pPr>
          </w:p>
        </w:tc>
      </w:tr>
      <w:tr>
        <w:trPr>
          <w:trHeight w:val="27"/>
        </w:trPr>
        <w:tc>
          <w:tcPr>
            <w:tcW w:w="128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Consolidating Condensed Financial Information</w:t>
      </w:r>
    </w:p>
    <w:p>
      <w:pPr>
        <w:spacing w:after="0" w:line="189"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All of our wholly owned subsidiaries, except for the subsidiaries acquired in the Acquisition, have fully and conditionally guaranteed on a joint and several basis, the payments of all obligations under our Senior Notes and New Credit Facility as of December 31, 2015. Silver Legacy Joint Venture, LLC and CC-Reno, LLC were not guarantors as of December 31, 2015, but will become guarantors upon receipt of the required regulatory approval.</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consolidating condensed balance sheet as of December 31, 2015 is as follows: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w:t>
      </w:r>
    </w:p>
    <w:tbl>
      <w:tblPr>
        <w:tblLayout w:type="fixed"/>
        <w:tblInd w:w="0" w:type="dxa"/>
        <w:tblCellMar>
          <w:top w:w="0" w:type="dxa"/>
          <w:left w:w="0" w:type="dxa"/>
          <w:bottom w:w="0" w:type="dxa"/>
          <w:right w:w="0" w:type="dxa"/>
        </w:tblCellMar>
      </w:tblPr>
      <w:tr>
        <w:trPr>
          <w:trHeight w:val="140"/>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5"/>
              </w:rPr>
              <w:t>Eldorado</w:t>
            </w:r>
          </w:p>
        </w:tc>
        <w:tc>
          <w:tcPr>
            <w:tcW w:w="14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Non-Guarantor</w:t>
            </w:r>
          </w:p>
        </w:tc>
        <w:tc>
          <w:tcPr>
            <w:tcW w:w="13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Consolidating and</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Resorts, Inc.</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Eliminating</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Subsidiaries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Subsidiaries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Entries</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116,179</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401,998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(401,998)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270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Investment in and advances to</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unconsolidated affiliates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625,416</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575,466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582,127</w:t>
            </w: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1,325,008</w:t>
            </w: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Intercompany payables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w w:val="97"/>
              </w:rPr>
              <w:t>Long-term debt, less current maturities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861,713</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151,910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86,918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270,667</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6"/>
                <w:szCs w:val="16"/>
                <w:color w:val="auto"/>
                <w:w w:val="96"/>
              </w:rPr>
              <w:t>Total liabilities and stockholders’ equity</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495,202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1,165,868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220,897</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(556,959)</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1,325,008</w:t>
            </w:r>
          </w:p>
        </w:tc>
        <w:tc>
          <w:tcPr>
            <w:tcW w:w="0" w:type="dxa"/>
            <w:vAlign w:val="bottom"/>
          </w:tcPr>
          <w:p>
            <w:pPr>
              <w:spacing w:after="0"/>
              <w:rPr>
                <w:sz w:val="1"/>
                <w:szCs w:val="1"/>
                <w:color w:val="auto"/>
              </w:rPr>
            </w:pPr>
          </w:p>
        </w:tc>
      </w:tr>
      <w:tr>
        <w:trPr>
          <w:trHeight w:val="635"/>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consolidating condensed statement of operations for the year ended December 31, 2015 is as follows: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Operations</w:t>
      </w: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5"/>
              </w:rPr>
              <w:t>Eldorado</w:t>
            </w:r>
          </w:p>
        </w:tc>
        <w:tc>
          <w:tcPr>
            <w:tcW w:w="1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3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Non-Guarantor</w:t>
            </w:r>
          </w:p>
        </w:tc>
        <w:tc>
          <w:tcPr>
            <w:tcW w:w="13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Consolidating and</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Resorts, Inc.</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Eliminating</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(Parent Obligor)</w:t>
            </w: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Entries</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200"/>
        </w:trPr>
        <w:tc>
          <w:tcPr>
            <w:tcW w:w="2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w w:val="97"/>
              </w:rPr>
              <w:t>Gaming and pari-mutuel commissions</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623,258</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Non-gaming</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161,283</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Gross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784,541</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promotional allowances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(64,757)</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719,784</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w w:val="97"/>
              </w:rPr>
              <w:t>Gaming and pari-mutuel commissions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362,011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367,545</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Non-gaming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79,238</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Marketing and promotions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31,227</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56,921</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648,270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Loss on disposal of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Acquisition charges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139"/>
        </w:trPr>
        <w:tc>
          <w:tcPr>
            <w:tcW w:w="264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Equity in income of unconsolidated</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6"/>
                <w:szCs w:val="16"/>
                <w:color w:val="auto"/>
              </w:rPr>
              <w:t>Operating (loss) income</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72,602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13,760</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72,516</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(10,613)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(61,558)</w:t>
            </w:r>
          </w:p>
        </w:tc>
        <w:tc>
          <w:tcPr>
            <w:tcW w:w="0" w:type="dxa"/>
            <w:vAlign w:val="bottom"/>
          </w:tcPr>
          <w:p>
            <w:pPr>
              <w:spacing w:after="0"/>
              <w:rPr>
                <w:sz w:val="1"/>
                <w:szCs w:val="1"/>
                <w:color w:val="auto"/>
              </w:rPr>
            </w:pPr>
          </w:p>
        </w:tc>
      </w:tr>
      <w:tr>
        <w:trPr>
          <w:trHeight w:val="139"/>
        </w:trPr>
        <w:tc>
          <w:tcPr>
            <w:tcW w:w="264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Gain on valuation of unconsolidated</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35,582</w:t>
            </w: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affiliate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Loss on early retirement of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Net (loss) 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7"/>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114,183</w:t>
            </w:r>
          </w:p>
        </w:tc>
        <w:tc>
          <w:tcPr>
            <w:tcW w:w="0" w:type="dxa"/>
            <w:vAlign w:val="bottom"/>
          </w:tcPr>
          <w:p>
            <w:pPr>
              <w:spacing w:after="0"/>
              <w:rPr>
                <w:sz w:val="1"/>
                <w:szCs w:val="1"/>
                <w:color w:val="auto"/>
              </w:rPr>
            </w:pPr>
          </w:p>
        </w:tc>
      </w:tr>
      <w:tr>
        <w:trPr>
          <w:trHeight w:val="635"/>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431"/>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consolidating Condensed Statement of Cash Flows for the year ended December 31, 2015 is as follows:</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Cash Flows</w:t>
      </w:r>
    </w:p>
    <w:p>
      <w:pPr>
        <w:spacing w:after="0" w:line="200" w:lineRule="exact"/>
        <w:rPr>
          <w:sz w:val="20"/>
          <w:szCs w:val="20"/>
          <w:color w:val="auto"/>
        </w:rPr>
      </w:pP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Net cash (used in) provided by operating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Consolidating</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Resorts, Inc.</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(Parent Obligor)</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Entries</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19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(856)</w:t>
            </w:r>
          </w:p>
        </w:tc>
        <w:tc>
          <w:tcPr>
            <w:tcW w:w="16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51,784</w:t>
            </w:r>
          </w:p>
        </w:tc>
        <w:tc>
          <w:tcPr>
            <w:tcW w:w="16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8,379</w:t>
            </w:r>
          </w:p>
        </w:tc>
        <w:tc>
          <w:tcPr>
            <w:tcW w:w="16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(2,592)</w:t>
            </w:r>
          </w:p>
        </w:tc>
        <w:tc>
          <w:tcPr>
            <w:tcW w:w="160" w:type="dxa"/>
            <w:vAlign w:val="bottom"/>
          </w:tcPr>
          <w:p>
            <w:pPr>
              <w:spacing w:after="0"/>
              <w:rPr>
                <w:sz w:val="17"/>
                <w:szCs w:val="17"/>
                <w:color w:val="auto"/>
              </w:rPr>
            </w:pPr>
          </w:p>
        </w:tc>
        <w:tc>
          <w:tcPr>
            <w:tcW w:w="3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56,715</w:t>
            </w:r>
          </w:p>
        </w:tc>
        <w:tc>
          <w:tcPr>
            <w:tcW w:w="0" w:type="dxa"/>
            <w:vAlign w:val="bottom"/>
          </w:tcPr>
          <w:p>
            <w:pPr>
              <w:spacing w:after="0"/>
              <w:rPr>
                <w:sz w:val="1"/>
                <w:szCs w:val="1"/>
                <w:color w:val="auto"/>
              </w:rPr>
            </w:pPr>
          </w:p>
        </w:tc>
      </w:tr>
      <w:tr>
        <w:trPr>
          <w:trHeight w:val="53"/>
        </w:trPr>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Borders>
              <w:bottom w:val="single" w:sz="8" w:color="auto"/>
            </w:tcBorders>
            <w:vMerge w:val="continue"/>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-179705</wp:posOffset>
            </wp:positionV>
            <wp:extent cx="575437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1714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360" w:space="480"/>
            <w:col w:w="6220"/>
          </w:cols>
          <w:pgMar w:left="1420" w:top="112" w:right="1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 net of payables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(36,762)</w:t>
            </w:r>
          </w:p>
        </w:tc>
        <w:tc>
          <w:tcPr>
            <w:tcW w:w="0" w:type="dxa"/>
            <w:vAlign w:val="bottom"/>
          </w:tcPr>
          <w:p>
            <w:pPr>
              <w:spacing w:after="0"/>
              <w:rPr>
                <w:sz w:val="1"/>
                <w:szCs w:val="1"/>
                <w:color w:val="auto"/>
              </w:rPr>
            </w:pPr>
          </w:p>
        </w:tc>
      </w:tr>
      <w:tr>
        <w:trPr>
          <w:trHeight w:val="108"/>
        </w:trPr>
        <w:tc>
          <w:tcPr>
            <w:tcW w:w="2700" w:type="dxa"/>
            <w:vAlign w:val="bottom"/>
          </w:tcPr>
          <w:p>
            <w:pPr>
              <w:spacing w:after="0" w:line="108" w:lineRule="exact"/>
              <w:rPr>
                <w:sz w:val="20"/>
                <w:szCs w:val="20"/>
                <w:color w:val="auto"/>
              </w:rPr>
            </w:pPr>
            <w:r>
              <w:rPr>
                <w:rFonts w:ascii="Arial" w:cs="Arial" w:eastAsia="Arial" w:hAnsi="Arial"/>
                <w:sz w:val="12"/>
                <w:szCs w:val="12"/>
                <w:color w:val="auto"/>
              </w:rPr>
              <w:t>Reimbursement of capital expenditures from</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1,266</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9"/>
                <w:szCs w:val="9"/>
                <w:color w:val="auto"/>
              </w:rPr>
            </w:pPr>
          </w:p>
        </w:tc>
        <w:tc>
          <w:tcPr>
            <w:tcW w:w="124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West Virginia regulatory authorities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Investment in unconsolidated affiliate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08"/>
        </w:trPr>
        <w:tc>
          <w:tcPr>
            <w:tcW w:w="2700" w:type="dxa"/>
            <w:vAlign w:val="bottom"/>
          </w:tcPr>
          <w:p>
            <w:pPr>
              <w:spacing w:after="0" w:line="108" w:lineRule="exact"/>
              <w:rPr>
                <w:sz w:val="20"/>
                <w:szCs w:val="20"/>
                <w:color w:val="auto"/>
              </w:rPr>
            </w:pPr>
            <w:r>
              <w:rPr>
                <w:rFonts w:ascii="Arial" w:cs="Arial" w:eastAsia="Arial" w:hAnsi="Arial"/>
                <w:sz w:val="12"/>
                <w:szCs w:val="12"/>
                <w:color w:val="auto"/>
              </w:rPr>
              <w:t>Proceeds from sale of property and</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9"/>
                <w:szCs w:val="9"/>
                <w:color w:val="auto"/>
              </w:rPr>
            </w:pPr>
          </w:p>
        </w:tc>
        <w:tc>
          <w:tcPr>
            <w:tcW w:w="124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equipment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Decrease in restricted cash due to credit</w:t>
            </w: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support deposit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(Increase) Decrease in other assets, net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Net cash (used) acquired in business</w:t>
            </w: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(211,813)</w:t>
            </w: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86,797</w:t>
            </w: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(125,016)</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combinations</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line="88" w:lineRule="exact"/>
              <w:rPr>
                <w:sz w:val="20"/>
                <w:szCs w:val="20"/>
                <w:color w:val="auto"/>
              </w:rPr>
            </w:pPr>
            <w:r>
              <w:rPr>
                <w:rFonts w:ascii="Arial" w:cs="Arial" w:eastAsia="Arial" w:hAnsi="Arial"/>
                <w:sz w:val="10"/>
                <w:szCs w:val="10"/>
                <w:color w:val="auto"/>
              </w:rPr>
              <w:t>Net cash (used in) provided by investing</w:t>
            </w:r>
          </w:p>
        </w:tc>
        <w:tc>
          <w:tcPr>
            <w:tcW w:w="1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(214,504)</w:t>
            </w:r>
          </w:p>
        </w:tc>
        <w:tc>
          <w:tcPr>
            <w:tcW w:w="1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(29,018)</w:t>
            </w:r>
          </w:p>
        </w:tc>
        <w:tc>
          <w:tcPr>
            <w:tcW w:w="1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(282)</w:t>
            </w:r>
          </w:p>
        </w:tc>
        <w:tc>
          <w:tcPr>
            <w:tcW w:w="1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85,050</w:t>
            </w:r>
          </w:p>
        </w:tc>
        <w:tc>
          <w:tcPr>
            <w:tcW w:w="1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(158,754)</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activities</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Proceeds from long-term debt borrowings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800,000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Net borrowings on New Revolving Credit</w:t>
            </w: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93,500</w:t>
            </w: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93,500</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Facility</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Principal payments under Senior Notes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Retirement of long-term debt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(649,538)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(79,126)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(728,664)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4"/>
                <w:szCs w:val="14"/>
                <w:color w:val="auto"/>
              </w:rPr>
              <w:t>Call premium on early retirement of debt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(44,090)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(44,090)</w:t>
            </w: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Net proceeds from (payments to) related</w:t>
            </w: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73,036</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(5,832)</w:t>
            </w: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(67,204)</w:t>
            </w: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parties</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700" w:type="dxa"/>
            <w:vAlign w:val="bottom"/>
          </w:tcPr>
          <w:p>
            <w:pPr>
              <w:spacing w:after="0" w:line="88" w:lineRule="exact"/>
              <w:rPr>
                <w:sz w:val="20"/>
                <w:szCs w:val="20"/>
                <w:color w:val="auto"/>
              </w:rPr>
            </w:pPr>
            <w:r>
              <w:rPr>
                <w:rFonts w:ascii="Arial" w:cs="Arial" w:eastAsia="Arial" w:hAnsi="Arial"/>
                <w:sz w:val="10"/>
                <w:szCs w:val="10"/>
                <w:color w:val="auto"/>
              </w:rPr>
              <w:t>Net cash provided by (used in) financing</w:t>
            </w:r>
          </w:p>
        </w:tc>
        <w:tc>
          <w:tcPr>
            <w:tcW w:w="1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216,017</w:t>
            </w:r>
          </w:p>
        </w:tc>
        <w:tc>
          <w:tcPr>
            <w:tcW w:w="1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(50,268)</w:t>
            </w:r>
          </w:p>
        </w:tc>
        <w:tc>
          <w:tcPr>
            <w:tcW w:w="1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(5,832)</w:t>
            </w:r>
          </w:p>
        </w:tc>
        <w:tc>
          <w:tcPr>
            <w:tcW w:w="16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(67,204)</w:t>
            </w:r>
          </w:p>
        </w:tc>
        <w:tc>
          <w:tcPr>
            <w:tcW w:w="1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92,713</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activities</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70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INCREASE (DECREASE) IN CASH AND</w:t>
            </w: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(27,502)</w:t>
            </w: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15,254</w:t>
            </w:r>
          </w:p>
        </w:tc>
        <w:tc>
          <w:tcPr>
            <w:tcW w:w="1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(9,326)</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line="108" w:lineRule="exact"/>
              <w:rPr>
                <w:sz w:val="20"/>
                <w:szCs w:val="20"/>
                <w:color w:val="auto"/>
              </w:rPr>
            </w:pPr>
            <w:r>
              <w:rPr>
                <w:rFonts w:ascii="Arial" w:cs="Arial" w:eastAsia="Arial" w:hAnsi="Arial"/>
                <w:sz w:val="12"/>
                <w:szCs w:val="12"/>
                <w:color w:val="auto"/>
              </w:rPr>
              <w:t>CASH AND CASH EQUIVALENTS,</w:t>
            </w: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87,604</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15,254</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(15,254)</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87,604</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BEGINNING OF YEAR</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70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CASH AND CASH EQUIVALENTS, END</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6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60,102</w:t>
            </w:r>
          </w:p>
        </w:tc>
        <w:tc>
          <w:tcPr>
            <w:tcW w:w="16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17,519</w:t>
            </w:r>
          </w:p>
        </w:tc>
        <w:tc>
          <w:tcPr>
            <w:tcW w:w="16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40" w:type="dxa"/>
            <w:vAlign w:val="bottom"/>
            <w:gridSpan w:val="3"/>
            <w:vMerge w:val="restart"/>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78,278</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YEAR</w:t>
            </w:r>
          </w:p>
        </w:tc>
        <w:tc>
          <w:tcPr>
            <w:tcW w:w="440" w:type="dxa"/>
            <w:vAlign w:val="bottom"/>
            <w:gridSpan w:val="2"/>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240" w:type="dxa"/>
            <w:vAlign w:val="bottom"/>
            <w:gridSpan w:val="3"/>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Quarterly Data (Unaudited)</w:t>
      </w:r>
    </w:p>
    <w:p>
      <w:pPr>
        <w:spacing w:after="0" w:line="189" w:lineRule="exact"/>
        <w:rPr>
          <w:sz w:val="20"/>
          <w:szCs w:val="20"/>
          <w:color w:val="auto"/>
        </w:rPr>
      </w:pPr>
    </w:p>
    <w:p>
      <w:pPr>
        <w:ind w:right="39" w:firstLine="648"/>
        <w:spacing w:after="0" w:line="238" w:lineRule="auto"/>
        <w:rPr>
          <w:sz w:val="20"/>
          <w:szCs w:val="20"/>
          <w:color w:val="auto"/>
        </w:rPr>
      </w:pPr>
      <w:r>
        <w:rPr>
          <w:rFonts w:ascii="Arial" w:cs="Arial" w:eastAsia="Arial" w:hAnsi="Arial"/>
          <w:sz w:val="17"/>
          <w:szCs w:val="17"/>
          <w:color w:val="auto"/>
        </w:rPr>
        <w:t>The following table sets forth certain consolidated quarterly financial information for the years ended December 31, 2015, 2014 and 2013. The quarterly information only includes the operations of Silver Legacy and Circus Reno from the Acquisition Date through December 31, 2015 and MTR Gaming from the Merger Date through December 31, 2015.</w:t>
      </w:r>
    </w:p>
    <w:p>
      <w:pPr>
        <w:sectPr>
          <w:pgSz w:w="11900" w:h="16838" w:orient="portrait"/>
          <w:cols w:equalWidth="0" w:num="1">
            <w:col w:w="9039"/>
          </w:cols>
          <w:pgMar w:left="142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Less—promotional allowances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income per common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income per common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outstanding—basic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Less—promotional allowances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net (loss) income per common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Less—promotional allowances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common share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outstanding—basic and diluted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March 31,</w:t>
            </w:r>
          </w:p>
        </w:tc>
        <w:tc>
          <w:tcPr>
            <w:tcW w:w="2220" w:type="dxa"/>
            <w:vAlign w:val="bottom"/>
            <w:gridSpan w:val="2"/>
          </w:tcPr>
          <w:p>
            <w:pPr>
              <w:ind w:left="620"/>
              <w:spacing w:after="0"/>
              <w:rPr>
                <w:sz w:val="20"/>
                <w:szCs w:val="20"/>
                <w:color w:val="auto"/>
              </w:rPr>
            </w:pPr>
            <w:r>
              <w:rPr>
                <w:rFonts w:ascii="Arial" w:cs="Arial" w:eastAsia="Arial" w:hAnsi="Arial"/>
                <w:sz w:val="14"/>
                <w:szCs w:val="14"/>
                <w:b w:val="1"/>
                <w:bCs w:val="1"/>
                <w:color w:val="auto"/>
              </w:rPr>
              <w:t>Quarter Ended</w:t>
            </w: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920" w:type="dxa"/>
            <w:vAlign w:val="bottom"/>
            <w:vMerge w:val="continue"/>
          </w:tcPr>
          <w:p>
            <w:pPr>
              <w:spacing w:after="0"/>
              <w:rPr>
                <w:sz w:val="16"/>
                <w:szCs w:val="16"/>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2744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-103505</wp:posOffset>
            </wp:positionV>
            <wp:extent cx="2744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212" w:lineRule="exact"/>
        <w:rPr>
          <w:sz w:val="20"/>
          <w:szCs w:val="20"/>
          <w:color w:val="auto"/>
        </w:rPr>
      </w:pPr>
    </w:p>
    <w:p>
      <w:pPr>
        <w:ind w:left="320" w:hanging="318"/>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182,809   $   198,356   $   199,536   $   203,840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-121920</wp:posOffset>
            </wp:positionV>
            <wp:extent cx="575437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5" w:lineRule="exact"/>
        <w:rPr>
          <w:sz w:val="20"/>
          <w:szCs w:val="20"/>
          <w:color w:val="auto"/>
        </w:rPr>
      </w:pPr>
    </w:p>
    <w:p>
      <w:pPr>
        <w:ind w:left="340"/>
        <w:spacing w:after="0"/>
        <w:tabs>
          <w:tab w:leader="none" w:pos="1440" w:val="left"/>
          <w:tab w:leader="none" w:pos="2560" w:val="left"/>
          <w:tab w:leader="none" w:pos="3680" w:val="left"/>
        </w:tabs>
        <w:rPr>
          <w:sz w:val="20"/>
          <w:szCs w:val="20"/>
          <w:color w:val="auto"/>
        </w:rPr>
      </w:pPr>
      <w:r>
        <w:rPr>
          <w:rFonts w:ascii="Arial" w:cs="Arial" w:eastAsia="Arial" w:hAnsi="Arial"/>
          <w:sz w:val="18"/>
          <w:szCs w:val="18"/>
          <w:color w:val="auto"/>
        </w:rPr>
        <w:t>(15,358)</w:t>
      </w:r>
      <w:r>
        <w:rPr>
          <w:sz w:val="20"/>
          <w:szCs w:val="20"/>
          <w:color w:val="auto"/>
        </w:rPr>
        <w:tab/>
      </w:r>
      <w:r>
        <w:rPr>
          <w:rFonts w:ascii="Arial" w:cs="Arial" w:eastAsia="Arial" w:hAnsi="Arial"/>
          <w:sz w:val="18"/>
          <w:szCs w:val="18"/>
          <w:color w:val="auto"/>
        </w:rPr>
        <w:t>(15,723)</w:t>
      </w:r>
      <w:r>
        <w:rPr>
          <w:sz w:val="20"/>
          <w:szCs w:val="20"/>
          <w:color w:val="auto"/>
        </w:rPr>
        <w:tab/>
      </w:r>
      <w:r>
        <w:rPr>
          <w:rFonts w:ascii="Arial" w:cs="Arial" w:eastAsia="Arial" w:hAnsi="Arial"/>
          <w:sz w:val="18"/>
          <w:szCs w:val="18"/>
          <w:color w:val="auto"/>
        </w:rPr>
        <w:t>(15,996)</w:t>
      </w:r>
      <w:r>
        <w:rPr>
          <w:sz w:val="20"/>
          <w:szCs w:val="20"/>
          <w:color w:val="auto"/>
        </w:rPr>
        <w:tab/>
      </w:r>
      <w:r>
        <w:rPr>
          <w:rFonts w:ascii="Arial" w:cs="Arial" w:eastAsia="Arial" w:hAnsi="Arial"/>
          <w:sz w:val="16"/>
          <w:szCs w:val="16"/>
          <w:color w:val="auto"/>
        </w:rPr>
        <w:t>(17,680)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4445</wp:posOffset>
            </wp:positionV>
            <wp:extent cx="575437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167,451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182,633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183,540</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186,160</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154,766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171,464</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13,281</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(6,164)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110,153</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46,494,638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46,516,614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46,516,614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46,670,735</w:t>
            </w:r>
          </w:p>
        </w:tc>
      </w:tr>
      <w:tr>
        <w:trPr>
          <w:trHeight w:val="230"/>
        </w:trPr>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46,494,638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46,657,618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46,763,589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47,227,127</w:t>
            </w:r>
          </w:p>
        </w:tc>
      </w:tr>
      <w:tr>
        <w:trPr>
          <w:trHeight w:val="432"/>
        </w:trPr>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r>
      <w:tr>
        <w:trPr>
          <w:trHeight w:val="211"/>
        </w:trPr>
        <w:tc>
          <w:tcPr>
            <w:tcW w:w="100" w:type="dxa"/>
            <w:vAlign w:val="bottom"/>
          </w:tcPr>
          <w:p>
            <w:pPr>
              <w:spacing w:after="0"/>
              <w:rPr>
                <w:sz w:val="18"/>
                <w:szCs w:val="18"/>
                <w:color w:val="auto"/>
              </w:rPr>
            </w:pPr>
          </w:p>
        </w:tc>
        <w:tc>
          <w:tcPr>
            <w:tcW w:w="4220" w:type="dxa"/>
            <w:vAlign w:val="bottom"/>
            <w:gridSpan w:val="11"/>
          </w:tcPr>
          <w:p>
            <w:pPr>
              <w:jc w:val="right"/>
              <w:ind w:right="570"/>
              <w:spacing w:after="0"/>
              <w:rPr>
                <w:sz w:val="20"/>
                <w:szCs w:val="20"/>
                <w:color w:val="auto"/>
              </w:rPr>
            </w:pPr>
            <w:r>
              <w:rPr>
                <w:rFonts w:ascii="Arial" w:cs="Arial" w:eastAsia="Arial" w:hAnsi="Arial"/>
                <w:sz w:val="14"/>
                <w:szCs w:val="14"/>
                <w:b w:val="1"/>
                <w:bCs w:val="1"/>
                <w:color w:val="auto"/>
              </w:rPr>
              <w:t>(Dollars in thousands, except per share amounts)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-1389380</wp:posOffset>
            </wp:positionV>
            <wp:extent cx="575437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-1115060</wp:posOffset>
            </wp:positionV>
            <wp:extent cx="575437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-840740</wp:posOffset>
            </wp:positionV>
            <wp:extent cx="575437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-8890</wp:posOffset>
            </wp:positionV>
            <wp:extent cx="575437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67" w:lineRule="exact"/>
        <w:rPr>
          <w:sz w:val="20"/>
          <w:szCs w:val="20"/>
          <w:color w:val="auto"/>
        </w:rPr>
      </w:pPr>
    </w:p>
    <w:p>
      <w:pPr>
        <w:ind w:left="420" w:hanging="418"/>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67,083   $72,725   $</w:t>
      </w:r>
      <w:r>
        <w:rPr>
          <w:rFonts w:ascii="Arial" w:cs="Arial" w:eastAsia="Arial" w:hAnsi="Arial"/>
          <w:sz w:val="17"/>
          <w:szCs w:val="17"/>
          <w:color w:val="auto"/>
        </w:rPr>
        <w:t>90,528   $   179,936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14605</wp:posOffset>
            </wp:positionV>
            <wp:extent cx="575437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(15,841)</w:t>
            </w:r>
          </w:p>
        </w:tc>
      </w:tr>
      <w:tr>
        <w:trPr>
          <w:trHeight w:val="195"/>
        </w:trPr>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57,030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61,749</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78,949</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164,095</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156,755</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(2,333)</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(10,834)</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23,311,492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23,311,492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26,075,022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46,441,249</w:t>
            </w:r>
          </w:p>
        </w:tc>
      </w:tr>
      <w:tr>
        <w:trPr>
          <w:trHeight w:val="432"/>
        </w:trPr>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r>
      <w:tr>
        <w:trPr>
          <w:trHeight w:val="211"/>
        </w:trPr>
        <w:tc>
          <w:tcPr>
            <w:tcW w:w="100" w:type="dxa"/>
            <w:vAlign w:val="bottom"/>
          </w:tcPr>
          <w:p>
            <w:pPr>
              <w:spacing w:after="0"/>
              <w:rPr>
                <w:sz w:val="18"/>
                <w:szCs w:val="18"/>
                <w:color w:val="auto"/>
              </w:rPr>
            </w:pPr>
          </w:p>
        </w:tc>
        <w:tc>
          <w:tcPr>
            <w:tcW w:w="4220" w:type="dxa"/>
            <w:vAlign w:val="bottom"/>
            <w:gridSpan w:val="11"/>
          </w:tcPr>
          <w:p>
            <w:pPr>
              <w:jc w:val="right"/>
              <w:ind w:right="570"/>
              <w:spacing w:after="0"/>
              <w:rPr>
                <w:sz w:val="20"/>
                <w:szCs w:val="20"/>
                <w:color w:val="auto"/>
              </w:rPr>
            </w:pPr>
            <w:r>
              <w:rPr>
                <w:rFonts w:ascii="Arial" w:cs="Arial" w:eastAsia="Arial" w:hAnsi="Arial"/>
                <w:sz w:val="14"/>
                <w:szCs w:val="14"/>
                <w:b w:val="1"/>
                <w:bCs w:val="1"/>
                <w:color w:val="auto"/>
              </w:rPr>
              <w:t>(Dollars in thousands, except per share amounts)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-1252220</wp:posOffset>
            </wp:positionV>
            <wp:extent cx="575437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-977900</wp:posOffset>
            </wp:positionV>
            <wp:extent cx="575437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-703580</wp:posOffset>
            </wp:positionV>
            <wp:extent cx="575437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-8890</wp:posOffset>
            </wp:positionV>
            <wp:extent cx="575437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67" w:lineRule="exact"/>
        <w:rPr>
          <w:sz w:val="20"/>
          <w:szCs w:val="20"/>
          <w:color w:val="auto"/>
        </w:rPr>
      </w:pPr>
    </w:p>
    <w:p>
      <w:pPr>
        <w:ind w:left="420" w:hanging="418"/>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72,607   $76,864   $74,950   $</w:t>
      </w:r>
      <w:r>
        <w:rPr>
          <w:rFonts w:ascii="Arial" w:cs="Arial" w:eastAsia="Arial" w:hAnsi="Arial"/>
          <w:sz w:val="16"/>
          <w:szCs w:val="16"/>
          <w:color w:val="auto"/>
        </w:rPr>
        <w:t>65,832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14605</wp:posOffset>
            </wp:positionV>
            <wp:extent cx="575437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(10,284)</w:t>
            </w:r>
          </w:p>
        </w:tc>
      </w:tr>
      <w:tr>
        <w:trPr>
          <w:trHeight w:val="195"/>
        </w:trPr>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62,179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65,828</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63,631</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55,548</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54,528</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7,078</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23,311,492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23,311,492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23,311,492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23,311,492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-685165</wp:posOffset>
            </wp:positionV>
            <wp:extent cx="575437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-410845</wp:posOffset>
            </wp:positionV>
            <wp:extent cx="575437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-2956560</wp:posOffset>
            </wp:positionH>
            <wp:positionV relativeFrom="paragraph">
              <wp:posOffset>-136525</wp:posOffset>
            </wp:positionV>
            <wp:extent cx="575437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580"/>
            <w:col w:w="4379"/>
          </w:cols>
          <w:pgMar w:left="1420" w:top="1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type w:val="continuous"/>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Column B</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Balance at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Column E</w:t>
            </w: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4"/>
                <w:szCs w:val="14"/>
                <w:b w:val="1"/>
                <w:bCs w:val="1"/>
                <w:color w:val="auto"/>
              </w:rPr>
              <w:t>Column 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77"/>
              <w:spacing w:after="0"/>
              <w:rPr>
                <w:sz w:val="20"/>
                <w:szCs w:val="20"/>
                <w:color w:val="auto"/>
              </w:rPr>
            </w:pPr>
            <w:r>
              <w:rPr>
                <w:rFonts w:ascii="Arial" w:cs="Arial" w:eastAsia="Arial" w:hAnsi="Arial"/>
                <w:sz w:val="14"/>
                <w:szCs w:val="14"/>
                <w:b w:val="1"/>
                <w:bCs w:val="1"/>
                <w:color w:val="auto"/>
              </w:rPr>
              <w:t>Column 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Balance at End</w:t>
            </w:r>
          </w:p>
        </w:tc>
      </w:tr>
      <w:tr>
        <w:trPr>
          <w:trHeight w:val="195"/>
        </w:trPr>
        <w:tc>
          <w:tcPr>
            <w:tcW w:w="4080" w:type="dxa"/>
            <w:vAlign w:val="bottom"/>
          </w:tcPr>
          <w:p>
            <w:pPr>
              <w:spacing w:after="0"/>
              <w:rPr>
                <w:sz w:val="20"/>
                <w:szCs w:val="20"/>
                <w:color w:val="auto"/>
              </w:rPr>
            </w:pPr>
            <w:r>
              <w:rPr>
                <w:rFonts w:ascii="Arial" w:cs="Arial" w:eastAsia="Arial" w:hAnsi="Arial"/>
                <w:sz w:val="14"/>
                <w:szCs w:val="14"/>
                <w:b w:val="1"/>
                <w:bCs w:val="1"/>
                <w:color w:val="auto"/>
              </w:rPr>
              <w:t>Column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b w:val="1"/>
                <w:bCs w:val="1"/>
                <w:color w:val="auto"/>
                <w:w w:val="93"/>
              </w:rPr>
              <w:t>Additions(1)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Deductions(2)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 Period</w:t>
            </w:r>
          </w:p>
        </w:tc>
      </w:tr>
      <w:tr>
        <w:trPr>
          <w:trHeight w:val="216"/>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2,074</w:t>
            </w:r>
          </w:p>
        </w:tc>
        <w:tc>
          <w:tcPr>
            <w:tcW w:w="1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2,589</w:t>
            </w:r>
          </w:p>
        </w:tc>
        <w:tc>
          <w:tcPr>
            <w:tcW w:w="1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3"/>
        </w:trPr>
        <w:tc>
          <w:tcPr>
            <w:tcW w:w="4080" w:type="dxa"/>
            <w:vAlign w:val="bottom"/>
          </w:tcPr>
          <w:p>
            <w:pPr>
              <w:ind w:left="1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1,379</w:t>
            </w: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5" w:lineRule="exact"/>
        <w:rPr>
          <w:sz w:val="20"/>
          <w:szCs w:val="20"/>
          <w:color w:val="auto"/>
        </w:rPr>
      </w:pPr>
    </w:p>
    <w:p>
      <w:pPr>
        <w:ind w:left="440" w:hanging="437"/>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charged to costs and expenses, net of recoveries.</w:t>
      </w:r>
    </w:p>
    <w:p>
      <w:pPr>
        <w:spacing w:after="0" w:line="77" w:lineRule="exact"/>
        <w:rPr>
          <w:sz w:val="20"/>
          <w:szCs w:val="20"/>
          <w:color w:val="auto"/>
        </w:rPr>
      </w:pPr>
    </w:p>
    <w:p>
      <w:pPr>
        <w:ind w:left="220" w:right="640" w:hanging="215"/>
        <w:spacing w:after="0" w:line="235" w:lineRule="auto"/>
        <w:rPr>
          <w:sz w:val="20"/>
          <w:szCs w:val="20"/>
          <w:color w:val="auto"/>
        </w:rPr>
      </w:pPr>
      <w:r>
        <w:rPr>
          <w:rFonts w:ascii="Arial" w:cs="Arial" w:eastAsia="Arial" w:hAnsi="Arial"/>
          <w:sz w:val="18"/>
          <w:szCs w:val="18"/>
          <w:color w:val="auto"/>
        </w:rPr>
        <w:t>(2)Uncollectible accounts written off, net of recoveries of $927,000, $200,000 and $28,000 in 2015, 2014 and 2013,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THE REGISTRANT’S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3240" w:type="dxa"/>
            <w:vAlign w:val="bottom"/>
          </w:tcPr>
          <w:p>
            <w:pPr>
              <w:ind w:left="740"/>
              <w:spacing w:after="0"/>
              <w:rPr>
                <w:sz w:val="20"/>
                <w:szCs w:val="20"/>
                <w:color w:val="auto"/>
              </w:rPr>
            </w:pPr>
            <w:r>
              <w:rPr>
                <w:rFonts w:ascii="Arial" w:cs="Arial" w:eastAsia="Arial" w:hAnsi="Arial"/>
                <w:sz w:val="14"/>
                <w:szCs w:val="14"/>
                <w:b w:val="1"/>
                <w:bCs w:val="1"/>
                <w:color w:val="auto"/>
              </w:rPr>
              <w:t>Jurisdiction of Organization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Eldorado HoldCo LLC</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Eldorado Resorts LLC (dba Eldorado Hotel &amp; Casino)</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Circus and Eldorado Joint Venture, LLC (dba Silver Legacy Resort Casino)</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Eldorado Capital Corp.</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CC-Reno, LLC (dba Circus Circus Reno)</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CC-Newco, LLC</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 #1, LLC</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Eldorado Shreveport #2, LLC</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Eldorado Casino Shreveport Joint Venture (dba Eldorado Casino Shreveport)</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Shreveport Capital Corporation</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Louisana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MTR Gaming Group, Inc.</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Mountaineer Park, Inc. (dba Mountaineer Race Track and Resort)</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Presque Isle Downs, Inc. (dba Presque Isle Downs &amp; Casino)</w:t>
            </w:r>
          </w:p>
        </w:tc>
        <w:tc>
          <w:tcPr>
            <w:tcW w:w="3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Scioto Downs, Inc. (dba Scioto Downs)</w:t>
            </w: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465"/>
        </w:trPr>
        <w:tc>
          <w:tcPr>
            <w:tcW w:w="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1" w:right="919" w:bottom="1440" w:gutter="0" w:footer="0" w:header="0"/>
        </w:sectPr>
      </w:pPr>
    </w:p>
    <w:bookmarkStart w:id="110" w:name="page111"/>
    <w:bookmarkEnd w:id="110"/>
    <w:p>
      <w:pPr>
        <w:ind w:left="7860"/>
        <w:spacing w:after="0"/>
        <w:rPr>
          <w:sz w:val="20"/>
          <w:szCs w:val="20"/>
          <w:color w:val="auto"/>
        </w:rPr>
      </w:pPr>
      <w:r>
        <w:rPr>
          <w:rFonts w:ascii="Arial" w:cs="Arial" w:eastAsia="Arial" w:hAnsi="Arial"/>
          <w:sz w:val="18"/>
          <w:szCs w:val="18"/>
          <w:b w:val="1"/>
          <w:bCs w:val="1"/>
          <w:color w:val="auto"/>
        </w:rPr>
        <w:t>Exhibit 23.1</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jc w:val="both"/>
        <w:ind w:left="160" w:right="139"/>
        <w:spacing w:after="0" w:line="267" w:lineRule="auto"/>
        <w:rPr>
          <w:sz w:val="20"/>
          <w:szCs w:val="20"/>
          <w:color w:val="auto"/>
        </w:rPr>
      </w:pPr>
      <w:r>
        <w:rPr>
          <w:rFonts w:ascii="Arial" w:cs="Arial" w:eastAsia="Arial" w:hAnsi="Arial"/>
          <w:sz w:val="18"/>
          <w:szCs w:val="18"/>
          <w:color w:val="auto"/>
        </w:rPr>
        <w:t>We consent to the incorporation by reference in the Registration Statements on Form S-8 (No’s. 333-198830 and 333-203227) of our reports dated March 15, 2016 with respect to the consolidated financial statements of Eldorado Resorts, Inc. and the effectiveness of internal control over financial reporting of Eldorado Resorts, Inc. included in this Annual Report on Form 10-K for the year ended December 31, 2015.</w:t>
      </w: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Las Vegas, Nevada</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March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266065</wp:posOffset>
            </wp:positionV>
            <wp:extent cx="554863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Eldorado Resorts,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60" w:hanging="657"/>
        <w:spacing w:after="0" w:line="194" w:lineRule="exact"/>
        <w:tabs>
          <w:tab w:leader="none" w:pos="68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we have:</w:t>
      </w:r>
    </w:p>
    <w:p>
      <w:pPr>
        <w:spacing w:after="0" w:line="161" w:lineRule="exact"/>
        <w:rPr>
          <w:rFonts w:ascii="Arial" w:cs="Arial" w:eastAsia="Arial" w:hAnsi="Arial"/>
          <w:sz w:val="17"/>
          <w:szCs w:val="17"/>
          <w:color w:val="auto"/>
        </w:rPr>
      </w:pPr>
    </w:p>
    <w:p>
      <w:pPr>
        <w:ind w:left="1300" w:right="40" w:hanging="649"/>
        <w:spacing w:after="0" w:line="219" w:lineRule="auto"/>
        <w:tabs>
          <w:tab w:leader="none" w:pos="13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660" w:right="20" w:hanging="657"/>
        <w:spacing w:after="0" w:line="224"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140" w:hanging="649"/>
        <w:spacing w:after="0" w:line="235" w:lineRule="auto"/>
        <w:tabs>
          <w:tab w:leader="none" w:pos="13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Robert M. Jones,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Eldorado Resorts,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60" w:hanging="657"/>
        <w:spacing w:after="0" w:line="194" w:lineRule="exact"/>
        <w:tabs>
          <w:tab w:leader="none" w:pos="68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we have:</w:t>
      </w:r>
    </w:p>
    <w:p>
      <w:pPr>
        <w:spacing w:after="0" w:line="161" w:lineRule="exact"/>
        <w:rPr>
          <w:rFonts w:ascii="Arial" w:cs="Arial" w:eastAsia="Arial" w:hAnsi="Arial"/>
          <w:sz w:val="17"/>
          <w:szCs w:val="17"/>
          <w:color w:val="auto"/>
        </w:rPr>
      </w:pPr>
    </w:p>
    <w:p>
      <w:pPr>
        <w:ind w:left="1300" w:right="40" w:hanging="649"/>
        <w:spacing w:after="0" w:line="219" w:lineRule="auto"/>
        <w:tabs>
          <w:tab w:leader="none" w:pos="13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660" w:right="20" w:hanging="657"/>
        <w:spacing w:after="0" w:line="224"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140" w:hanging="649"/>
        <w:spacing w:after="0" w:line="235" w:lineRule="auto"/>
        <w:tabs>
          <w:tab w:leader="none" w:pos="13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-1905</wp:posOffset>
            </wp:positionV>
            <wp:extent cx="2727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4680"/>
        <w:spacing w:after="0" w:line="232" w:lineRule="auto"/>
        <w:rPr>
          <w:sz w:val="20"/>
          <w:szCs w:val="20"/>
          <w:color w:val="auto"/>
        </w:rPr>
      </w:pPr>
      <w:r>
        <w:rPr>
          <w:rFonts w:ascii="Arial" w:cs="Arial" w:eastAsia="Arial" w:hAnsi="Arial"/>
          <w:sz w:val="18"/>
          <w:szCs w:val="18"/>
          <w:color w:val="auto"/>
        </w:rPr>
        <w:t>Robert M. Jones</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Gary L. Carano</w:t>
      </w: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169" w:lineRule="exact"/>
        <w:rPr>
          <w:sz w:val="20"/>
          <w:szCs w:val="20"/>
          <w:color w:val="auto"/>
        </w:rPr>
      </w:pPr>
    </w:p>
    <w:p>
      <w:pPr>
        <w:jc w:val="both"/>
        <w:ind w:right="680" w:firstLine="648"/>
        <w:spacing w:after="0" w:line="194" w:lineRule="exact"/>
        <w:rPr>
          <w:sz w:val="20"/>
          <w:szCs w:val="20"/>
          <w:color w:val="auto"/>
        </w:rPr>
      </w:pPr>
      <w:r>
        <w:rPr>
          <w:rFonts w:ascii="Arial" w:cs="Arial" w:eastAsia="Arial" w:hAnsi="Arial"/>
          <w:sz w:val="18"/>
          <w:szCs w:val="18"/>
          <w:color w:val="auto"/>
        </w:rPr>
        <w:t>I, Gary L. Carano, Chief Executive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ind w:left="1300" w:right="500" w:hanging="649"/>
        <w:spacing w:after="0" w:line="194" w:lineRule="exact"/>
        <w:tabs>
          <w:tab w:leader="none" w:pos="13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 for the fiscal year ended December 31, 2015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300" w:right="280" w:hanging="649"/>
        <w:spacing w:after="0" w:line="235" w:lineRule="auto"/>
        <w:tabs>
          <w:tab w:leader="none" w:pos="13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-1905</wp:posOffset>
            </wp:positionV>
            <wp:extent cx="2735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468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Robert M. Jones</w:t>
      </w:r>
    </w:p>
    <w:p>
      <w:pPr>
        <w:jc w:val="center"/>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69" w:lineRule="exact"/>
        <w:rPr>
          <w:sz w:val="20"/>
          <w:szCs w:val="20"/>
          <w:color w:val="auto"/>
        </w:rPr>
      </w:pPr>
    </w:p>
    <w:p>
      <w:pPr>
        <w:ind w:right="980" w:firstLine="648"/>
        <w:spacing w:after="0" w:line="194" w:lineRule="exact"/>
        <w:rPr>
          <w:sz w:val="20"/>
          <w:szCs w:val="20"/>
          <w:color w:val="auto"/>
        </w:rPr>
      </w:pPr>
      <w:r>
        <w:rPr>
          <w:rFonts w:ascii="Arial" w:cs="Arial" w:eastAsia="Arial" w:hAnsi="Arial"/>
          <w:sz w:val="18"/>
          <w:szCs w:val="18"/>
          <w:color w:val="auto"/>
        </w:rPr>
        <w:t>I, Robert M. Jones, Executive Vice President and Chief Financial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ind w:left="1300" w:right="500" w:hanging="649"/>
        <w:spacing w:after="0" w:line="194" w:lineRule="exact"/>
        <w:tabs>
          <w:tab w:leader="none" w:pos="13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 for the fiscal year ended December 31, 2015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300" w:right="280" w:hanging="649"/>
        <w:spacing w:after="0" w:line="235" w:lineRule="auto"/>
        <w:tabs>
          <w:tab w:leader="none" w:pos="13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2016</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-1905</wp:posOffset>
            </wp:positionV>
            <wp:extent cx="2718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4700"/>
        <w:spacing w:after="0" w:line="232" w:lineRule="auto"/>
        <w:rPr>
          <w:sz w:val="20"/>
          <w:szCs w:val="20"/>
          <w:color w:val="auto"/>
        </w:rPr>
      </w:pPr>
      <w:r>
        <w:rPr>
          <w:rFonts w:ascii="Arial" w:cs="Arial" w:eastAsia="Arial" w:hAnsi="Arial"/>
          <w:sz w:val="18"/>
          <w:szCs w:val="18"/>
          <w:color w:val="auto"/>
        </w:rPr>
        <w:t>Robert M. Jones</w:t>
      </w:r>
    </w:p>
    <w:p>
      <w:pPr>
        <w:spacing w:after="0" w:line="1"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99.1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Gaming Regulations</w:t>
      </w:r>
    </w:p>
    <w:p>
      <w:pPr>
        <w:spacing w:after="0" w:line="1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extensive regulation under laws, rules and supervisory procedures primarily in the jurisdictions where our facilities are located or docked.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indenture governing our notes provides that if a holder of a note or beneficial owner of a note is required to be licensed, qualified, or found suitable under the applicable gaming laws and such holder or owner is not so licensed, qualified or found suitable within any time period specified by the applicable gaming authority, we would be permitted to require the holder or owner to dispose of its notes within a time period that either we prescribe or such other time period prescribed by the applicable gaming authority. Under such circumstances, the redemption price would be the lesser of the holder’s or owner’s cost for such notes and the principal amount thereof, or such other amount as is required by applicable gaming authorities.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Nevada Regulation and Licensing. </w:t>
      </w:r>
      <w:r>
        <w:rPr>
          <w:rFonts w:ascii="Arial" w:cs="Arial" w:eastAsia="Arial" w:hAnsi="Arial"/>
          <w:sz w:val="18"/>
          <w:szCs w:val="18"/>
          <w:color w:val="auto"/>
        </w:rPr>
        <w:t>The ownership and operation of casino gaming facilities in the State of Nevada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Nevada Gaming Control Act (the “Nevada Act”) and regulations promulgated under the Nevada Act and various local regulations. Resorts’ gaming operations are subject to the licensing and regulatory control of the Nevada Gaming Commission, the Nevada State Gaming Control Board and the City of Reno, which we refer to collectively as the “Nevada Gaming Authorities.”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that are concerned with, among other things:</w:t>
      </w:r>
    </w:p>
    <w:p>
      <w:pPr>
        <w:spacing w:after="0" w:line="76" w:lineRule="exact"/>
        <w:rPr>
          <w:sz w:val="20"/>
          <w:szCs w:val="20"/>
          <w:color w:val="auto"/>
        </w:rPr>
      </w:pPr>
    </w:p>
    <w:p>
      <w:pPr>
        <w:ind w:left="400" w:hanging="73"/>
        <w:spacing w:after="0" w:line="277"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prevention of unsavory or unsuitable persons from having a direct or indirect involvement with gaming at any time or in any capacity;</w:t>
      </w:r>
    </w:p>
    <w:p>
      <w:pPr>
        <w:spacing w:after="0" w:line="75" w:lineRule="exact"/>
        <w:rPr>
          <w:rFonts w:ascii="Arial" w:cs="Arial" w:eastAsia="Arial" w:hAnsi="Arial"/>
          <w:sz w:val="18"/>
          <w:szCs w:val="18"/>
          <w:color w:val="auto"/>
        </w:rPr>
      </w:pPr>
    </w:p>
    <w:p>
      <w:pPr>
        <w:ind w:left="420" w:hanging="93"/>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establishment and maintenance of responsible accounting practices and procedures;</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maintenance of effective controls over the financial practices of licensees, including the establishment of minimum procedures for internal fiscal affairs and the safeguarding of assets and revenues;</w:t>
      </w:r>
    </w:p>
    <w:p>
      <w:pPr>
        <w:spacing w:after="0" w:line="75" w:lineRule="exact"/>
        <w:rPr>
          <w:rFonts w:ascii="Arial" w:cs="Arial" w:eastAsia="Arial" w:hAnsi="Arial"/>
          <w:sz w:val="18"/>
          <w:szCs w:val="18"/>
          <w:color w:val="auto"/>
        </w:rPr>
      </w:pPr>
    </w:p>
    <w:p>
      <w:pPr>
        <w:ind w:left="400" w:hanging="73"/>
        <w:spacing w:after="0"/>
        <w:tabs>
          <w:tab w:leader="none" w:pos="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providing reliable record keeping and requiring the filing of periodic reports with the Nevada Gaming Authorities;</w:t>
      </w:r>
    </w:p>
    <w:p>
      <w:pPr>
        <w:spacing w:after="0" w:line="142" w:lineRule="exact"/>
        <w:rPr>
          <w:rFonts w:ascii="Arial" w:cs="Arial" w:eastAsia="Arial" w:hAnsi="Arial"/>
          <w:sz w:val="17"/>
          <w:szCs w:val="17"/>
          <w:color w:val="auto"/>
        </w:rPr>
      </w:pPr>
    </w:p>
    <w:p>
      <w:pPr>
        <w:ind w:left="480" w:hanging="153"/>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prevention of cheating and fraudulent practices;</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maintenance of a Gaming Compliance and Reporting Plan, including the establishment of a Gaming Compliance Committee and the retention of a Corporate Compliance Officer; and</w:t>
      </w:r>
    </w:p>
    <w:p>
      <w:pPr>
        <w:spacing w:after="0" w:line="75" w:lineRule="exact"/>
        <w:rPr>
          <w:rFonts w:ascii="Arial" w:cs="Arial" w:eastAsia="Arial" w:hAnsi="Arial"/>
          <w:sz w:val="18"/>
          <w:szCs w:val="18"/>
          <w:color w:val="auto"/>
        </w:rPr>
      </w:pPr>
    </w:p>
    <w:p>
      <w:pPr>
        <w:ind w:left="420" w:hanging="93"/>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of a source of state and local revenues through taxation and licensing fees.</w:t>
      </w:r>
    </w:p>
    <w:p>
      <w:pPr>
        <w:spacing w:after="0" w:line="1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Changes in such laws, regulations and procedures could have an adverse effect on ERI’s gaming operations and its related businesses, financial condition, and results of operations.</w:t>
      </w:r>
    </w:p>
    <w:p>
      <w:pPr>
        <w:spacing w:after="0" w:line="7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Business organizations that operate casinos in Nevada are required to be licensed by the Nevada Gaming Authorities. A gaming license requires the periodic payment of fees and taxes and is not transferable. ERI is registered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6" w:name="page117"/>
    <w:bookmarkEnd w:id="116"/>
    <w:p>
      <w:pPr>
        <w:jc w:val="both"/>
        <w:spacing w:after="0" w:line="271" w:lineRule="auto"/>
        <w:rPr>
          <w:sz w:val="20"/>
          <w:szCs w:val="20"/>
          <w:color w:val="auto"/>
        </w:rPr>
      </w:pPr>
      <w:r>
        <w:rPr>
          <w:rFonts w:ascii="Arial" w:cs="Arial" w:eastAsia="Arial" w:hAnsi="Arial"/>
          <w:sz w:val="17"/>
          <w:szCs w:val="17"/>
          <w:color w:val="auto"/>
        </w:rPr>
        <w:t>by the Nevada Commission as a publicly traded corporation (a “Registered Corporation”) that is authorized to own all of the membership interests of CC-RENO LLC, the licensed operator of Circus Circus Reno, and HoldCo, the owner of ERI’s other Nevada gaming subsidiaries. As a Registered Corporation, ERI is required to submit periodic detailed financial and operating reports to the Nevada Commission and to furnish any other information which the Nevada Commission may require. HoldCo is approved and registered as a private holding company authorized to own and control all of the membership interests of Resorts, the licensed operator of the Eldorado Reno, and the Silver Legacy Joint Venture, the licensed operator of the Silver Legacy. Through various subsidiaries, Resorts also owns and operates the Louisiana Partnership, the operator of the Eldorado Shreveport in Shreveport, Louisiana.</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No person may become a more than 5% stockholder or holder of more than a 5% interest in, or receive any percentage of profits from, CC-RENO LLC, HoldCo or its subsidiaries without first obtaining licenses and approvals from the Nevada Gaming Authorities. We refer to all of the foregoing Nevada entities collectively as the “Nevada Licensed Subsidiaries.” ERI and all of its Nevada Licensed Subsidiaries have obtained from the Nevada Gaming Authorities all of the various registrations, approvals, permits and licenses required in order to continue gaming activities in Nevada.</w:t>
      </w:r>
    </w:p>
    <w:p>
      <w:pPr>
        <w:spacing w:after="0" w:line="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Nevada Gaming Authorities may investigate any individual who has a material relationship to, or material involvement with, ERI and its Nevada Licensed Subsidiaries in order to determine whether such individual is suitable or should be licensed as a business associate of a gaming licensee. Certain officers, directors, and certain key employees of ERI and its subsidiaries must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The applicant for licensing or a finding of suitability must pay all the costs of the investigation. Changes in licensed positions must be reported to the Nevada Gaming Authorities within 30 days as prescribed by law and, in addition to their authority to deny an application for a finding of suitability or licensure, the Nevada Gaming Authorities have jurisdiction to disapprove a change in a corporate position.</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ERI or any of its subsidiaries, the companies involved would have to sever all relationships with such person. In addition, the Nevada Commission may require ERI or any of its subsidiaries to terminate the employment of any person who refuses to file appropriate applications. Determinations of suitability or questions pertaining to licensing are not subject to judicial review in Nevada.</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ERI and its Nevada Licensed Subsidiaries are required to submit detailed financial and operating reports to the Nevada Commission. Substantially all material loans, leases, sales of securities and similar financing transactions by the Nevada Licensed Subsidiaries must be reported to, and/or approved by, the Nevada Commission.</w:t>
      </w:r>
    </w:p>
    <w:p>
      <w:pPr>
        <w:spacing w:after="0" w:line="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it were determined that the Nevada Gaming Control Act was violated by any of the Nevada Licensed Subsidiaries, the gaming licenses they hold could be limited, conditioned, suspended or revoked, subject to compliance with certain statutory and regulatory procedures. In addition, ERI and the persons involved could be subject to substantial fines for each separate violation of the Nevada Gaming Control Act or the regulations adopted thereunder at the discretion of the Nevada Commission. Further, a supervisor could be nominated by the Nevada Commission for court appointment to operate our gaming properties and, under certain circumstances, earnings generated during the supervisor’s appointment (except for reasonable rental value of our gaming properties) could be forfeited to the State of Nevada. Supervisors appointed under such provisions of law have powers similar to those of court appointed receivers. Limitation, conditioning or suspension of any gaming license or the appointment of a supervisor could (and revocation of any gaming license would) materially adversely affect ERI’s gaming operations and its related businesses, financial condition and results of operations.</w:t>
      </w:r>
    </w:p>
    <w:p>
      <w:pPr>
        <w:spacing w:after="0" w:line="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beneficial holder of ERI’s voting securities, regardless of the number of shares owned, may be required to file an application, be investigated, and have his suitability reviewed as a beneficial holder of ERI’s voting securities if the Nevada Commission has reason to believe that such ownership would otherwise be inconsistent with the declared policies of the State of Nevada. The applicant must pay all costs of investigation incurred by the Nevada Gaming Authorities in conducting any such investigation. Refusal to comply with such requirements can result in the person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jc w:val="both"/>
        <w:spacing w:after="0" w:line="277" w:lineRule="auto"/>
        <w:rPr>
          <w:sz w:val="20"/>
          <w:szCs w:val="20"/>
          <w:color w:val="auto"/>
        </w:rPr>
      </w:pPr>
      <w:r>
        <w:rPr>
          <w:rFonts w:ascii="Arial" w:cs="Arial" w:eastAsia="Arial" w:hAnsi="Arial"/>
          <w:sz w:val="18"/>
          <w:szCs w:val="18"/>
          <w:color w:val="auto"/>
        </w:rPr>
        <w:t>being found unsuitable to be involved with any licensed Nevada gaming operation including all businesses affiliated therewith.</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Corporation to report the acquisition to the Nevada Commission. The Nevada Gaming Control Act requires that beneficial owners of more than 10% of the voting securities of a Registered Corporation to apply to the Nevada Commission for a finding of suitability within 30 days after the Chairman of the Nevada Board mails the written notice requiring such filing. Under certain circumstances, an “institutional investor,” as defined in the Nevada Act, which acquires more than 10%, but not more than 25%, of a Registered Corporation’s voting securities may apply to the Nevada Commission for a waiver of such finding of suitability if such institutional investor holds the voting securities for investment purposes only. An institutional investor that has obtained such a waiver may, in certain circumstances, hold up to 29% of a Registered Corporation’s voting securities and maintain its waiver for a limited period of time. An institutional investor shall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Registered Corporation’s board of directors, any change in the Registered Corporation’s corporate charter, bylaws, management, policies or operations, or of any of its Nevada Licensed Subsidiaries’ charters, bylaws, operating agreements operations, or any other action which the Nevada Commission finds to be inconsistent with holding the Registered Corporation’s voting securities for investment purposes only. Activities that are not deemed to be inconsistent with holding voting securities for investment purposes include only:</w:t>
      </w:r>
    </w:p>
    <w:p>
      <w:pPr>
        <w:spacing w:after="0" w:line="290" w:lineRule="exact"/>
        <w:rPr>
          <w:sz w:val="20"/>
          <w:szCs w:val="20"/>
          <w:color w:val="auto"/>
        </w:rPr>
      </w:pPr>
    </w:p>
    <w:p>
      <w:pPr>
        <w:ind w:left="480" w:hanging="153"/>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voting on all matters voted on by stockholders;</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our management, policies or operations; and</w:t>
      </w:r>
    </w:p>
    <w:p>
      <w:pPr>
        <w:spacing w:after="0" w:line="75" w:lineRule="exact"/>
        <w:rPr>
          <w:rFonts w:ascii="Arial" w:cs="Arial" w:eastAsia="Arial" w:hAnsi="Arial"/>
          <w:sz w:val="18"/>
          <w:szCs w:val="18"/>
          <w:color w:val="auto"/>
        </w:rPr>
      </w:pPr>
    </w:p>
    <w:p>
      <w:pPr>
        <w:ind w:left="400" w:hanging="73"/>
        <w:spacing w:after="0"/>
        <w:tabs>
          <w:tab w:leader="none" w:pos="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other activities as the Nevada Commission may determine to be consistent with such investment intent.</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beneficial holder of voting securities who must be found suitable is a corporation, partnership or trust, it must submit detailed business and financial information including a list of beneficial owners. The applicant is required to pay all costs of investigation.</w:t>
      </w:r>
    </w:p>
    <w:p>
      <w:pPr>
        <w:spacing w:after="0" w:line="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person who fails or refuses to apply for a finding of suitability or a license within 30 days after being ordered to do so by the Nevada Commission or the Chairman of the Nevada Board, may be found unsuitable. The same restrictions apply to a record owner if the record owner, after request, fails to identify the beneficial owner. Any stockholder found unsuitable and who holds, directly or indirectly, any beneficial ownership of the common stock of a Registered Corporation beyond such period of time as may be prescribed by the Nevada Commission may be guilty of a criminal offense. ERI may be subject to disciplinary action if, after it receives notice that a person is unsuitable to be a stockholder or to have any other relationship with ERI, or any of its Nevada Licensed Subsidiaries, ERI:</w:t>
      </w:r>
    </w:p>
    <w:p>
      <w:pPr>
        <w:spacing w:after="0" w:line="83" w:lineRule="exact"/>
        <w:rPr>
          <w:sz w:val="20"/>
          <w:szCs w:val="20"/>
          <w:color w:val="auto"/>
        </w:rPr>
      </w:pPr>
    </w:p>
    <w:p>
      <w:pPr>
        <w:ind w:left="420" w:hanging="93"/>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pays the unsuitable person any dividend or interest upon voting securities of ERI;</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allows the unsuitable person to exercise, directly or indirectly, any voting right conferred through securities held by the person;</w:t>
      </w:r>
    </w:p>
    <w:p>
      <w:pPr>
        <w:spacing w:after="0" w:line="75" w:lineRule="exact"/>
        <w:rPr>
          <w:rFonts w:ascii="Arial" w:cs="Arial" w:eastAsia="Arial" w:hAnsi="Arial"/>
          <w:sz w:val="18"/>
          <w:szCs w:val="18"/>
          <w:color w:val="auto"/>
        </w:rPr>
      </w:pPr>
    </w:p>
    <w:p>
      <w:pPr>
        <w:ind w:left="420" w:hanging="93"/>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pays remuneration in any form to the unsuitable person for services rendered or otherwise; or</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fails to pursue all lawful efforts to require such unsuitable person to relinquish his voting securities for cash at fair market value.</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the Nevada Commission may, at its discretion, require the holder of any debt security of a Registered Corporation or any of the Nevada Licensed Subsidiaries to file applications, be investigated and be found suitable to own the debt security of the issuer. If the Nevada Commission determines that a person is unsuitable to own such security, then pursuant to the Nevada Gaming Control Act, the Registered Corporation and its Licensed Subsidiaries that are involved can be sanctioned, including the loss of approvals and licenses, if without the prior approval of the Nevada Commission, it or they:</w:t>
      </w:r>
    </w:p>
    <w:p>
      <w:pPr>
        <w:spacing w:after="0" w:line="99" w:lineRule="exact"/>
        <w:rPr>
          <w:sz w:val="20"/>
          <w:szCs w:val="20"/>
          <w:color w:val="auto"/>
        </w:rPr>
      </w:pPr>
    </w:p>
    <w:p>
      <w:pPr>
        <w:ind w:left="420" w:hanging="93"/>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to the unsuitable person any dividend, interest, or any distribution whatsoever;</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recognize any voting right by such unsuitable person in connection with such securities;</w:t>
      </w:r>
    </w:p>
    <w:p>
      <w:pPr>
        <w:spacing w:after="0" w:line="130" w:lineRule="exact"/>
        <w:rPr>
          <w:rFonts w:ascii="Arial" w:cs="Arial" w:eastAsia="Arial" w:hAnsi="Arial"/>
          <w:sz w:val="18"/>
          <w:szCs w:val="18"/>
          <w:color w:val="auto"/>
        </w:rPr>
      </w:pPr>
    </w:p>
    <w:p>
      <w:pPr>
        <w:ind w:left="460" w:hanging="133"/>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the unsuitable person remuneration in any form;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8" w:name="page119"/>
    <w:bookmarkEnd w:id="118"/>
    <w:p>
      <w:pPr>
        <w:ind w:left="400" w:hanging="73"/>
        <w:spacing w:after="0" w:line="277"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any payment to the unsuitable person by way of principal, redemption, conversion, exchange, liquidation, or similar transaction.</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ERI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such disclosure may be grounds for finding the record holder unsuitable. ERI will also be required to render maximum assistance in determining the identity of the beneficial owner.</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ERI is not be permitted to make a public offering of its securities without the prior approval of the Nevada Commission if the securities or the proceeds derived therefrom are intended to be used to construct, acquire or finance gaming facilities in Nevada, or to retire or extend obligations incurred for such purposes. Any representation to the contrary is unlawful. Any approval granted by the Nevada Commission for such offerings may be rescinded for good cause without prior notice upon the issuance of an interlocutory stop order by the Chairman of the Nevada Board.</w:t>
      </w:r>
    </w:p>
    <w:p>
      <w:pPr>
        <w:spacing w:after="0" w:line="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Changes in control of a Registered Corporation through merger, consolidation, stock or asset acquisitions, management or consulting agreements, or any act or conduct by a person whereby he obtains control, may not occur without the prior approval of the Nevada Commission. Persons seeking to acquire control of a Registered Corporation must satisfy the Nevada Gaming Authorities in a variety of stringent standards prior to assuming control of such Registered Corporation. The Nevada Commission may also require controlling stockholders, officers, directors and other persons having a material relationship or involvement with any entity proposing to acquire control, to be investigated, and be licensed or found suitable as part of the approval process relating to the transaction.</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licensees and Registered Corporations that are affiliated with those licensees, may be injurious to stable and productive corporate gaming. The Nevada Commission has established a regulatory scheme to ameliorate the potentially adverse effects of these business practices upon Nevada’s gaming industry and to further Nevada’s policy to:</w:t>
      </w:r>
    </w:p>
    <w:p>
      <w:pPr>
        <w:spacing w:after="0" w:line="94" w:lineRule="exact"/>
        <w:rPr>
          <w:sz w:val="20"/>
          <w:szCs w:val="20"/>
          <w:color w:val="auto"/>
        </w:rPr>
      </w:pPr>
    </w:p>
    <w:p>
      <w:pPr>
        <w:ind w:left="440" w:hanging="113"/>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30" w:lineRule="exact"/>
        <w:rPr>
          <w:rFonts w:ascii="Arial" w:cs="Arial" w:eastAsia="Arial" w:hAnsi="Arial"/>
          <w:sz w:val="18"/>
          <w:szCs w:val="18"/>
          <w:color w:val="auto"/>
        </w:rPr>
      </w:pPr>
    </w:p>
    <w:p>
      <w:pPr>
        <w:ind w:left="440" w:hanging="113"/>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Approvals are, in certain circumstances, required from the Nevada Commission before a Registered Corporation can make exceptional repurchases of voting securities above the current market price thereof and before a corporate acquisition opposed by management can be consummated. Registered Corporations are also required under the Nevada Gaming Control Act to apply for and obtain the prior approval of the Gaming Commission of any plan of recapitalization proposed by its board of directors in response to a tender offer made directly to its stockholders for the purposes of acquiring control of the Registered Corporation.</w:t>
      </w:r>
    </w:p>
    <w:p>
      <w:pPr>
        <w:spacing w:after="0" w:line="9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the City of Reno. Depending upon the particular fee or tax involved, these fees and taxes are payable monthly, quarterly or annually and are based upon:</w:t>
      </w:r>
    </w:p>
    <w:p>
      <w:pPr>
        <w:spacing w:after="0" w:line="87" w:lineRule="exact"/>
        <w:rPr>
          <w:sz w:val="20"/>
          <w:szCs w:val="20"/>
          <w:color w:val="auto"/>
        </w:rPr>
      </w:pPr>
    </w:p>
    <w:p>
      <w:pPr>
        <w:ind w:left="480" w:hanging="153"/>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percentage of the gross revenues received;</w:t>
      </w:r>
    </w:p>
    <w:p>
      <w:pPr>
        <w:spacing w:after="0" w:line="130" w:lineRule="exact"/>
        <w:rPr>
          <w:rFonts w:ascii="Arial" w:cs="Arial" w:eastAsia="Arial" w:hAnsi="Arial"/>
          <w:sz w:val="18"/>
          <w:szCs w:val="18"/>
          <w:color w:val="auto"/>
        </w:rPr>
      </w:pPr>
    </w:p>
    <w:p>
      <w:pPr>
        <w:ind w:left="480" w:hanging="153"/>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gaming devices operated; and</w:t>
      </w:r>
    </w:p>
    <w:p>
      <w:pPr>
        <w:spacing w:after="0" w:line="130" w:lineRule="exact"/>
        <w:rPr>
          <w:rFonts w:ascii="Arial" w:cs="Arial" w:eastAsia="Arial" w:hAnsi="Arial"/>
          <w:sz w:val="18"/>
          <w:szCs w:val="18"/>
          <w:color w:val="auto"/>
        </w:rPr>
      </w:pPr>
    </w:p>
    <w:p>
      <w:pPr>
        <w:ind w:left="520" w:hanging="193"/>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 excise tax is also paid by casino operations upon admission to certain facilities offering live entertainment, including the selling of food, refreshment and merchandise in connection therewith. Any person who is licensed, required to be licensed, registered, required to be registered, or is under common control with such persons, which we refer to as Licensees, and who proposes to become involved in a gaming venture outside of Nevada is required to deposit with the Nevada Board, and thereafter maintain, a revolving fund in the amount of $10,000 to pay the expenses of investigation of the Nevada Board of their participation in such foreign gaming. The revolving fund is subject to increase or decrease in the discretion of the Nevada Commission. Thereafter, Licensees are required to comply with certain reporting requirements imposed by the Nevada Act. Licensees are also subject to disciplinary action by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8"/>
          <w:szCs w:val="18"/>
          <w:color w:val="auto"/>
        </w:rPr>
        <w:t>Nevada Commission if they knowingly violate any laws of the foreign jurisdiction pertaining to the foreign gaming operation, fail to conduct the foreign gaming operation in accordance with the standards of honesty and integrity required of Nevada gaming operations, engage in activities that are harmful to the State of Nevada or its ability to collect gaming taxes and fees, or employ a person in the foreign operation who has been denied a license or finding of suitability in Nevada on the ground of personal unsuitability.</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sale of food or alcoholic beverages at our Nevada casinos is subject to licensing, control and regulation by the applicable local authorities. All licenses are revocable and are not transferable. The agencies involved have full power to limit, condition, suspend or revoke any such license, and any such disciplinary action could, and a revocation would, have a significant adverse effect upon the operations of the affected casino or casinos.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Louisiana Regulation and Licensing</w:t>
      </w:r>
      <w:r>
        <w:rPr>
          <w:rFonts w:ascii="Arial" w:cs="Arial" w:eastAsia="Arial" w:hAnsi="Arial"/>
          <w:sz w:val="18"/>
          <w:szCs w:val="18"/>
          <w:color w:val="auto"/>
        </w:rPr>
        <w:t>. In the State of Louisiana, ERI owns and operates, through HoldCo’s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Eldorado Shreveport in Shreveport, Louisiana. The operation and management of this riverboat casino operation are subject to extensive state regulation. The Louisiana Riverboat Economic Development and Gaming Control Act, or the Riverboat Act, became effective on July 19, 1991.</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Riverboat Act states, among other things, that certain of the policies of the State of Louisiana are:</w:t>
      </w:r>
    </w:p>
    <w:p>
      <w:pPr>
        <w:spacing w:after="0" w:line="131" w:lineRule="exact"/>
        <w:rPr>
          <w:sz w:val="20"/>
          <w:szCs w:val="20"/>
          <w:color w:val="auto"/>
        </w:rPr>
      </w:pPr>
    </w:p>
    <w:p>
      <w:pPr>
        <w:ind w:left="420" w:hanging="93"/>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 develop a historic riverboat industry that will assist in the growth of the tourism market;</w:t>
      </w:r>
    </w:p>
    <w:p>
      <w:pPr>
        <w:spacing w:after="0" w:line="130" w:lineRule="exact"/>
        <w:rPr>
          <w:rFonts w:ascii="Arial" w:cs="Arial" w:eastAsia="Arial" w:hAnsi="Arial"/>
          <w:sz w:val="18"/>
          <w:szCs w:val="18"/>
          <w:b w:val="1"/>
          <w:bCs w:val="1"/>
          <w:color w:val="auto"/>
        </w:rPr>
      </w:pPr>
    </w:p>
    <w:p>
      <w:pPr>
        <w:ind w:left="400" w:hanging="73"/>
        <w:spacing w:after="0"/>
        <w:tabs>
          <w:tab w:leader="none" w:pos="4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 license and supervise the riverboat industry from the period of construction through actual operation;</w:t>
      </w:r>
    </w:p>
    <w:p>
      <w:pPr>
        <w:spacing w:after="0" w:line="130" w:lineRule="exact"/>
        <w:rPr>
          <w:rFonts w:ascii="Arial" w:cs="Arial" w:eastAsia="Arial" w:hAnsi="Arial"/>
          <w:sz w:val="18"/>
          <w:szCs w:val="18"/>
          <w:b w:val="1"/>
          <w:bCs w:val="1"/>
          <w:color w:val="auto"/>
        </w:rPr>
      </w:pPr>
    </w:p>
    <w:p>
      <w:pPr>
        <w:ind w:left="420" w:hanging="93"/>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 regulate the operators, manufacturers, suppliers and distributors of gaming devices; and</w:t>
      </w:r>
    </w:p>
    <w:p>
      <w:pPr>
        <w:spacing w:after="0" w:line="130" w:lineRule="exact"/>
        <w:rPr>
          <w:rFonts w:ascii="Arial" w:cs="Arial" w:eastAsia="Arial" w:hAnsi="Arial"/>
          <w:sz w:val="18"/>
          <w:szCs w:val="18"/>
          <w:b w:val="1"/>
          <w:bCs w:val="1"/>
          <w:color w:val="auto"/>
        </w:rPr>
      </w:pPr>
    </w:p>
    <w:p>
      <w:pPr>
        <w:ind w:left="440" w:hanging="113"/>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to license all entities involved in the riverboat gaming industry.</w:t>
      </w:r>
    </w:p>
    <w:p>
      <w:pPr>
        <w:spacing w:after="0" w:line="13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Riverboat Act provides that no holder of a license or permit possesses any vested interest in such license or permit and that the license or permit may be revoked at any time. In a special session held in April 1996, the Louisiana legislature passed the Louisiana Gaming Control Act, or the Gaming Control Act, which created the Louisiana Gaming Control Board, or the Gaming Control Board. Pursuant to the Gaming Control Act, all of the regulatory authority, control and jurisdiction of licensing for riverboat operations was transferred to the Gaming Control Board. The Gaming Control Board came into existence on May 1, 1996 and is made up of nine members and two ex</w:t>
      </w:r>
      <w:r>
        <w:rPr>
          <w:rFonts w:ascii="MS PGothic" w:cs="MS PGothic" w:eastAsia="MS PGothic" w:hAnsi="MS PGothic"/>
          <w:sz w:val="18"/>
          <w:szCs w:val="18"/>
          <w:color w:val="auto"/>
        </w:rPr>
        <w:t>‑</w:t>
      </w:r>
      <w:r>
        <w:rPr>
          <w:rFonts w:ascii="Arial" w:cs="Arial" w:eastAsia="Arial" w:hAnsi="Arial"/>
          <w:sz w:val="18"/>
          <w:szCs w:val="18"/>
          <w:color w:val="auto"/>
        </w:rPr>
        <w:t>officio members (the Secretary of Revenue and Taxation and the superintendent of Louisiana State Police). It is domiciled in Baton Rouge and regulates riverboat gaming, the land</w:t>
      </w:r>
      <w:r>
        <w:rPr>
          <w:rFonts w:ascii="MS PGothic" w:cs="MS PGothic" w:eastAsia="MS PGothic" w:hAnsi="MS PGothic"/>
          <w:sz w:val="18"/>
          <w:szCs w:val="18"/>
          <w:color w:val="auto"/>
        </w:rPr>
        <w:t>‑</w:t>
      </w:r>
      <w:r>
        <w:rPr>
          <w:rFonts w:ascii="Arial" w:cs="Arial" w:eastAsia="Arial" w:hAnsi="Arial"/>
          <w:sz w:val="18"/>
          <w:szCs w:val="18"/>
          <w:color w:val="auto"/>
        </w:rPr>
        <w:t>based casino in New Orleans, racetrack slot facilities and video poker. The Louisiana Attorney General acts as legal counsel to the Gaming Control Board. Any material alteration in the method whereby riverboat gaming, slot facilities or video draw poker is regulated in the State of Louisiana could have an adverse effect on the operations of the Eldorado Shreveport.</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Riverboats. </w:t>
      </w:r>
      <w:r>
        <w:rPr>
          <w:rFonts w:ascii="Arial" w:cs="Arial" w:eastAsia="Arial" w:hAnsi="Arial"/>
          <w:sz w:val="18"/>
          <w:szCs w:val="18"/>
          <w:color w:val="auto"/>
        </w:rPr>
        <w:t>The Riverboat Act approved the conducting of gaming activities on a riverboat,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Riverboat Act, on twelve separate waterways in Louisiana. The Riverboat Act allows the Gaming Control Board to issue up to fifteen licenses to operate riverboat gaming projects within the state, with no more than six in any one parish. There are presently fifteen licenses issued and operating.</w:t>
      </w:r>
    </w:p>
    <w:p>
      <w:pPr>
        <w:spacing w:after="0" w:line="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ERI and certain of our directors and officers and certain of our key personnel have been found suitable to operate riverboat gaming in the State of Louisiana. New directors, officers and certain key employees associated with gaming must also be found suitable by the Gaming Control Board prior to working in gaming</w:t>
      </w:r>
      <w:r>
        <w:rPr>
          <w:rFonts w:ascii="MS PGothic" w:cs="MS PGothic" w:eastAsia="MS PGothic" w:hAnsi="MS PGothic"/>
          <w:sz w:val="17"/>
          <w:szCs w:val="17"/>
          <w:color w:val="auto"/>
        </w:rPr>
        <w:t>‑</w:t>
      </w:r>
      <w:r>
        <w:rPr>
          <w:rFonts w:ascii="Arial" w:cs="Arial" w:eastAsia="Arial" w:hAnsi="Arial"/>
          <w:sz w:val="17"/>
          <w:szCs w:val="17"/>
          <w:color w:val="auto"/>
        </w:rPr>
        <w:t>related areas. These approvals may be immediately revoked for a number of causes as determined by the Gaming Control Board. The Gaming Control Board may deny any application for a certificate, permit or license for any cause found to be reasonable by the Gaming Control Board. The Gaming Control Board has the authority to require any riverboat operator to sever its relationships with any persons for any cause deemed reasonable by the Gaming Control Board or for the failure of that person to file necessary applications with the Gaming Control Board. HoldCo and the subsidiaries, as well as relevant key employees of Eldorado Shreveport, hold all currently required licenses and approvals for operation of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jc w:val="both"/>
        <w:spacing w:after="0" w:line="277" w:lineRule="auto"/>
        <w:rPr>
          <w:sz w:val="20"/>
          <w:szCs w:val="20"/>
          <w:color w:val="auto"/>
        </w:rPr>
      </w:pPr>
      <w:r>
        <w:rPr>
          <w:rFonts w:ascii="Arial" w:cs="Arial" w:eastAsia="Arial" w:hAnsi="Arial"/>
          <w:sz w:val="18"/>
          <w:szCs w:val="18"/>
          <w:color w:val="auto"/>
        </w:rPr>
        <w:t>casino. The current Louisiana riverboat gaming license of Eldorado Shreveport is valid for five years and will expire on October 14, 2019.</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Gaming Control Board. </w:t>
      </w:r>
      <w:r>
        <w:rPr>
          <w:rFonts w:ascii="Arial" w:cs="Arial" w:eastAsia="Arial" w:hAnsi="Arial"/>
          <w:sz w:val="18"/>
          <w:szCs w:val="18"/>
          <w:color w:val="auto"/>
        </w:rPr>
        <w:t>At any time, the Gaming Control Board may investigate and require the finding of suitability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stockholder, beneficial stockholder, officer or director of ERI or of any of its subsidiaries. The Gaming Control Board requires all holders of more than a 5% interest in the license holder to submit to suitability requirements. Additionally, if a shareholder who must be found suitable is a corporate or partnership entity, then the shareholders or partners of the entity must also submit to investigation. The sale or transfer of more than a 5% interest in any riverboat or slot project is subject to Gaming Control Board approval.</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Pursuant to the regulations promulgated by the Gaming Control Board, all licensees are required to inform the Gaming Control Board of all debt, credit, financing and loan transactions, including the identity of debt holders. In addition, the Gaming Control Board, in its sole discretion, may require the holders of such debt securities to file applications and obtain a finding of suitability from the Gaming Control Board. Although the Riverboat Act does not specifically require debt holders to be licensed or to be found suitable, the Gaming Control Board retains the discretion to investigate and require that any holders of debt securities be found suitable under the Riverboat Act. Additionally, if the Gaming Control Board finds that any holder exercises a material influence over the gaming operations, a finding of suitability will be required. If the Gaming Control Board determines that a person is unsuitable to own such a security or to hold such indebtedness, the Gaming Control Board may propose any action which it determines proper and necessary to protect the public interest, including the suspension or revocation of the license. The Gaming Control Board may also, under the penalty of revocation of license, issue a condition of disqualification naming the person(s) and declaring that such person(s) may not:</w:t>
      </w:r>
    </w:p>
    <w:p>
      <w:pPr>
        <w:spacing w:after="0" w:line="78" w:lineRule="exact"/>
        <w:rPr>
          <w:sz w:val="20"/>
          <w:szCs w:val="20"/>
          <w:color w:val="auto"/>
        </w:rPr>
      </w:pPr>
    </w:p>
    <w:p>
      <w:pPr>
        <w:ind w:left="480" w:hanging="153"/>
        <w:spacing w:after="0"/>
        <w:tabs>
          <w:tab w:leader="none" w:pos="4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receive dividends or interest in debt or securities;</w:t>
      </w:r>
    </w:p>
    <w:p>
      <w:pPr>
        <w:spacing w:after="0" w:line="130" w:lineRule="exact"/>
        <w:rPr>
          <w:rFonts w:ascii="Arial" w:cs="Arial" w:eastAsia="Arial" w:hAnsi="Arial"/>
          <w:sz w:val="18"/>
          <w:szCs w:val="18"/>
          <w:b w:val="1"/>
          <w:bCs w:val="1"/>
          <w:color w:val="auto"/>
        </w:rPr>
      </w:pPr>
    </w:p>
    <w:p>
      <w:pPr>
        <w:ind w:left="420" w:hanging="93"/>
        <w:spacing w:after="0"/>
        <w:tabs>
          <w:tab w:leader="none" w:pos="4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exercise directly or through a nominee a right conferred by the securities or indebtedness;</w:t>
      </w:r>
    </w:p>
    <w:p>
      <w:pPr>
        <w:spacing w:after="0" w:line="130" w:lineRule="exact"/>
        <w:rPr>
          <w:rFonts w:ascii="Arial" w:cs="Arial" w:eastAsia="Arial" w:hAnsi="Arial"/>
          <w:sz w:val="18"/>
          <w:szCs w:val="18"/>
          <w:b w:val="1"/>
          <w:bCs w:val="1"/>
          <w:color w:val="auto"/>
        </w:rPr>
      </w:pPr>
    </w:p>
    <w:p>
      <w:pPr>
        <w:ind w:left="480" w:hanging="153"/>
        <w:spacing w:after="0"/>
        <w:tabs>
          <w:tab w:leader="none" w:pos="4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receive any remuneration from the licensee;</w:t>
      </w:r>
    </w:p>
    <w:p>
      <w:pPr>
        <w:spacing w:after="0" w:line="130" w:lineRule="exact"/>
        <w:rPr>
          <w:rFonts w:ascii="Arial" w:cs="Arial" w:eastAsia="Arial" w:hAnsi="Arial"/>
          <w:sz w:val="18"/>
          <w:szCs w:val="18"/>
          <w:b w:val="1"/>
          <w:bCs w:val="1"/>
          <w:color w:val="auto"/>
        </w:rPr>
      </w:pPr>
    </w:p>
    <w:p>
      <w:pPr>
        <w:ind w:left="480" w:hanging="153"/>
        <w:spacing w:after="0"/>
        <w:tabs>
          <w:tab w:leader="none" w:pos="4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receive any economic benefit from the licensee; and</w:t>
      </w:r>
    </w:p>
    <w:p>
      <w:pPr>
        <w:spacing w:after="0" w:line="130" w:lineRule="exact"/>
        <w:rPr>
          <w:rFonts w:ascii="Arial" w:cs="Arial" w:eastAsia="Arial" w:hAnsi="Arial"/>
          <w:sz w:val="18"/>
          <w:szCs w:val="18"/>
          <w:b w:val="1"/>
          <w:bCs w:val="1"/>
          <w:color w:val="auto"/>
        </w:rPr>
      </w:pPr>
    </w:p>
    <w:p>
      <w:pPr>
        <w:ind w:left="400" w:hanging="73"/>
        <w:spacing w:after="0" w:line="277" w:lineRule="auto"/>
        <w:tabs>
          <w:tab w:leader="none" w:pos="4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continue to hold an ownership or economic interest in a licensee or remain as a manager, director or partner of a licensee.</w:t>
      </w:r>
    </w:p>
    <w:p>
      <w:pPr>
        <w:spacing w:after="0" w:line="7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Riverboat Act or rules adopted pursuant thereto contain certain restrictions and conditions relating to the operation of riverboat gaming, including the following: (1) agents of the Gaming Control Board are permitted on board at any time during gaming operations; (2) gaming devices, equipment and supplies may only be purchased or leased from permitted suppliers; (3) gaming may only take place in the designated gaming area while the riverboat is upon a designated river or waterway; (4) gaming equipment may not be possessed, maintained or exhibited by any person on a riverboat except in the specifically designated gaming area, or a secure area used for inspection, repair or storage of such equipment; (5) wagers may be received only from a person present on a licensed riverboat; (6) persons under 21 are not permitted on gaming vessels;</w:t>
      </w:r>
    </w:p>
    <w:p>
      <w:pPr>
        <w:spacing w:after="0" w:line="3" w:lineRule="exact"/>
        <w:rPr>
          <w:sz w:val="20"/>
          <w:szCs w:val="20"/>
          <w:color w:val="auto"/>
        </w:rPr>
      </w:pPr>
    </w:p>
    <w:p>
      <w:pPr>
        <w:jc w:val="both"/>
        <w:ind w:firstLine="3"/>
        <w:spacing w:after="0" w:line="281" w:lineRule="auto"/>
        <w:tabs>
          <w:tab w:leader="none" w:pos="2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for slot machine play, wagers may be made only with chips or electronic cards purchased from the licensee aboard a riverboat; (8) licensees may only use docking facilities for which they are licensed and may only board and discharge passengers at the riverboat’s licensed berth; (9) licensees must have adequate protection and indemnity insurance;</w:t>
      </w:r>
    </w:p>
    <w:p>
      <w:pPr>
        <w:spacing w:after="0" w:line="2" w:lineRule="exact"/>
        <w:rPr>
          <w:rFonts w:ascii="Arial" w:cs="Arial" w:eastAsia="Arial" w:hAnsi="Arial"/>
          <w:sz w:val="16"/>
          <w:szCs w:val="16"/>
          <w:color w:val="auto"/>
        </w:rPr>
      </w:pPr>
    </w:p>
    <w:p>
      <w:pPr>
        <w:jc w:val="both"/>
        <w:ind w:firstLine="3"/>
        <w:spacing w:after="0" w:line="255" w:lineRule="auto"/>
        <w:tabs>
          <w:tab w:leader="none" w:pos="3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licensees must have all necessary federal and state licenses, certificates and other regulatory approvals prior to operating a riverboat; and (11) gaming may only be conducted in accordance with the terms of the license, the Riverboat Act and the rules and regulations adopted by the Gaming Control Board.</w:t>
      </w:r>
    </w:p>
    <w:p>
      <w:pPr>
        <w:spacing w:after="0" w:line="9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Fees for conducting gaming activities on a riverboat include (1) $50,000 per riverboat for the first year of operation and $100,000 per year per riverboat thereafter plus (2) a percentage of net gaming proceeds (gross revenue).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1" w:name="page122"/>
    <w:bookmarkEnd w:id="121"/>
    <w:p>
      <w:pPr>
        <w:jc w:val="both"/>
        <w:spacing w:after="0" w:line="308" w:lineRule="auto"/>
        <w:rPr>
          <w:sz w:val="20"/>
          <w:szCs w:val="20"/>
          <w:color w:val="auto"/>
        </w:rPr>
      </w:pPr>
      <w:r>
        <w:rPr>
          <w:rFonts w:ascii="Arial" w:cs="Arial" w:eastAsia="Arial" w:hAnsi="Arial"/>
          <w:sz w:val="17"/>
          <w:szCs w:val="17"/>
          <w:color w:val="auto"/>
        </w:rPr>
        <w:t>In March 2001, Louisiana passed Act 3 of the 1st Extraordinary Legislative Session, which allows riverboat gaming licensees to operate dockside. In consideration of this change, the tax on gaming revenues was increased to 21.5%.</w:t>
      </w:r>
    </w:p>
    <w:p>
      <w:pPr>
        <w:spacing w:after="0" w:line="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Riverboat Act also authorizes the City of Shreveport to assess a boarding fee, up to $3.00. In lieu of the boarding fee, our previous owner negotiated a payment in an amount equal to 3.225% of the gross revenues (“Net Gaming Proceeds”) of our riverboat to be paid to the City of Shreveport and 0.5375% of the Net Gaming Proceeds of our riverboat to be paid to the Bossier Parish School Board. In May 2005, our previous owner and the Bossier Parish Police Jury concluded an agreement under which we began paying a percentage of our Net Gaming Proceeds, to the Bossier Parish Police Jury. Such payments were initially in the amount of 0.3% of our Net Gaming Proceeds during 2006, and subsequently increased to 0.4% and 0.5% effective January 1, 2007 and 2008, respectively. The payments are in addition to those under our ground lease and are in lieu of both admission fees and any sales or use tax for complimentary goods or services.</w:t>
      </w:r>
    </w:p>
    <w:p>
      <w:pPr>
        <w:spacing w:after="0" w:line="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Any violation of the Riverboat Act or the rules promulgated by the Gaming Control Board could result in substantial fines, penalties (including a revocation of the license) and criminal actions. Additionally, all licenses and permits issued by the Gaming Control Board are revocable privileges and may be revoked at any time by the Gaming Control Board.</w:t>
      </w:r>
    </w:p>
    <w:p>
      <w:pPr>
        <w:spacing w:after="0" w:line="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West Virginia Regulation and Licensing. </w:t>
      </w:r>
      <w:r>
        <w:rPr>
          <w:rFonts w:ascii="Arial" w:cs="Arial" w:eastAsia="Arial" w:hAnsi="Arial"/>
          <w:sz w:val="17"/>
          <w:szCs w:val="17"/>
          <w:color w:val="auto"/>
        </w:rPr>
        <w:t>In the State of West Virginia, ERI owns and operates, through MTR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wholly owned subsidiary, Mountaineer Park, Inc., Mountaineer Casino, Racetrack &amp; Resort in Chester, West Virginia, which offers live thoroughbred racing with pari-mutuel wagering, simulcast racing with pari-mutuel wagering, televised racing with pari-mutuel wagering, racetrack video lottery games and lottery racetrack table games. The operation and management of Mountaineer are subject to extensive regulation by the West Virginia Racing Commission (the “WV Racing Commission”) and the West Virginia Lottery Commission (the “WVLC”). The racing and pari-mutuel wagering activities are licensed and regulated by the WV Racing Commission. Racetrack video lottery games and lottery racetrack table games are licensed and regulated by the WVLC. Holding a valid racing license is required in order to be issued and hold a racetrack video lottery license and a lottery racetrack table games license cannot be issued unless the applicant for the license holds a racetrack video lottery license.</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Horse Racing and Pari-Mutuel Wagering. </w:t>
      </w:r>
      <w:r>
        <w:rPr>
          <w:rFonts w:ascii="Arial" w:cs="Arial" w:eastAsia="Arial" w:hAnsi="Arial"/>
          <w:sz w:val="17"/>
          <w:szCs w:val="17"/>
          <w:color w:val="auto"/>
        </w:rPr>
        <w:t>The WV Racing Commission, which is comprised of three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appointed by the Governor of West Virginia, regulates live racing, simulcast racing, televised racing and pari-mutuel wagering. Racing and pari-mutuel wagering are governed by the applicable West Virginia statutes and legislative rules promulgated by the WV Racing Commission. Mountaineer is licensed by the WV Racing Commission, which license is renewed annually unless the WV Racing Commission rejects the application for renewal for good cause. The licensee pays an annual license tax as well as daily license taxes and pari-mutuel wagering taxes to the WV Racing Commission. The racing statutes including the taxes are subject to change by the West Virginia legislature. The legislative rules promulgated by the WV Racing Commission are subject to amendment by the WV Racing Commission, but changes to the rules need to be approved by the West Virginia legislature. Licenses are not transferable.</w:t>
      </w:r>
    </w:p>
    <w:p>
      <w:pPr>
        <w:spacing w:after="0" w:line="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part of its application for renewal of its license, Mountaineer must disclose substantial information to the WV Racing Commission and notify the WV Racing Commission of changes in material information during the license year. This information includes the following:</w:t>
      </w:r>
    </w:p>
    <w:p>
      <w:pPr>
        <w:spacing w:after="0" w:line="87" w:lineRule="exact"/>
        <w:rPr>
          <w:sz w:val="20"/>
          <w:szCs w:val="20"/>
          <w:color w:val="auto"/>
        </w:rPr>
      </w:pPr>
    </w:p>
    <w:p>
      <w:pPr>
        <w:ind w:left="440" w:hanging="113"/>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names and addresses of all Mountaineer directors and stockholders;</w:t>
      </w:r>
    </w:p>
    <w:p>
      <w:pPr>
        <w:spacing w:after="0" w:line="130" w:lineRule="exact"/>
        <w:rPr>
          <w:rFonts w:ascii="Arial" w:cs="Arial" w:eastAsia="Arial" w:hAnsi="Arial"/>
          <w:sz w:val="18"/>
          <w:szCs w:val="18"/>
          <w:color w:val="auto"/>
        </w:rPr>
      </w:pPr>
    </w:p>
    <w:p>
      <w:pPr>
        <w:ind w:left="460" w:hanging="133"/>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names and addresses of key employees of Mountaineer;</w:t>
      </w:r>
    </w:p>
    <w:p>
      <w:pPr>
        <w:spacing w:after="0" w:line="130" w:lineRule="exact"/>
        <w:rPr>
          <w:rFonts w:ascii="Arial" w:cs="Arial" w:eastAsia="Arial" w:hAnsi="Arial"/>
          <w:sz w:val="18"/>
          <w:szCs w:val="18"/>
          <w:color w:val="auto"/>
        </w:rPr>
      </w:pPr>
    </w:p>
    <w:p>
      <w:pPr>
        <w:ind w:left="500" w:hanging="173"/>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dates and locations of race meetings;</w:t>
      </w:r>
    </w:p>
    <w:p>
      <w:pPr>
        <w:spacing w:after="0" w:line="130" w:lineRule="exact"/>
        <w:rPr>
          <w:rFonts w:ascii="Arial" w:cs="Arial" w:eastAsia="Arial" w:hAnsi="Arial"/>
          <w:sz w:val="18"/>
          <w:szCs w:val="18"/>
          <w:color w:val="auto"/>
        </w:rPr>
      </w:pPr>
    </w:p>
    <w:p>
      <w:pPr>
        <w:ind w:left="500" w:hanging="173"/>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hours of operation on each race day;</w:t>
      </w:r>
    </w:p>
    <w:p>
      <w:pPr>
        <w:spacing w:after="0" w:line="130" w:lineRule="exact"/>
        <w:rPr>
          <w:rFonts w:ascii="Arial" w:cs="Arial" w:eastAsia="Arial" w:hAnsi="Arial"/>
          <w:sz w:val="18"/>
          <w:szCs w:val="18"/>
          <w:color w:val="auto"/>
        </w:rPr>
      </w:pPr>
    </w:p>
    <w:p>
      <w:pPr>
        <w:ind w:left="480" w:hanging="153"/>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list of names of all required race officials;</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current and accurate financial statement of Mountaineer certified by an independent certified public accountant; and</w:t>
      </w:r>
    </w:p>
    <w:p>
      <w:pPr>
        <w:spacing w:after="0" w:line="153" w:lineRule="exact"/>
        <w:rPr>
          <w:rFonts w:ascii="Arial" w:cs="Arial" w:eastAsia="Arial" w:hAnsi="Arial"/>
          <w:sz w:val="16"/>
          <w:szCs w:val="16"/>
          <w:color w:val="auto"/>
        </w:rPr>
      </w:pPr>
    </w:p>
    <w:p>
      <w:pPr>
        <w:ind w:left="440" w:hanging="113"/>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information required by the WV Racing Commission.</w:t>
      </w:r>
    </w:p>
    <w:p>
      <w:pPr>
        <w:spacing w:after="0" w:line="13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Employees of Mountaineer engaged in racing and/or pari-mutuel wagering must have permits issued by the WV Racing Commission before they engage in employment in a racing or pari-mutuel wagering occupation. The WV</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8"/>
          <w:szCs w:val="18"/>
          <w:color w:val="auto"/>
        </w:rPr>
        <w:t>Racing Commission charges each applicant for a permit, or for renewal of a permit, a permit fee that may be paid by the licensee.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WV Racing Commission may suspend, revoke or not renew licenses and permits in the event the licensee or permit holder violates the racing statutes or rules promulgated by the WV Racing Commission.</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WV Racing Commission may require fingerprints and background checks from all applicants for a permit as well as from officers, board members and key employees of Mountaineer.</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WV Racing Commission approves live racing days as well as simulcast and televised racing. The WV Racing Commission has broad powers to investigate, monitor and oversee all aspects of racing and pari-mutuel wagering. The WV Racing Commission and its personnel have the right of access to any and all parts of the grounds of Mountaineer, and the WV Racing Commission may audit or examine the books and records of Mountaineer.</w:t>
      </w:r>
    </w:p>
    <w:p>
      <w:pPr>
        <w:spacing w:after="0" w:line="7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the WV Racing Commission were to suspend, revoke or not renew Mountaineer’s racing license, Mountaineer would have to stop offering racetrack video lottery games for play and stop offering lottery racetrack table games.</w:t>
      </w:r>
    </w:p>
    <w:p>
      <w:pPr>
        <w:spacing w:after="0" w:line="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West Virginia levies various taxes and fees on racing and pari-mutuel wagering activities, imposes limits on the commissions Mountaineer may receive from these activities and specifies how some portions of these commissions must be expended by the licensee. Changes in these laws could have a significant impact on the profitability of Mountaineer.</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Racetrack Video Lottery. </w:t>
      </w:r>
      <w:r>
        <w:rPr>
          <w:rFonts w:ascii="Arial" w:cs="Arial" w:eastAsia="Arial" w:hAnsi="Arial"/>
          <w:sz w:val="18"/>
          <w:szCs w:val="18"/>
          <w:color w:val="auto"/>
        </w:rPr>
        <w:t>Racetrack video lottery is regulated by the WVLC, which is comprised of seven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by the Governor of West Virginia including the executive director of the WVLC (the “WV Executive Director”). The WVLC has promulgated rules approved by the West Virginia legislature under which racetrack video lottery games are played and conducted.</w:t>
      </w:r>
    </w:p>
    <w:p>
      <w:pPr>
        <w:spacing w:after="0" w:line="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West Virginia law, Mountaineer’s racetrack video lottery license is not transferrable. Additionally, the transfer of more than five percent of the equity interest, or voting interest, in Mountaineer or any other licensee must be approved by the WVLC before the transfer is finalized.</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lawfully conduct racetrack video lottery, Mountaineer must maintain its racing license issued by the WV Racing Commission as well as it racetrack video lottery license. Only the holder of a racing license is authorized to hold a racetrack video lottery license. In applying for a video lottery license, Mountaineer must present WVLC evidence of agreements, regarding the proceeds from video lottery terminals, between Mountaineer and the representative of a majority of the horse owners and trainers, the representative of a majority of the pari-mutuel clerks, and the representative of a majority of the breeders at the racetrack.</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maintain its racetrack video lottery license, Mountaineer is required to inform the WVLC when information provided in its last renewal application changes. Updating may be required because of changes in Mountaineer’s direct or indirect ownership, changes in management including members of the board of directors or changes in key personnel. Mountaineer must also request commission approval of any change in financing or lease arrangements at least thirty days before the effective date of the change. Mountaineer must annually apply to renew its race track video lottery license. This information includes but is not limited to:</w:t>
      </w:r>
    </w:p>
    <w:p>
      <w:pPr>
        <w:spacing w:after="0" w:line="99" w:lineRule="exact"/>
        <w:rPr>
          <w:sz w:val="20"/>
          <w:szCs w:val="20"/>
          <w:color w:val="auto"/>
        </w:rPr>
      </w:pPr>
    </w:p>
    <w:p>
      <w:pPr>
        <w:ind w:left="400" w:hanging="73"/>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information about all holding companies, intermediaries, subsidiaries and affiliates of Mountaineer;</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criminal charges or convictions of Mountaineer and employees engaged in gaming related activity;</w:t>
      </w:r>
    </w:p>
    <w:p>
      <w:pPr>
        <w:spacing w:after="0" w:line="130" w:lineRule="exact"/>
        <w:rPr>
          <w:rFonts w:ascii="Arial" w:cs="Arial" w:eastAsia="Arial" w:hAnsi="Arial"/>
          <w:sz w:val="18"/>
          <w:szCs w:val="18"/>
          <w:color w:val="auto"/>
        </w:rPr>
      </w:pPr>
    </w:p>
    <w:p>
      <w:pPr>
        <w:jc w:val="both"/>
        <w:ind w:left="400" w:hanging="73"/>
        <w:spacing w:after="0" w:line="259"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name, address, employer identification number or social security number, date of birth, compensation, any criminal charges or convictions and fingerprints for each of Mountaineer’s officers and directors as well as key employees having the ability to control or influence gaming activity. This requirement extends to officers, directors and key employees of a parent corporation;</w:t>
      </w:r>
    </w:p>
    <w:p>
      <w:pPr>
        <w:spacing w:after="0" w:line="92" w:lineRule="exact"/>
        <w:rPr>
          <w:rFonts w:ascii="Arial" w:cs="Arial" w:eastAsia="Arial" w:hAnsi="Arial"/>
          <w:sz w:val="18"/>
          <w:szCs w:val="18"/>
          <w:color w:val="auto"/>
        </w:rPr>
      </w:pPr>
    </w:p>
    <w:p>
      <w:pPr>
        <w:ind w:left="400" w:hanging="73"/>
        <w:spacing w:after="0" w:line="277" w:lineRule="auto"/>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description of the stock of Mountaineer, and of all holding companies, intermediaries, subsidiaries and affiliates of Mountaineer;</w:t>
      </w:r>
    </w:p>
    <w:p>
      <w:pPr>
        <w:spacing w:after="0" w:line="75" w:lineRule="exact"/>
        <w:rPr>
          <w:rFonts w:ascii="Arial" w:cs="Arial" w:eastAsia="Arial" w:hAnsi="Arial"/>
          <w:sz w:val="18"/>
          <w:szCs w:val="18"/>
          <w:color w:val="auto"/>
        </w:rPr>
      </w:pPr>
    </w:p>
    <w:p>
      <w:pPr>
        <w:ind w:left="420" w:hanging="93"/>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proof that Mountaineer holds a racing license issued by the WV Racing Commission;</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audited financial statements for Mountaineer and for any parent or holding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ind w:left="420" w:hanging="93"/>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about all of the stock or equity interests Mountaineer holds in other entities;</w:t>
      </w:r>
    </w:p>
    <w:p>
      <w:pPr>
        <w:spacing w:after="0" w:line="76" w:lineRule="exact"/>
        <w:rPr>
          <w:rFonts w:ascii="Arial" w:cs="Arial" w:eastAsia="Arial" w:hAnsi="Arial"/>
          <w:sz w:val="18"/>
          <w:szCs w:val="18"/>
          <w:color w:val="auto"/>
        </w:rPr>
      </w:pPr>
    </w:p>
    <w:p>
      <w:pPr>
        <w:ind w:left="400" w:hanging="73"/>
        <w:spacing w:after="0" w:line="277"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description of any civil litigation to which Mountaineer, or any holding company, subsidiary or affiliate of Mountaineer, is or was a party;</w:t>
      </w:r>
    </w:p>
    <w:p>
      <w:pPr>
        <w:spacing w:after="0" w:line="21" w:lineRule="exact"/>
        <w:rPr>
          <w:rFonts w:ascii="Arial" w:cs="Arial" w:eastAsia="Arial" w:hAnsi="Arial"/>
          <w:sz w:val="18"/>
          <w:szCs w:val="18"/>
          <w:color w:val="auto"/>
        </w:rPr>
      </w:pPr>
    </w:p>
    <w:p>
      <w:pPr>
        <w:jc w:val="both"/>
        <w:ind w:left="400" w:hanging="73"/>
        <w:spacing w:after="0" w:line="264"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about any judgment, order or consent order pertaining to a violation of federal antitrust, trade regulation or securities laws, or of similar laws of any state, province or country, entered against Mountaineer or any holding company of Mountaineer;</w:t>
      </w:r>
    </w:p>
    <w:p>
      <w:pPr>
        <w:spacing w:after="0" w:line="32" w:lineRule="exact"/>
        <w:rPr>
          <w:rFonts w:ascii="Arial" w:cs="Arial" w:eastAsia="Arial" w:hAnsi="Arial"/>
          <w:sz w:val="18"/>
          <w:szCs w:val="18"/>
          <w:color w:val="auto"/>
        </w:rPr>
      </w:pPr>
    </w:p>
    <w:p>
      <w:pPr>
        <w:ind w:left="400" w:hanging="73"/>
        <w:spacing w:after="0" w:line="277"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regarding any bankruptcy or insolvency proceedings of Mountaineer or any director, officer or key employee of Mountaineer or of any parent corporation or other holding company;</w:t>
      </w:r>
    </w:p>
    <w:p>
      <w:pPr>
        <w:spacing w:after="0" w:line="21" w:lineRule="exact"/>
        <w:rPr>
          <w:rFonts w:ascii="Arial" w:cs="Arial" w:eastAsia="Arial" w:hAnsi="Arial"/>
          <w:sz w:val="18"/>
          <w:szCs w:val="18"/>
          <w:color w:val="auto"/>
        </w:rPr>
      </w:pPr>
    </w:p>
    <w:p>
      <w:pPr>
        <w:ind w:left="400" w:hanging="73"/>
        <w:spacing w:after="0" w:line="277"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regarding the licensing history of Mountaineer, any director, officer or key employee of Mountaineer or of any parent or other holding company;</w:t>
      </w:r>
    </w:p>
    <w:p>
      <w:pPr>
        <w:spacing w:after="0" w:line="21" w:lineRule="exact"/>
        <w:rPr>
          <w:rFonts w:ascii="Arial" w:cs="Arial" w:eastAsia="Arial" w:hAnsi="Arial"/>
          <w:sz w:val="18"/>
          <w:szCs w:val="18"/>
          <w:color w:val="auto"/>
        </w:rPr>
      </w:pPr>
    </w:p>
    <w:p>
      <w:pPr>
        <w:ind w:left="480" w:hanging="153"/>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Mountaineer’s security and surveillance plan;</w:t>
      </w:r>
    </w:p>
    <w:p>
      <w:pPr>
        <w:spacing w:after="0" w:line="76" w:lineRule="exact"/>
        <w:rPr>
          <w:rFonts w:ascii="Arial" w:cs="Arial" w:eastAsia="Arial" w:hAnsi="Arial"/>
          <w:sz w:val="18"/>
          <w:szCs w:val="18"/>
          <w:color w:val="auto"/>
        </w:rPr>
      </w:pPr>
    </w:p>
    <w:p>
      <w:pPr>
        <w:jc w:val="both"/>
        <w:ind w:left="400" w:hanging="73"/>
        <w:spacing w:after="0" w:line="264"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consent to background checks for Mountaineer officers, directors and key employees and similar personnel of any parent corporation or holding company having directly or indirectly the power to control or influence gaming decisions by Mountaineer or any of its employees, which includes furnishing fingerprints;</w:t>
      </w:r>
    </w:p>
    <w:p>
      <w:pPr>
        <w:spacing w:after="0" w:line="32" w:lineRule="exact"/>
        <w:rPr>
          <w:rFonts w:ascii="Arial" w:cs="Arial" w:eastAsia="Arial" w:hAnsi="Arial"/>
          <w:sz w:val="18"/>
          <w:szCs w:val="18"/>
          <w:color w:val="auto"/>
        </w:rPr>
      </w:pPr>
    </w:p>
    <w:p>
      <w:pPr>
        <w:ind w:left="400" w:hanging="73"/>
        <w:spacing w:after="0" w:line="277"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commitment to deliver acceptable forms of credit (e.g., surety bond) and evidence of insurance, meeting the requirements of the WVLC;</w:t>
      </w:r>
    </w:p>
    <w:p>
      <w:pPr>
        <w:spacing w:after="0" w:line="21" w:lineRule="exact"/>
        <w:rPr>
          <w:rFonts w:ascii="Arial" w:cs="Arial" w:eastAsia="Arial" w:hAnsi="Arial"/>
          <w:sz w:val="18"/>
          <w:szCs w:val="18"/>
          <w:color w:val="auto"/>
        </w:rPr>
      </w:pPr>
    </w:p>
    <w:p>
      <w:pPr>
        <w:ind w:left="400" w:hanging="73"/>
        <w:spacing w:after="0" w:line="277" w:lineRule="auto"/>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commitment to purchase only authorized video lottery terminals and to maintain and timely repair such terminals using authorized technicians and parts;</w:t>
      </w:r>
    </w:p>
    <w:p>
      <w:pPr>
        <w:spacing w:after="0" w:line="21" w:lineRule="exact"/>
        <w:rPr>
          <w:rFonts w:ascii="Arial" w:cs="Arial" w:eastAsia="Arial" w:hAnsi="Arial"/>
          <w:sz w:val="18"/>
          <w:szCs w:val="18"/>
          <w:color w:val="auto"/>
        </w:rPr>
      </w:pPr>
    </w:p>
    <w:p>
      <w:pPr>
        <w:ind w:left="400" w:hanging="73"/>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commitment to acquire video lottery terminals only from technology providers approved by the WVLC; and</w:t>
      </w:r>
    </w:p>
    <w:p>
      <w:pPr>
        <w:spacing w:after="0" w:line="76" w:lineRule="exact"/>
        <w:rPr>
          <w:rFonts w:ascii="Arial" w:cs="Arial" w:eastAsia="Arial" w:hAnsi="Arial"/>
          <w:sz w:val="18"/>
          <w:szCs w:val="18"/>
          <w:color w:val="auto"/>
        </w:rPr>
      </w:pPr>
    </w:p>
    <w:p>
      <w:pPr>
        <w:ind w:left="440" w:hanging="113"/>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information or agreement the WVLC may require.</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time Mountaineer submits additional information to the WVLC in connection with Mountaineer’s racetrack video lottery license, or fails to timely submit such information, the WVLC and the WV Executive Director have discretion to suspend, revoke or reconsider the application for Mountaineer’s racetrack video lottery license. If the racetrack video lottery license is suspended, revoked or not renewed, Mountaineer would have to cease operation of its racetrack video lottery games, as well as its lottery racetrack table games.</w:t>
      </w:r>
    </w:p>
    <w:p>
      <w:pPr>
        <w:spacing w:after="0" w:line="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Mountaineer’s racetrack video lottery license is subject to suspension, revocation or nonrenewal as provided for in the racetrack video lottery statutes and rules of the WVLC. Civil money penalties and criminal penalties may be imposed for certain violations of the lottery statutes and rules of the WVLC.</w:t>
      </w:r>
    </w:p>
    <w:p>
      <w:pPr>
        <w:spacing w:after="0" w:line="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racetrack video lottery license may be suspended or revoked or not renewed in the event Mountaineer does any of the following:</w:t>
      </w:r>
    </w:p>
    <w:p>
      <w:pPr>
        <w:spacing w:after="0" w:line="22" w:lineRule="exact"/>
        <w:rPr>
          <w:sz w:val="20"/>
          <w:szCs w:val="20"/>
          <w:color w:val="auto"/>
        </w:rPr>
      </w:pPr>
    </w:p>
    <w:p>
      <w:pPr>
        <w:ind w:left="440" w:hanging="113"/>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comply with West Virginia’s racetrack video lottery statutes;</w:t>
      </w:r>
    </w:p>
    <w:p>
      <w:pPr>
        <w:spacing w:after="0" w:line="76" w:lineRule="exact"/>
        <w:rPr>
          <w:rFonts w:ascii="Arial" w:cs="Arial" w:eastAsia="Arial" w:hAnsi="Arial"/>
          <w:sz w:val="18"/>
          <w:szCs w:val="18"/>
          <w:color w:val="auto"/>
        </w:rPr>
      </w:pPr>
    </w:p>
    <w:p>
      <w:pPr>
        <w:ind w:left="400" w:right="680" w:hanging="73"/>
        <w:spacing w:after="0" w:line="277" w:lineRule="auto"/>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comply with the rules, terms and conditions, policies, orders and directives of the WVLC or of the WV Executive Director;</w:t>
      </w:r>
    </w:p>
    <w:p>
      <w:pPr>
        <w:spacing w:after="0" w:line="21" w:lineRule="exact"/>
        <w:rPr>
          <w:rFonts w:ascii="Arial" w:cs="Arial" w:eastAsia="Arial" w:hAnsi="Arial"/>
          <w:sz w:val="18"/>
          <w:szCs w:val="18"/>
          <w:color w:val="auto"/>
        </w:rPr>
      </w:pPr>
    </w:p>
    <w:p>
      <w:pPr>
        <w:ind w:left="400" w:hanging="73"/>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maintain any required surety bond, insurance, or insurance coverage required by the WVLC;</w:t>
      </w:r>
    </w:p>
    <w:p>
      <w:pPr>
        <w:spacing w:after="0" w:line="76" w:lineRule="exact"/>
        <w:rPr>
          <w:rFonts w:ascii="Arial" w:cs="Arial" w:eastAsia="Arial" w:hAnsi="Arial"/>
          <w:sz w:val="18"/>
          <w:szCs w:val="18"/>
          <w:color w:val="auto"/>
        </w:rPr>
      </w:pPr>
    </w:p>
    <w:p>
      <w:pPr>
        <w:ind w:left="400" w:right="280" w:hanging="73"/>
        <w:spacing w:after="0" w:line="325"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makes a false or fraudulent statement or representation in connection with its application for renewal of its racetrack video lottery license or in any other document reasonably required by the WVLC or the WV Executive Director;</w:t>
      </w:r>
    </w:p>
    <w:p>
      <w:pPr>
        <w:spacing w:after="0" w:line="1" w:lineRule="exact"/>
        <w:rPr>
          <w:rFonts w:ascii="Arial" w:cs="Arial" w:eastAsia="Arial" w:hAnsi="Arial"/>
          <w:sz w:val="16"/>
          <w:szCs w:val="16"/>
          <w:color w:val="auto"/>
        </w:rPr>
      </w:pPr>
    </w:p>
    <w:p>
      <w:pPr>
        <w:ind w:left="400" w:right="80" w:hanging="73"/>
        <w:spacing w:after="0" w:line="277" w:lineRule="auto"/>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promptly and accurately settle accounts of racetrack video lottery transactions and pay the WVLC amounts due to the WVLC from racetrack video lottery transactions;</w:t>
      </w:r>
    </w:p>
    <w:p>
      <w:pPr>
        <w:spacing w:after="0" w:line="21" w:lineRule="exact"/>
        <w:rPr>
          <w:rFonts w:ascii="Arial" w:cs="Arial" w:eastAsia="Arial" w:hAnsi="Arial"/>
          <w:sz w:val="18"/>
          <w:szCs w:val="18"/>
          <w:color w:val="auto"/>
        </w:rPr>
      </w:pPr>
    </w:p>
    <w:p>
      <w:pPr>
        <w:ind w:left="440" w:hanging="113"/>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credit or pay a winning racetrack video lottery participant;</w:t>
      </w:r>
    </w:p>
    <w:p>
      <w:pPr>
        <w:spacing w:after="0" w:line="76" w:lineRule="exact"/>
        <w:rPr>
          <w:rFonts w:ascii="Arial" w:cs="Arial" w:eastAsia="Arial" w:hAnsi="Arial"/>
          <w:sz w:val="18"/>
          <w:szCs w:val="18"/>
          <w:color w:val="auto"/>
        </w:rPr>
      </w:pPr>
    </w:p>
    <w:p>
      <w:pPr>
        <w:ind w:left="400" w:right="480" w:hanging="73"/>
        <w:spacing w:after="0" w:line="277" w:lineRule="auto"/>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allows an underage person to play racetrack video lottery games, or pays an underage person a video lottery prize payment;</w:t>
      </w:r>
    </w:p>
    <w:p>
      <w:pPr>
        <w:spacing w:after="0" w:line="21" w:lineRule="exact"/>
        <w:rPr>
          <w:rFonts w:ascii="Arial" w:cs="Arial" w:eastAsia="Arial" w:hAnsi="Arial"/>
          <w:sz w:val="18"/>
          <w:szCs w:val="18"/>
          <w:color w:val="auto"/>
        </w:rPr>
      </w:pPr>
    </w:p>
    <w:p>
      <w:pPr>
        <w:ind w:left="480" w:hanging="153"/>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maintain adequate and sufficient security;</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offers a video lottery game that has not been approved by the WV Executive Director or the WVLC;</w:t>
      </w:r>
    </w:p>
    <w:p>
      <w:pPr>
        <w:spacing w:after="0" w:line="76" w:lineRule="exact"/>
        <w:rPr>
          <w:rFonts w:ascii="Arial" w:cs="Arial" w:eastAsia="Arial" w:hAnsi="Arial"/>
          <w:sz w:val="18"/>
          <w:szCs w:val="18"/>
          <w:color w:val="auto"/>
        </w:rPr>
      </w:pPr>
    </w:p>
    <w:p>
      <w:pPr>
        <w:ind w:left="440" w:hanging="113"/>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allows a video lottery terminal to be repaired by an unauthorized person;</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uses a video lottery terminal that has not been authorized and approved by the WV Executive Director;</w:t>
      </w:r>
    </w:p>
    <w:p>
      <w:pPr>
        <w:spacing w:after="0" w:line="76" w:lineRule="exact"/>
        <w:rPr>
          <w:rFonts w:ascii="Arial" w:cs="Arial" w:eastAsia="Arial" w:hAnsi="Arial"/>
          <w:sz w:val="18"/>
          <w:szCs w:val="18"/>
          <w:color w:val="auto"/>
        </w:rPr>
      </w:pPr>
    </w:p>
    <w:p>
      <w:pPr>
        <w:ind w:left="440" w:hanging="113"/>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fails to comply with the Americans with Disabilities Act of 1990;</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fails to provide required notice or to obtain required approval prior to relocating or transporting a video lottery terminal;</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ind w:left="420" w:hanging="93"/>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fails to make capital improvements as required by the WVLC by rule, policy, order or directive;</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fails to meet financial obligations necessary for the continued operation of racetrack video lottery;</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acts in a manner that impacts or has the likelihood of impacting the efficient operation or integrity of video lottery; or</w:t>
      </w:r>
    </w:p>
    <w:p>
      <w:pPr>
        <w:spacing w:after="0" w:line="88" w:lineRule="exact"/>
        <w:rPr>
          <w:rFonts w:ascii="Arial" w:cs="Arial" w:eastAsia="Arial" w:hAnsi="Arial"/>
          <w:sz w:val="17"/>
          <w:szCs w:val="17"/>
          <w:color w:val="auto"/>
        </w:rPr>
      </w:pPr>
    </w:p>
    <w:p>
      <w:pPr>
        <w:ind w:left="400" w:right="40" w:hanging="73"/>
        <w:spacing w:after="0" w:line="277" w:lineRule="auto"/>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fails to adhere to any terms and conditions set forth in the order of the WVLC approving Mountaineer’s application for a license or for renewal thereof.</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WV Executive Director or the WVLC may also suspend or revoke Mountaineers racetrack video lottery license if Mountaineer or any officer or director or any employee engaged in gaming activity, or any officer or director or key employee of any parent corporation or holding company is convicted of criminal violations that may negatively impact the integrity of the lottery, or if any of them have experience, character or general fitness that the WV Executive Director believes would be inconsistent with the public interest, convenience or trust.</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necessary for reasons related to public safety, convenience or trust which require immediate action, the WV Executive Director may order the immediate and indefinite disabling of all or a portion of Mountaineer’s racetrack video lottery terminals in accordance with rules of the WVLC.</w:t>
      </w:r>
    </w:p>
    <w:p>
      <w:pPr>
        <w:spacing w:after="0" w:line="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WVLC and the WV Executive Director have broad powers under the racetrack video lottery statutes to investigate and monitor racetrack video lottery operations. All racetrack video lottery terminals in operation for play must be connected to the WVLC’s computer system. The WV Executive Director and employees of the Commission may at any time examine, inspect, test or access for any purposes all records, files, equipment, other documents, video lottery terminals, and hardware and software used in connection with video lottery. Mountaineer must allow inspections of its licensed premises at any time as authorized by the WV Executive Director.</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WVLC also has the power and authority, for good cause and without notice or a warrant, at any time, to do any of the following:</w:t>
      </w:r>
    </w:p>
    <w:p>
      <w:pPr>
        <w:spacing w:after="0" w:line="76" w:lineRule="exact"/>
        <w:rPr>
          <w:sz w:val="20"/>
          <w:szCs w:val="20"/>
          <w:color w:val="auto"/>
        </w:rPr>
      </w:pPr>
    </w:p>
    <w:p>
      <w:pPr>
        <w:ind w:left="400" w:right="200" w:hanging="73"/>
        <w:spacing w:after="0" w:line="277" w:lineRule="auto"/>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inspect any racetrack video lottery terminals, central monitoring system, or associated equipment and software about, on or around Mountaineer’s facilities;</w:t>
      </w:r>
    </w:p>
    <w:p>
      <w:pPr>
        <w:spacing w:after="0" w:line="75" w:lineRule="exact"/>
        <w:rPr>
          <w:rFonts w:ascii="Arial" w:cs="Arial" w:eastAsia="Arial" w:hAnsi="Arial"/>
          <w:sz w:val="18"/>
          <w:szCs w:val="18"/>
          <w:color w:val="auto"/>
        </w:rPr>
      </w:pPr>
    </w:p>
    <w:p>
      <w:pPr>
        <w:ind w:left="400" w:right="120" w:hanging="73"/>
        <w:spacing w:after="0" w:line="259" w:lineRule="auto"/>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inspect and examine all premises in which Mountaineer conducts racetrack video lottery gaming or has any authorized video lottery terminals, central monitoring system, or associated equipment and software designed, built, constructed, assembled, manufactured, sold, distributed, or serviced, or in which records of those activities are prepared or maintained;</w:t>
      </w:r>
    </w:p>
    <w:p>
      <w:pPr>
        <w:spacing w:after="0" w:line="92" w:lineRule="exact"/>
        <w:rPr>
          <w:rFonts w:ascii="Arial" w:cs="Arial" w:eastAsia="Arial" w:hAnsi="Arial"/>
          <w:sz w:val="18"/>
          <w:szCs w:val="18"/>
          <w:color w:val="auto"/>
        </w:rPr>
      </w:pPr>
    </w:p>
    <w:p>
      <w:pPr>
        <w:ind w:left="400" w:right="320" w:hanging="73"/>
        <w:spacing w:after="0" w:line="264" w:lineRule="auto"/>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seize summarily and remove from Mountaineer’s premises and impound, assume physical control of, or disable any video lottery terminals, central monitoring system, or associated equipment and software for the purposes of examination and inspection;</w:t>
      </w:r>
    </w:p>
    <w:p>
      <w:pPr>
        <w:spacing w:after="0" w:line="86" w:lineRule="exact"/>
        <w:rPr>
          <w:rFonts w:ascii="Arial" w:cs="Arial" w:eastAsia="Arial" w:hAnsi="Arial"/>
          <w:sz w:val="18"/>
          <w:szCs w:val="18"/>
          <w:color w:val="auto"/>
        </w:rPr>
      </w:pPr>
    </w:p>
    <w:p>
      <w:pPr>
        <w:jc w:val="both"/>
        <w:ind w:left="400" w:right="240" w:hanging="73"/>
        <w:spacing w:after="0" w:line="286" w:lineRule="auto"/>
        <w:tabs>
          <w:tab w:leader="none" w:pos="4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inspect, examine and audit books, records, and documents concerning Mountaineer’s racetrack video lottery gaming activities, including financial records of parent corporations, subsidiary corporations, affiliate corporations or similar business entities related to Mountaineer’s racetrack video lottery gaming activities; and</w:t>
      </w:r>
    </w:p>
    <w:p>
      <w:pPr>
        <w:spacing w:after="0" w:line="70" w:lineRule="exact"/>
        <w:rPr>
          <w:rFonts w:ascii="Arial" w:cs="Arial" w:eastAsia="Arial" w:hAnsi="Arial"/>
          <w:sz w:val="17"/>
          <w:szCs w:val="17"/>
          <w:color w:val="auto"/>
        </w:rPr>
      </w:pPr>
    </w:p>
    <w:p>
      <w:pPr>
        <w:ind w:left="400" w:right="180" w:hanging="73"/>
        <w:spacing w:after="0" w:line="277" w:lineRule="auto"/>
        <w:tabs>
          <w:tab w:leader="none" w:pos="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seize, impound, or assume physical control of books, records, ledgers, cash boxes and their contents, a counting room or its equipment, or other physical objects relating to racetrack video lottery gaming.</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racetrack video lottery statues, Mountaineer receives a commission equal to 46.5% of the net terminal income from the play of racetrack video lottery games. “Net terminal income” is generally defined as credits played less video lottery prize winnings, less an amount deducted by the WVLC to reimburse the WVLC for its actual costs for administering racetrack video lottery at the licensed racetrack.</w:t>
      </w:r>
    </w:p>
    <w:p>
      <w:pPr>
        <w:spacing w:after="0" w:line="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the West Virginia Legislature has established a fund for modernization of racetrack video lottery terminals into which the WVLC annually deposits a portion of the amount it retains for administration of racetrack video lottery games. An account is established for Mountaineer and for each of the other racetracks. Mountaineer may draw annually from its account matching dollars to help pay the expense of upgrading and modernizing it racetrack video lottery terminals. For every two dollars a licensee spends on certain equipment, it is authorized to receive one dollar in recoupment from the fund. In the event there remains a balance unspent by a licensee at the end of the year, that amount may be carried forward for one year, after which such amount reverts to the West Virginia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jc w:val="both"/>
        <w:spacing w:after="0" w:line="277" w:lineRule="auto"/>
        <w:rPr>
          <w:sz w:val="20"/>
          <w:szCs w:val="20"/>
          <w:color w:val="auto"/>
        </w:rPr>
      </w:pPr>
      <w:r>
        <w:rPr>
          <w:rFonts w:ascii="Arial" w:cs="Arial" w:eastAsia="Arial" w:hAnsi="Arial"/>
          <w:sz w:val="18"/>
          <w:szCs w:val="18"/>
          <w:color w:val="auto"/>
        </w:rPr>
        <w:t>State Lottery Fund. The West Virginia Licensed Racetrack Modernization Fund is currently authorized to be funded through the fiscal year ending June 30,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change to these statutes could have a significant impact on the profitability of Mountaineer’s racetrack video lottery gaming business and revenues.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Mountaineer employees involved with racetrack video lottery gaming are also required to obtain and maintain a license from the WVLC prior to being involved in racetrack video lottery gaming. An application for a racetrack video lottery gaming employee license may be denied if the applicant has been convicted of certain offenses involving moral turpitude, illegal gambling, fraud or misrepresentation or if the person is not qualified for the position for which the application for a license is submitted.</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Lottery Racetrack Table Games. </w:t>
      </w:r>
      <w:r>
        <w:rPr>
          <w:rFonts w:ascii="Arial" w:cs="Arial" w:eastAsia="Arial" w:hAnsi="Arial"/>
          <w:sz w:val="17"/>
          <w:szCs w:val="17"/>
          <w:color w:val="auto"/>
        </w:rPr>
        <w:t>Lottery racetrack table games are regulated by the WVLC. The WVLC has</w:t>
      </w:r>
      <w:r>
        <w:rPr>
          <w:rFonts w:ascii="Arial" w:cs="Arial" w:eastAsia="Arial" w:hAnsi="Arial"/>
          <w:sz w:val="17"/>
          <w:szCs w:val="17"/>
          <w:i w:val="1"/>
          <w:iCs w:val="1"/>
          <w:color w:val="auto"/>
        </w:rPr>
        <w:t xml:space="preserve"> </w:t>
      </w:r>
      <w:r>
        <w:rPr>
          <w:rFonts w:ascii="Arial" w:cs="Arial" w:eastAsia="Arial" w:hAnsi="Arial"/>
          <w:sz w:val="17"/>
          <w:szCs w:val="17"/>
          <w:color w:val="auto"/>
        </w:rPr>
        <w:t>promulgated rules approved by the West Virginia legislature under which lottery racetrack table games are played.</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West Virginia law, Mountaineer’s lottery racetrack table games license is not transferrable. Additionally, the transfer of more than five percent of the equity interest or voting interest in Mountaineer or any parent corporation or holding company must be approved by the WVLC before the transfer is finalized.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lawfully conduct lottery racetrack table games, Mountaineer must maintain its racing license issued by the WV Racing Commission and its racetrack video lottery license issued by the WVLC as well as its lottery table games license. Only the holder of a racing license and a racetrack video lottery license is authorized to hold a lottery racetrack table games license.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maintain its lottery racetrack table games license, Mountaineer is required to inform the WVLC when information provided in its last renewal application changes. Updating may be required because of changes in Mountaineer’s direct or indirect ownership, changes in management including members of the board of directors or changes in key personnel. Mountaineer must also request commission approval of any change in financing or lease arrangements at least thirty days before the effective date of the change. Mountaineer must annually apply to renew its lottery racetrack table games license. The information required for this license is similar to that previously discussed for renewal of a racetrack video lottery license.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time Mountaineer submits additional information to the WVLC in connection with Mountaineer’s lottery racetrack table games license, or fails to timely submit such information, the WVLC and the WV Executive Director have discretion to suspend, revoke or reconsider Mountaineers lottery racetrack table games license.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Mountaineer’s lottery racetrack table games license is subject to suspension, revocation or nonrenewal as provided for in the lottery racetrack table games statutes and rules of the WVLC. Civil money penalties and criminal penalties may be imposed for certain violations of the lottery statutes and rules of the WVLC.</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lottery racetrack table games license may be suspended or revoked or not renewed for the same reasons previously discussed for suspension, revocation or nonrenewal of a racetrack video lottery license.</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WV Executive Director or the WVLC may also suspend or revoke Mountaineers lottery racetrack table games license if Mountaineer or any officer or director or any employee engaged in gaming activity, or any officer or director or key employee of any parent corporation or holding company is convicted of criminal violations that may negatively impact the integrity of the West Virginia Lottery, or if any of them have experience, character or general fitness that the WV Executive Director believes would be inconsistent with the public interest, convenience or trust.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WVLC and the WV Executive Director have broad powers under the lottery racetrack table game statutes to investigate and monitor racetrack table game operations. The WV Executive Director and employees of the WVLC may at any time examine, inspect, test or access for any purposes all records, files, equipment, and other documents used in connection with lottery racetrack tables games operation and play. Mountaineer must allow inspections of its licensed premises at any time as authorized by the WV Executive Director.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ind w:firstLine="324"/>
        <w:spacing w:after="0" w:line="277" w:lineRule="auto"/>
        <w:rPr>
          <w:sz w:val="20"/>
          <w:szCs w:val="20"/>
          <w:color w:val="auto"/>
        </w:rPr>
      </w:pPr>
      <w:r>
        <w:rPr>
          <w:rFonts w:ascii="Arial" w:cs="Arial" w:eastAsia="Arial" w:hAnsi="Arial"/>
          <w:sz w:val="18"/>
          <w:szCs w:val="18"/>
          <w:color w:val="auto"/>
        </w:rPr>
        <w:t>The WVLC also has the power and authority, for good cause and without notice or a warrant, to at any time, to do any of the following:</w:t>
      </w:r>
    </w:p>
    <w:p>
      <w:pPr>
        <w:spacing w:after="0" w:line="76" w:lineRule="exact"/>
        <w:rPr>
          <w:sz w:val="20"/>
          <w:szCs w:val="20"/>
          <w:color w:val="auto"/>
        </w:rPr>
      </w:pPr>
    </w:p>
    <w:p>
      <w:pPr>
        <w:ind w:left="420" w:hanging="93"/>
        <w:spacing w:after="0"/>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inspect any racetrack table games or related equipment on or around Mountaineer’s facilities;</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inspect and examine all premises in which Mountaineer conducts lottery racetrack table games or stores related equipment;</w:t>
      </w:r>
    </w:p>
    <w:p>
      <w:pPr>
        <w:spacing w:after="0" w:line="75"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seize summarily and remove from Mountaineer’s premises and impound, assume physical control of, any lottery racetrack table games or associated equipment for the purposes of examination and inspection;</w:t>
      </w:r>
    </w:p>
    <w:p>
      <w:pPr>
        <w:spacing w:after="0" w:line="75" w:lineRule="exact"/>
        <w:rPr>
          <w:rFonts w:ascii="Arial" w:cs="Arial" w:eastAsia="Arial" w:hAnsi="Arial"/>
          <w:sz w:val="18"/>
          <w:szCs w:val="18"/>
          <w:color w:val="auto"/>
        </w:rPr>
      </w:pPr>
    </w:p>
    <w:p>
      <w:pPr>
        <w:jc w:val="both"/>
        <w:ind w:left="400" w:hanging="73"/>
        <w:spacing w:after="0" w:line="264"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inspect, examine and audit books, records, and documents concerning Mountaineers lottery racetrack table games activities, including financial records of parent corporations, subsidiary corporations, affiliate corporations or similar business entities related to Mountaineers racetrack lottery table gaming activities; and</w:t>
      </w:r>
    </w:p>
    <w:p>
      <w:pPr>
        <w:spacing w:after="0" w:line="194"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seize, impound, or assume physical control of books, records, ledgers, cash boxes and their contents, a counting room or its equipment, or other physical objects relating to lottery racetrack table gaming activity.</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lottery racetrack table games statute, Mountaineer must annually pay to the WVLC a lottery racetrack table games license fee of $2.5 million that is due when the application for renewal is filed with the WVLC. Additionally, Mountaineer pays a weekly tax equal to 35% of the adjusted gross receipts from table game activity during the preceding week.</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change to these statutes could have a significant impact on the profitability of Mountaineer’s lottery racetrack table game gaming business and revenues.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Mountaineer employees involved with lottery racetrack table games are also required to obtain and maintain a license from the WVLC prior to being involved in racetrack table gaming activity. An application for a racetrack video lottery gaming employee license may be denied if the applicant has been convicted of certain offenses involving moral turpitude, illegal gambling, fraud or misrepresentation or if the person is not qualified for the position for which the application for a license is submitted.</w:t>
      </w:r>
    </w:p>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Pennsylvania Regulation and Licensing. </w:t>
      </w:r>
      <w:r>
        <w:rPr>
          <w:rFonts w:ascii="Arial" w:cs="Arial" w:eastAsia="Arial" w:hAnsi="Arial"/>
          <w:sz w:val="17"/>
          <w:szCs w:val="17"/>
          <w:color w:val="auto"/>
        </w:rPr>
        <w:t>In the State of Pennsylvania, ERI owns and operates, through MTR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wholly owned subsidiary, Presque Isle Downs, Inc., Presque Isle Downs &amp; Casino in Erie, Pennsylvania. Presque Isle Downs is subject to rules and regulations promulgated the Pennsylvania Gaming Control Board (“PGCB”), the Pennsylvania Racing Commission (the “PA Racing Commission”) and the requirements of other agencies.</w:t>
      </w:r>
    </w:p>
    <w:p>
      <w:pPr>
        <w:spacing w:after="0" w:line="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Pennsylvania Gaming Control Board. </w:t>
      </w:r>
      <w:r>
        <w:rPr>
          <w:rFonts w:ascii="Arial" w:cs="Arial" w:eastAsia="Arial" w:hAnsi="Arial"/>
          <w:sz w:val="16"/>
          <w:szCs w:val="16"/>
          <w:color w:val="auto"/>
        </w:rPr>
        <w:t>The PGCB was created in 2004 by the Pennsylvania Race Horse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Gaming Act (the “Gaming Act”). The PGCB consists of seven voting members, three are appointed by the Governor of the Commonwealth of Pennsylvania and one by each of the four legislative caucuses. A supermajority vote consisting of each of the legislative commissioners and at least one gubernatorial commissioner is required for PGCB decisions. The Secretary of Revenue, the Secretary of Agriculture, and the Treasurer of the Commonwealth serve as ex officio members of the PGCB. Generally, the PGCB is mandated to protect the public through the regulation and policing of all activities involving gaming.</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the Gaming Act, the PGCB is authorized to issue licenses to three categories of operators. Presque Isle Downs is a “Category 1” licensee, which is reserved for owners and operators of horse race tracks. Initially, slot machines were the only form of gaming that could be provided by Category 1 licensees (other than pari-mutuel betting on horse races). Category 1 licensees are permitted up to 5,000 slot machines. In January 2010, the Pennsylvania legislature amended the Gaming Act to permit Category 1 licensees to operate table games, including poker, black jack, baccarat, roulette, and craps. Category 1 licensees may petition the PGCB for permission to operate up to 250 tables. Presque Isle Downs currently has 1,720 slot machines and 46 table games.</w:t>
      </w:r>
    </w:p>
    <w:p>
      <w:pPr>
        <w:spacing w:after="0" w:line="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Category 1 licensees, like Presque Isle, are assessed an initial license fee of $50,000,000. The license fee for the Table Games Certificate was $16,500,000. Licensees also must pay taxes on slot machine “gross terminal revenues” (the difference between wagers and pay-outs) in the following amounts: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34% to the Commonwealth of Pennsylvania;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47" w:right="1419" w:bottom="1440" w:gutter="0" w:footer="0" w:header="0"/>
        </w:sectPr>
      </w:pPr>
    </w:p>
    <w:bookmarkStart w:id="127" w:name="page128"/>
    <w:bookmarkEnd w:id="127"/>
    <w:p>
      <w:pPr>
        <w:ind w:left="440" w:hanging="113"/>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 to the local county in which the gaming facility is located;</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 to the local municipality in which the gaming facility is located, subject to a minimum of $10.0 million;</w:t>
      </w:r>
    </w:p>
    <w:p>
      <w:pPr>
        <w:spacing w:after="0" w:line="130" w:lineRule="exact"/>
        <w:rPr>
          <w:rFonts w:ascii="Arial" w:cs="Arial" w:eastAsia="Arial" w:hAnsi="Arial"/>
          <w:sz w:val="18"/>
          <w:szCs w:val="18"/>
          <w:color w:val="auto"/>
        </w:rPr>
      </w:pPr>
    </w:p>
    <w:p>
      <w:pPr>
        <w:ind w:left="440" w:hanging="113"/>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5% to the Pennsylvania Gaming Economic Development Tourism Fund; and</w:t>
      </w:r>
    </w:p>
    <w:p>
      <w:pPr>
        <w:spacing w:after="0" w:line="130" w:lineRule="exact"/>
        <w:rPr>
          <w:rFonts w:ascii="Arial" w:cs="Arial" w:eastAsia="Arial" w:hAnsi="Arial"/>
          <w:sz w:val="18"/>
          <w:szCs w:val="18"/>
          <w:color w:val="auto"/>
        </w:rPr>
      </w:pPr>
    </w:p>
    <w:p>
      <w:pPr>
        <w:ind w:left="520" w:hanging="193"/>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12% to support the horse race industry.</w:t>
      </w:r>
    </w:p>
    <w:p>
      <w:pPr>
        <w:spacing w:after="0" w:line="13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is an additional requirement to repay a loan obtained from the Commonwealth of Pennsylvania to cover the initial regulatory start-up costs before any of Pennsylvania’s casinos began operations. The repayment amount of $63.8 million is a ten-year requirement assessed against each property’s gross terminal revenue according to a formula established per a pronouncement of the PGCB dated July 11, 2011. The formula averages the property’s percentage annual gross terminal revenue of the total from all properties each year with its cumulative percentage of all gross terminal revenue generated since gaming commenced in the Commonwealth of Pennsylvania. The average obtained is applied against the $6.38 million payment to be made each year, the final payment to be due on January 1, 2021.</w:t>
      </w:r>
    </w:p>
    <w:p>
      <w:pPr>
        <w:spacing w:after="0" w:line="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tax rates apply to table games and are based on “daily gross table games revenue” (calculated in essentially the same manner as “gross terminal revenue”):</w:t>
      </w:r>
    </w:p>
    <w:p>
      <w:pPr>
        <w:spacing w:after="0" w:line="76" w:lineRule="exact"/>
        <w:rPr>
          <w:sz w:val="20"/>
          <w:szCs w:val="20"/>
          <w:color w:val="auto"/>
        </w:rPr>
      </w:pPr>
    </w:p>
    <w:p>
      <w:pPr>
        <w:ind w:left="440" w:hanging="113"/>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 to the Commonwealth of Pennsylvania on non-electronic table games;</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34% to the Commonwealth of Pennsylvania on fully electronic table games; and</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 to the local municipalities in which the gaming facility is located on all games.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deposit of $1.5 million to cover weekly withdrawals of the property’s share of the cost of regulation is required to be maintained and the amount withdrawn must be replenished weekly.</w:t>
      </w:r>
    </w:p>
    <w:p>
      <w:pPr>
        <w:spacing w:after="0" w:line="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Any person who acquires beneficial ownership of 5% or more of the voting securities of the licensee or an entity that controls the licensee will be required to apply to the PGCB for licensure, obtain licensure and remain licensed. Licensure requires, among other things, that the applicant establish by clear and convincing evidence the applicant’s good character, honesty and integrity. Additionally, any trust that holds 5% or more of the voting securities of a licensee or any entity that controls the licensee is required to be licensed by the PGCB and each individual who is a grantor, trustee or beneficiary of the trust is also required to be licensed by the PGCB. Under certain circumstances and under the regulations of the PGCB, an “institutional investor” as defined under the regulations of the PGCB, which acquires beneficial ownership of 5% or more, but less than 10%, of the voting securities of a licensee or of any entity that controls the licensee, may be waived from licensure by the PGCB provided the institutional investor files an Institutional Notice of Ownership Form with the PGCB Bureau of Licensing and has filed, and remains eligible to file, a statement of beneficial ownership on Schedule 13G with the SEC as a result of this ownership interest. In addition, any beneficial owner of our voting securities, regardless of the number of shares beneficially owned, may be required at the discretion of the PGCB to file an application for licensure.</w:t>
      </w:r>
    </w:p>
    <w:p>
      <w:pPr>
        <w:spacing w:after="0" w:line="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a security holder is required to be found qualified and is not found qualified, the security holder may be required by the PGCB to divest its interest at a price not exceeding the cost of the interest. Key employees, vendors, suppliers, slot machine manufacturers and management companies are also required to be licensed.</w:t>
      </w:r>
    </w:p>
    <w:p>
      <w:pPr>
        <w:spacing w:after="0" w:line="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PGCB reserves the right to require any investor or person associated with a licensee to be licensed. Licensees are prohibited from making any political contributions to Pennsylvania candidates or political parties.</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Gaming Act also requires that a slot machine licensee shall notify the PGCB and receive the PGCB’s consent prior to any “change in control” of the slot machine licensee. A change in control is defined as the acquisition by a person or group of persons acting in concert of more than twenty percent of the slot machine licensee’s securities or other ownership interests or the purchaser of the assets, other than in the ordinary course of business, of any slot machine licensee. The person or entity purchasing the assets which results in a change of control is required to: (1) independently qualify for a license in accordance with the licensing requirements of the Gaming Act and (2) pay a license fee of up to $50,000,000. The Gaming Act provides that the PGCB may in its discretion reduce but not eliminate the requirement that a license fee of $50,000,000 be paid. On December 18, 2007, the PGCB approved a presumptive fee for a change of control of $2.5 million, unless special circumstances would dictate otherwise. The PGCB may provide up to 120 days for any person who is required to apply for a license and who is found not qualified to completely divest the person’s ownership interest.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8" w:name="page129"/>
    <w:bookmarkEnd w:id="128"/>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Pennsylvania Racing Commission. </w:t>
      </w:r>
      <w:r>
        <w:rPr>
          <w:rFonts w:ascii="Arial" w:cs="Arial" w:eastAsia="Arial" w:hAnsi="Arial"/>
          <w:sz w:val="18"/>
          <w:szCs w:val="18"/>
          <w:color w:val="auto"/>
        </w:rPr>
        <w:t>Under the Race Horse Industry Reform Act (the “Racing Act”), the PA Racing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is mandated to supervise thoroughbred horse race meetings in Pennsylvania at which pari-mutuel betting is conducted. The PA Racing Commission is also charged with licensing operators of thoroughbred horse race tracks and other persons involved in the thoroughbred horse race industry in Pennsylvania. The Racing Act authorizes the PA Racing Commission to issue up to six operator licenses. The Pennsylvania Harness Racing Commission is authorized to issue up to five licenses to operate harness racing tracks.</w:t>
      </w:r>
    </w:p>
    <w:p>
      <w:pPr>
        <w:spacing w:after="0" w:line="9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Racing Act and regulations promulgated by the PA Racing Commission provide detailed regulations relating to such things as wagering, simulcasting, sale of liquor, maintenance of grounds and facilities, and operation of races. However, the provisions in the Racing Act and the PA Racing Commission’s regulations relating to licensing are quite general in nature. They provide that 17 types of persons and/or entities must be licensed, including owners, trainers, jockeys, veterinarians, and all track employees. The PA Racing Commission’s regulations provide that all licenses will be issued at the discretion of the PA Racing Commission’s director of licensing, subject to review by the PA Racing Commission. In exercising this discretion, the director is mandated to consider if the applicant:</w:t>
      </w:r>
    </w:p>
    <w:p>
      <w:pPr>
        <w:spacing w:after="0" w:line="83" w:lineRule="exact"/>
        <w:rPr>
          <w:sz w:val="20"/>
          <w:szCs w:val="20"/>
          <w:color w:val="auto"/>
        </w:rPr>
      </w:pPr>
    </w:p>
    <w:p>
      <w:pPr>
        <w:ind w:left="460" w:hanging="133"/>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been convicted of a crime involving moral turpitude;</w:t>
      </w:r>
    </w:p>
    <w:p>
      <w:pPr>
        <w:spacing w:after="0" w:line="130" w:lineRule="exact"/>
        <w:rPr>
          <w:rFonts w:ascii="Arial" w:cs="Arial" w:eastAsia="Arial" w:hAnsi="Arial"/>
          <w:sz w:val="18"/>
          <w:szCs w:val="18"/>
          <w:color w:val="auto"/>
        </w:rPr>
      </w:pPr>
    </w:p>
    <w:p>
      <w:pPr>
        <w:ind w:left="440" w:hanging="113"/>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engaged in bookmaking or another form of illegal gambling;</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been found guilty of fraud or misrepresentation in connection with racing or breeding;</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been found guilty of a violation or attempt to violate a law, rule or regulation of racing in a jurisdiction for which suspension from racing might be imposed in the jurisdiction;</w:t>
      </w:r>
    </w:p>
    <w:p>
      <w:pPr>
        <w:spacing w:after="0" w:line="75" w:lineRule="exact"/>
        <w:rPr>
          <w:rFonts w:ascii="Arial" w:cs="Arial" w:eastAsia="Arial" w:hAnsi="Arial"/>
          <w:sz w:val="18"/>
          <w:szCs w:val="18"/>
          <w:color w:val="auto"/>
        </w:rPr>
      </w:pPr>
    </w:p>
    <w:p>
      <w:pPr>
        <w:ind w:left="440" w:hanging="113"/>
        <w:spacing w:after="0"/>
        <w:tabs>
          <w:tab w:leader="none" w:pos="4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has violated rules, regulations or order of the PA Racing Commission; and</w:t>
      </w:r>
    </w:p>
    <w:p>
      <w:pPr>
        <w:spacing w:after="0" w:line="130" w:lineRule="exact"/>
        <w:rPr>
          <w:rFonts w:ascii="Arial" w:cs="Arial" w:eastAsia="Arial" w:hAnsi="Arial"/>
          <w:sz w:val="18"/>
          <w:szCs w:val="18"/>
          <w:color w:val="auto"/>
        </w:rPr>
      </w:pPr>
    </w:p>
    <w:p>
      <w:pPr>
        <w:ind w:left="580" w:hanging="253"/>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not financially responsible.</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Prospective licensees are required to file an application on forms prescribed by the PA Racing Commission, agree to be fingerprinted as required by the PA Racing Commission, and agree to full disclosure and investigation of criminal and employment records. The PA Racing Commission also requires payment of application fees and licensing fees for each person and entity licensed ranging from an annual license fee for track employees of $5 to an application fee for an operator’s license of $1,000.</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 Racing Commission’s regulations also provide that a person or corporation to whom a licensee’s stock is “transferred” must, contemporaneously with the transfer, submit to the PA Racing Commission an affidavit containing certain information regarding the transferee. A “transfer” is defined as a sale, transfer or exchange of stock or the creation of a beneficial, legal or equitable interest therein.</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matter of practice, the PA Racing Commission typically requires applications to be filed by entities and individuals that are also required to file applications with the PGCB under the Gaming Act. Additionally, the PA Racing Commission typically does not conduct its own background investigation into applicants if the PGCB is conducting background investigations regarding those applicants. Rather, the PA Racing Commission will review the investigation conducted by the PGCB when deciding whether to grant a license.</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holder of a Category 1 license, Presque Isle Downs has the obligation to create a fund to be used for the improvement and maintenance of the backside area of its racetrack with an amount of not less than $250,000 or more than $1.0 million annually for a five-year period beginning in 2017.</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Ohio Regulation and Licensing. </w:t>
      </w:r>
      <w:r>
        <w:rPr>
          <w:rFonts w:ascii="Arial" w:cs="Arial" w:eastAsia="Arial" w:hAnsi="Arial"/>
          <w:sz w:val="18"/>
          <w:szCs w:val="18"/>
          <w:color w:val="auto"/>
        </w:rPr>
        <w:t>In the state of Ohio, ERI owns and operates, through MTR and its wholly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Scioto Downs, Inc. (together with its own wholly owned subsidiaries, “SDI”), the Scioto Downs Racino in Columbus, Ohio. Scioto Downs offers live harness racing, onsite pari-mutuel wagering, and thoroughbred, harness and greyhound race simulcast and wagering (collectively, “Live Racing”), and VLTs.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operation and management of Scioto Downs are subject to extensive state regulation. Live Racing and VLT gaming are each regulated by statute, regulation and rule. SDI’s VLT gaming operations are also regulated by the terms and conditions of SDI’s Video Lottery Sales Agent License (“VLT Gaming License”) from the Ohio Lottery Commission (“OLC”).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47" w:right="1419" w:bottom="1440" w:gutter="0" w:footer="0" w:header="0"/>
        </w:sectPr>
      </w:pPr>
    </w:p>
    <w:bookmarkStart w:id="129" w:name="page130"/>
    <w:bookmarkEnd w:id="129"/>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Live Racing. </w:t>
      </w:r>
      <w:r>
        <w:rPr>
          <w:rFonts w:ascii="Arial" w:cs="Arial" w:eastAsia="Arial" w:hAnsi="Arial"/>
          <w:sz w:val="17"/>
          <w:szCs w:val="17"/>
          <w:color w:val="auto"/>
        </w:rPr>
        <w:t>The Ohio State Racing Commission (“OSRC”), which is comprised of 5 members appointed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Governor of the State of Ohio, has regulatory oversight of Live Racing in Ohio. The OSRC establishes the rules and conditions for Live Racing and the forms of wagering that are permitted, and issues permits for Live Racing. SDI must maintain a permit with OSRC in order to lawfully offer Live Racing. Such permits are issued for one year and are renewable. OSRC shall renew Live Racing permits unless OSRC rejects the application for renewal for good cause.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obtaining and maintaining its Live Racing permit, SDI must disclose substantial information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OSRC, including the following:</w:t>
      </w:r>
    </w:p>
    <w:p>
      <w:pPr>
        <w:spacing w:after="0" w:line="116" w:lineRule="exact"/>
        <w:rPr>
          <w:sz w:val="20"/>
          <w:szCs w:val="20"/>
          <w:color w:val="auto"/>
        </w:rPr>
      </w:pPr>
    </w:p>
    <w:p>
      <w:pPr>
        <w:ind w:left="440" w:hanging="113"/>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names and addresses of all SDI directors and stockholders;</w:t>
      </w:r>
    </w:p>
    <w:p>
      <w:pPr>
        <w:spacing w:after="0" w:line="130" w:lineRule="exact"/>
        <w:rPr>
          <w:rFonts w:ascii="Arial" w:cs="Arial" w:eastAsia="Arial" w:hAnsi="Arial"/>
          <w:sz w:val="18"/>
          <w:szCs w:val="18"/>
          <w:color w:val="auto"/>
        </w:rPr>
      </w:pPr>
    </w:p>
    <w:p>
      <w:pPr>
        <w:ind w:left="500" w:hanging="173"/>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dates and locations of race meetings;</w:t>
      </w:r>
    </w:p>
    <w:p>
      <w:pPr>
        <w:spacing w:after="0" w:line="130" w:lineRule="exact"/>
        <w:rPr>
          <w:rFonts w:ascii="Arial" w:cs="Arial" w:eastAsia="Arial" w:hAnsi="Arial"/>
          <w:sz w:val="18"/>
          <w:szCs w:val="18"/>
          <w:color w:val="auto"/>
        </w:rPr>
      </w:pPr>
    </w:p>
    <w:p>
      <w:pPr>
        <w:ind w:left="500" w:hanging="173"/>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hours of operation on each racing day;</w:t>
      </w:r>
    </w:p>
    <w:p>
      <w:pPr>
        <w:spacing w:after="0" w:line="130" w:lineRule="exact"/>
        <w:rPr>
          <w:rFonts w:ascii="Arial" w:cs="Arial" w:eastAsia="Arial" w:hAnsi="Arial"/>
          <w:sz w:val="18"/>
          <w:szCs w:val="18"/>
          <w:color w:val="auto"/>
        </w:rPr>
      </w:pPr>
    </w:p>
    <w:p>
      <w:pPr>
        <w:ind w:left="480" w:hanging="153"/>
        <w:spacing w:after="0"/>
        <w:tabs>
          <w:tab w:leader="none" w:pos="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list of names of all required race officials;</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current accurate financial statements of SDI prepared and certified by an independent certified public accountant; and</w:t>
      </w:r>
    </w:p>
    <w:p>
      <w:pPr>
        <w:spacing w:after="0" w:line="153" w:lineRule="exact"/>
        <w:rPr>
          <w:rFonts w:ascii="Arial" w:cs="Arial" w:eastAsia="Arial" w:hAnsi="Arial"/>
          <w:sz w:val="16"/>
          <w:szCs w:val="16"/>
          <w:color w:val="auto"/>
        </w:rPr>
      </w:pPr>
    </w:p>
    <w:p>
      <w:pPr>
        <w:ind w:left="520" w:hanging="193"/>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information as OSRC requires.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SDI’s Live Racing permit is neither assignable nor transferrable.</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OSRC may suspend, diminish or revoke SDI’s Live Racing permit in the event that SDI violates the rules or conditions prescribed and promulgated by OSRC.</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OSRC has broad authority to regulate Live Racing. OSRC regulation of SDI’s Live Racing includes regulating the days and hours that SDI may conduct live harness racing, the number of live races conducted by SDI, the number of days each year that SDI provides simulcast wagering, the races for which SDI may provide simulcast wagering and the equipment and facility requirements for Live Racing.</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OSRC has broad powers to investigate, monitor and police Live Racing. OSRC has the right of full and complete entry to any and all parts of the grounds of SDI. OSRC may at any time engage auditors to examine the books and records of SDI. Upon demand from OSRC, SDI must furnish OSRC a full and complete statement of receipts, expenditures, attendance and such other information as OSRC may require.</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OSRC were to suspend, diminish, revoke or refuse to renew SDI’s Live Racing permit, SDI would have to stop providing Live Racing and VLT gaming (see below).</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Ohio law assesses special taxes on money wagered on Live Racing and sets the limit on the amount of money wagered on Live Racing that SDI may retain. Changes in these laws could have a significant impact on the profitability of SDI’s Live Racing business.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by rule of OSRC or by agreement between SDI and the horseman’s association, a percentage of SDI’s VLT Gaming commission shall be paid to OSRC for the benefit of horse breeding and racing in Ohio. Accordingly, pursuant to an agreement with the relevant horseman’s association, effective January 1, 2014, 10.5% of SDI’s VLT Gaming commission will be paid to OSRC for the benefit of the horseman’s association.</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SDI employees and other persons (“Live Racing Personnel”) involved in providing Live Racing at SDI facilities must have licenses issued by OSRC prior to such employment or involvement. It is SDI’s responsibility to have all Racing Personnel fingerprinted before gaining access to SDI’s racing premises. OSRC may issue, deny, suspend or revoke licenses to Live Racing Personnel as is in the public interest for the purpose of maintaining a proper control over horse racing. OSRC, as is in the public interest for the purpose of maintaining proper control over horse racing, also may rule any person off SDI’s Live Racing premises.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VLT Gaming. </w:t>
      </w:r>
      <w:r>
        <w:rPr>
          <w:rFonts w:ascii="Arial" w:cs="Arial" w:eastAsia="Arial" w:hAnsi="Arial"/>
          <w:sz w:val="18"/>
          <w:szCs w:val="18"/>
          <w:color w:val="auto"/>
        </w:rPr>
        <w:t>VLT gaming is regulated by OLC, which is comprised of 9 members appointed by the Governor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Ohio. The executive officer of OLC is a director (“Ohio Director”) who is appointed by the Governor of the State of Ohio. OLC has the authority to promulgate rules under which VLT gaming may be conducted, and issues and oversees VLT gaming licenses.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0" w:name="page131"/>
    <w:bookmarkEnd w:id="130"/>
    <w:p>
      <w:pPr>
        <w:jc w:val="both"/>
        <w:ind w:firstLine="324"/>
        <w:spacing w:after="0" w:line="257" w:lineRule="auto"/>
        <w:rPr>
          <w:sz w:val="20"/>
          <w:szCs w:val="20"/>
          <w:color w:val="auto"/>
        </w:rPr>
      </w:pPr>
      <w:r>
        <w:rPr>
          <w:rFonts w:ascii="Arial" w:cs="Arial" w:eastAsia="Arial" w:hAnsi="Arial"/>
          <w:sz w:val="18"/>
          <w:szCs w:val="18"/>
          <w:color w:val="auto"/>
        </w:rPr>
        <w:t>Under Ohio law, SDI’s VLT Gaming License is not transferrable for five years after its initial issuance. Any ownership interest in SDI, directly or indirectly, through the immediate holding company of SDI, that is acquired after the date that SDI’s VLT Gaming License was issued by a person or entity not previously holding an ownership interest in SDI, which would result in such person or entity obtaining control of SDI is considered a “transfer.” In this context, “control” means any of the following:</w:t>
      </w:r>
    </w:p>
    <w:p>
      <w:pPr>
        <w:spacing w:after="0" w:line="94" w:lineRule="exact"/>
        <w:rPr>
          <w:sz w:val="20"/>
          <w:szCs w:val="20"/>
          <w:color w:val="auto"/>
        </w:rPr>
      </w:pPr>
    </w:p>
    <w:p>
      <w:pPr>
        <w:ind w:left="440" w:hanging="113"/>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holding fifty per cent or more of the outstanding voting securities of SDI;</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having the right in the event of dissolution to fifty per cent or more of the assets of SDI; or</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having the contractual power presently to designate fifty percent or more of the directors of SDI.</w:t>
      </w:r>
    </w:p>
    <w:p>
      <w:pPr>
        <w:spacing w:after="0" w:line="13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SDI’s VLT Gaming License was issued on or about May 22, 2012. Any strategic transaction involving SDI that constitutes a “transfer” of SDI, within the meaning discussed above, before the fifth anniversary of the issuance of SDI’s VLT Gaming License may result in the suspension, modification or revocation of SDI’s VLT Gaming License. A suspension or revocation of SDI’s VLT Gaming License would necessitate the cessation of SDI’s VLT Gaming operations.</w:t>
      </w:r>
    </w:p>
    <w:p>
      <w:pPr>
        <w:spacing w:after="0" w:line="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order to lawfully conduct VLT Gaming, SDI must maintain a Live Racing permit from OSRC and a VLT Gaming License from OLC. Only the holder of a Live Racing permit from OSRC is authorized to hold a VLT Gaming License.</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maintain its VLT Gaming License, SDI is required to keep its VLT Gaming License application updated and complete. Updates may be required because of changes to SDI’s ownership, management or business, or because the Ohio Director updates the application requirements. SDI must annually make application to renew its VLT Gaming License and every three years SDI must resubmit a complete VLT Gaming License application.</w:t>
      </w:r>
    </w:p>
    <w:p>
      <w:pPr>
        <w:spacing w:after="0" w:line="7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amount of information SDI is required to disclose and keep updated on its VLT Gaming License application is extensive. SDI’s VLT Gaming License application includes information about SDI and SDI’s Principals (defined below), including, but not limited to:</w:t>
      </w:r>
    </w:p>
    <w:p>
      <w:pPr>
        <w:spacing w:after="0" w:line="87" w:lineRule="exact"/>
        <w:rPr>
          <w:sz w:val="20"/>
          <w:szCs w:val="20"/>
          <w:color w:val="auto"/>
        </w:rPr>
      </w:pPr>
    </w:p>
    <w:p>
      <w:pPr>
        <w:ind w:left="420" w:hanging="93"/>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about all holding companies, intermediaries, subsidiaries and affiliates of SDI;</w:t>
      </w:r>
    </w:p>
    <w:p>
      <w:pPr>
        <w:spacing w:after="0" w:line="130" w:lineRule="exact"/>
        <w:rPr>
          <w:rFonts w:ascii="Arial" w:cs="Arial" w:eastAsia="Arial" w:hAnsi="Arial"/>
          <w:sz w:val="18"/>
          <w:szCs w:val="18"/>
          <w:color w:val="auto"/>
        </w:rPr>
      </w:pPr>
    </w:p>
    <w:p>
      <w:pPr>
        <w:ind w:left="480" w:hanging="153"/>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criminal charges or convictions of SDI;</w:t>
      </w:r>
    </w:p>
    <w:p>
      <w:pPr>
        <w:spacing w:after="0" w:line="130" w:lineRule="exact"/>
        <w:rPr>
          <w:rFonts w:ascii="Arial" w:cs="Arial" w:eastAsia="Arial" w:hAnsi="Arial"/>
          <w:sz w:val="18"/>
          <w:szCs w:val="18"/>
          <w:color w:val="auto"/>
        </w:rPr>
      </w:pPr>
    </w:p>
    <w:p>
      <w:pPr>
        <w:jc w:val="both"/>
        <w:ind w:left="400" w:hanging="73"/>
        <w:spacing w:after="0" w:line="264" w:lineRule="auto"/>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name, address, employer identification number or social security number, date of birth, compensation and any criminal charges or convictions for each of SDI’s officers, directors, and shareholders having directly or indirectly an ownership interest of five percent or more in SDI (collectively, “SDI’s Principals”);</w:t>
      </w:r>
    </w:p>
    <w:p>
      <w:pPr>
        <w:spacing w:after="0" w:line="86" w:lineRule="exact"/>
        <w:rPr>
          <w:rFonts w:ascii="Arial" w:cs="Arial" w:eastAsia="Arial" w:hAnsi="Arial"/>
          <w:sz w:val="18"/>
          <w:szCs w:val="18"/>
          <w:color w:val="auto"/>
        </w:rPr>
      </w:pPr>
    </w:p>
    <w:p>
      <w:pPr>
        <w:ind w:left="400" w:hanging="73"/>
        <w:spacing w:after="0"/>
        <w:tabs>
          <w:tab w:leader="none" w:pos="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description of all bonus, profit sharing, pension, retirement, deferred compensation and similar plans of SDI;</w:t>
      </w:r>
    </w:p>
    <w:p>
      <w:pPr>
        <w:spacing w:after="0" w:line="142" w:lineRule="exact"/>
        <w:rPr>
          <w:rFonts w:ascii="Arial" w:cs="Arial" w:eastAsia="Arial" w:hAnsi="Arial"/>
          <w:sz w:val="17"/>
          <w:szCs w:val="17"/>
          <w:color w:val="auto"/>
        </w:rPr>
      </w:pPr>
    </w:p>
    <w:p>
      <w:pPr>
        <w:ind w:left="400" w:hanging="73"/>
        <w:spacing w:after="0"/>
        <w:tabs>
          <w:tab w:leader="none" w:pos="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description the stock of SDI, and of all holding companies, intermediaries, subsidiaries and affiliates of SDI;</w:t>
      </w:r>
    </w:p>
    <w:p>
      <w:pPr>
        <w:spacing w:after="0" w:line="142" w:lineRule="exact"/>
        <w:rPr>
          <w:rFonts w:ascii="Arial" w:cs="Arial" w:eastAsia="Arial" w:hAnsi="Arial"/>
          <w:sz w:val="17"/>
          <w:szCs w:val="17"/>
          <w:color w:val="auto"/>
        </w:rPr>
      </w:pPr>
    </w:p>
    <w:p>
      <w:pPr>
        <w:ind w:left="500" w:hanging="173"/>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proof that SDI holds a Live Racing permit;</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description of all debt of SDI, and of all holding companies, intermediaries, subsidiaries and affiliates of SDI;</w:t>
      </w:r>
    </w:p>
    <w:p>
      <w:pPr>
        <w:spacing w:after="0" w:line="142" w:lineRule="exact"/>
        <w:rPr>
          <w:rFonts w:ascii="Arial" w:cs="Arial" w:eastAsia="Arial" w:hAnsi="Arial"/>
          <w:sz w:val="17"/>
          <w:szCs w:val="17"/>
          <w:color w:val="auto"/>
        </w:rPr>
      </w:pPr>
    </w:p>
    <w:p>
      <w:pPr>
        <w:ind w:left="400" w:hanging="73"/>
        <w:spacing w:after="0"/>
        <w:tabs>
          <w:tab w:leader="none" w:pos="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list of the holders of debt of SDI, and all holding companies, intermediaries, subsidiaries and affiliates of SDI;</w:t>
      </w:r>
    </w:p>
    <w:p>
      <w:pPr>
        <w:spacing w:after="0" w:line="142" w:lineRule="exact"/>
        <w:rPr>
          <w:rFonts w:ascii="Arial" w:cs="Arial" w:eastAsia="Arial" w:hAnsi="Arial"/>
          <w:sz w:val="17"/>
          <w:szCs w:val="17"/>
          <w:color w:val="auto"/>
        </w:rPr>
      </w:pPr>
    </w:p>
    <w:p>
      <w:pPr>
        <w:ind w:left="400" w:hanging="73"/>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any securities options of SDI and the identification of persons holding such options;</w:t>
      </w:r>
    </w:p>
    <w:p>
      <w:pPr>
        <w:spacing w:after="0" w:line="130" w:lineRule="exact"/>
        <w:rPr>
          <w:rFonts w:ascii="Arial" w:cs="Arial" w:eastAsia="Arial" w:hAnsi="Arial"/>
          <w:sz w:val="18"/>
          <w:szCs w:val="18"/>
          <w:color w:val="auto"/>
        </w:rPr>
      </w:pPr>
    </w:p>
    <w:p>
      <w:pPr>
        <w:ind w:left="400" w:hanging="73"/>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regarding the banks, savings and loan associations and other financial institutions of SDI;</w:t>
      </w:r>
    </w:p>
    <w:p>
      <w:pPr>
        <w:spacing w:after="0" w:line="130" w:lineRule="exact"/>
        <w:rPr>
          <w:rFonts w:ascii="Arial" w:cs="Arial" w:eastAsia="Arial" w:hAnsi="Arial"/>
          <w:sz w:val="18"/>
          <w:szCs w:val="18"/>
          <w:color w:val="auto"/>
        </w:rPr>
      </w:pPr>
    </w:p>
    <w:p>
      <w:pPr>
        <w:ind w:left="440" w:hanging="113"/>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about all the stock that SDI holds in other entities;</w:t>
      </w:r>
    </w:p>
    <w:p>
      <w:pPr>
        <w:spacing w:after="0" w:line="130"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any civil litigation to which SDI, or any holding company, subsidiary or affiliate of SDI, is or was a party;</w:t>
      </w:r>
    </w:p>
    <w:p>
      <w:pPr>
        <w:spacing w:after="0" w:line="75" w:lineRule="exact"/>
        <w:rPr>
          <w:rFonts w:ascii="Arial" w:cs="Arial" w:eastAsia="Arial" w:hAnsi="Arial"/>
          <w:sz w:val="18"/>
          <w:szCs w:val="18"/>
          <w:color w:val="auto"/>
        </w:rPr>
      </w:pPr>
    </w:p>
    <w:p>
      <w:pPr>
        <w:ind w:left="400" w:hanging="73"/>
        <w:spacing w:after="0" w:line="308" w:lineRule="auto"/>
        <w:tabs>
          <w:tab w:leader="none" w:pos="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information about any judgment, order, consent decree or consent order pertaining to a violation of federal antitrust, trade regulation or securities laws, or of similar laws of any state province or country, entered against SDI;</w:t>
      </w:r>
    </w:p>
    <w:p>
      <w:pPr>
        <w:spacing w:after="0" w:line="51" w:lineRule="exact"/>
        <w:rPr>
          <w:rFonts w:ascii="Arial" w:cs="Arial" w:eastAsia="Arial" w:hAnsi="Arial"/>
          <w:sz w:val="17"/>
          <w:szCs w:val="17"/>
          <w:color w:val="auto"/>
        </w:rPr>
      </w:pPr>
    </w:p>
    <w:p>
      <w:pPr>
        <w:ind w:left="400" w:hanging="73"/>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regarding any bankruptcy or insolvency proceedings of SDI or certain SDI Principals;</w:t>
      </w:r>
    </w:p>
    <w:p>
      <w:pPr>
        <w:spacing w:after="0" w:line="130" w:lineRule="exact"/>
        <w:rPr>
          <w:rFonts w:ascii="Arial" w:cs="Arial" w:eastAsia="Arial" w:hAnsi="Arial"/>
          <w:sz w:val="18"/>
          <w:szCs w:val="18"/>
          <w:color w:val="auto"/>
        </w:rPr>
      </w:pPr>
    </w:p>
    <w:p>
      <w:pPr>
        <w:ind w:left="440" w:hanging="113"/>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regarding the licensing history of SDI and SDI Principals;</w:t>
      </w:r>
    </w:p>
    <w:p>
      <w:pPr>
        <w:spacing w:after="0" w:line="130" w:lineRule="exact"/>
        <w:rPr>
          <w:rFonts w:ascii="Arial" w:cs="Arial" w:eastAsia="Arial" w:hAnsi="Arial"/>
          <w:sz w:val="18"/>
          <w:szCs w:val="18"/>
          <w:color w:val="auto"/>
        </w:rPr>
      </w:pPr>
    </w:p>
    <w:p>
      <w:pPr>
        <w:ind w:left="420" w:hanging="93"/>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information relating to contributions and disbursements of SDI and SDI Principals;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47" w:right="1419" w:bottom="1440" w:gutter="0" w:footer="0" w:header="0"/>
        </w:sectPr>
      </w:pPr>
    </w:p>
    <w:bookmarkStart w:id="131" w:name="page132"/>
    <w:bookmarkEnd w:id="131"/>
    <w:p>
      <w:pPr>
        <w:ind w:left="480" w:hanging="153"/>
        <w:spacing w:after="0"/>
        <w:tabs>
          <w:tab w:leader="none" w:pos="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business plan for the Scioto Downs Racino;</w:t>
      </w:r>
    </w:p>
    <w:p>
      <w:pPr>
        <w:spacing w:after="0" w:line="76" w:lineRule="exact"/>
        <w:rPr>
          <w:rFonts w:ascii="Arial" w:cs="Arial" w:eastAsia="Arial" w:hAnsi="Arial"/>
          <w:sz w:val="18"/>
          <w:szCs w:val="18"/>
          <w:color w:val="auto"/>
        </w:rPr>
      </w:pPr>
    </w:p>
    <w:p>
      <w:pPr>
        <w:ind w:left="520" w:hanging="193"/>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SDI’s security and surveillance plan;</w:t>
      </w:r>
    </w:p>
    <w:p>
      <w:pPr>
        <w:spacing w:after="0" w:line="76" w:lineRule="exact"/>
        <w:rPr>
          <w:rFonts w:ascii="Arial" w:cs="Arial" w:eastAsia="Arial" w:hAnsi="Arial"/>
          <w:sz w:val="18"/>
          <w:szCs w:val="18"/>
          <w:color w:val="auto"/>
        </w:rPr>
      </w:pPr>
    </w:p>
    <w:p>
      <w:pPr>
        <w:ind w:left="440" w:hanging="113"/>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consent to background checks for SDI and SDI’s Principals;</w:t>
      </w:r>
    </w:p>
    <w:p>
      <w:pPr>
        <w:spacing w:after="0" w:line="76"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commitment to deliver acceptable forms of credit (e.g., surety bond) and evidence of insurance, meeting the requirements of the Ohio Director;</w:t>
      </w:r>
    </w:p>
    <w:p>
      <w:pPr>
        <w:spacing w:after="0" w:line="21" w:lineRule="exact"/>
        <w:rPr>
          <w:rFonts w:ascii="Arial" w:cs="Arial" w:eastAsia="Arial" w:hAnsi="Arial"/>
          <w:sz w:val="18"/>
          <w:szCs w:val="18"/>
          <w:color w:val="auto"/>
        </w:rPr>
      </w:pPr>
    </w:p>
    <w:p>
      <w:pPr>
        <w:ind w:left="440" w:hanging="113"/>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schedule of all fixtures and equipment, upon request of the OLC;</w:t>
      </w:r>
    </w:p>
    <w:p>
      <w:pPr>
        <w:spacing w:after="0" w:line="76" w:lineRule="exact"/>
        <w:rPr>
          <w:rFonts w:ascii="Arial" w:cs="Arial" w:eastAsia="Arial" w:hAnsi="Arial"/>
          <w:sz w:val="18"/>
          <w:szCs w:val="18"/>
          <w:color w:val="auto"/>
        </w:rPr>
      </w:pPr>
    </w:p>
    <w:p>
      <w:pPr>
        <w:ind w:left="440" w:hanging="113"/>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commitment to maintain and timely repair video lottery terminals;</w:t>
      </w:r>
    </w:p>
    <w:p>
      <w:pPr>
        <w:spacing w:after="0" w:line="76"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commitment to purchase or lease video lottery terminals only from technology providers approved by the Ohio Director;</w:t>
      </w:r>
    </w:p>
    <w:p>
      <w:pPr>
        <w:spacing w:after="0" w:line="21" w:lineRule="exact"/>
        <w:rPr>
          <w:rFonts w:ascii="Arial" w:cs="Arial" w:eastAsia="Arial" w:hAnsi="Arial"/>
          <w:sz w:val="18"/>
          <w:szCs w:val="18"/>
          <w:color w:val="auto"/>
        </w:rPr>
      </w:pPr>
    </w:p>
    <w:p>
      <w:pPr>
        <w:ind w:left="400" w:hanging="73"/>
        <w:spacing w:after="0" w:line="277" w:lineRule="auto"/>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agreement to clearly separate between the Live Racing wagering and the VLT gaming areas at the Scioto Downs Racino;</w:t>
      </w:r>
    </w:p>
    <w:p>
      <w:pPr>
        <w:spacing w:after="0" w:line="21" w:lineRule="exact"/>
        <w:rPr>
          <w:rFonts w:ascii="Arial" w:cs="Arial" w:eastAsia="Arial" w:hAnsi="Arial"/>
          <w:sz w:val="18"/>
          <w:szCs w:val="18"/>
          <w:color w:val="auto"/>
        </w:rPr>
      </w:pPr>
    </w:p>
    <w:p>
      <w:pPr>
        <w:ind w:left="400" w:hanging="73"/>
        <w:spacing w:after="0"/>
        <w:tabs>
          <w:tab w:leader="none" w:pos="4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agreement to a capital improvement plan in accordance with the Ohio Director’s standards and timetable; and</w:t>
      </w:r>
    </w:p>
    <w:p>
      <w:pPr>
        <w:spacing w:after="0" w:line="88" w:lineRule="exact"/>
        <w:rPr>
          <w:rFonts w:ascii="Arial" w:cs="Arial" w:eastAsia="Arial" w:hAnsi="Arial"/>
          <w:sz w:val="17"/>
          <w:szCs w:val="17"/>
          <w:color w:val="auto"/>
        </w:rPr>
      </w:pPr>
    </w:p>
    <w:p>
      <w:pPr>
        <w:ind w:left="420" w:hanging="93"/>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disclosure of all employees of SDI who earn over $150,000 in annual compensation.</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time SDI submits additional information of OLC in connection with SDI’s VLT Gaming License, the Ohio Director maintains discretion to suspend, revoke or reconsider the application or otherwise modify the conditions of the issuance of SDI’s VLT Gaming License. If SDI’s VLT Gaming License is suspended, revoked or not renewed, SDI would have to cease its VLT Gaming business.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SDI’s VLT Gaming License is subject to suspension, modification, revocation or fines as authorized by statute, rule, regulation, policy order or directive of OLC or the Ohio Director.</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Ohio Director may suspend or revoke SDI’s VLT Gaming License in the event that SDI does any of the following:</w:t>
      </w:r>
    </w:p>
    <w:p>
      <w:pPr>
        <w:spacing w:after="0" w:line="113" w:lineRule="exact"/>
        <w:rPr>
          <w:sz w:val="20"/>
          <w:szCs w:val="20"/>
          <w:color w:val="auto"/>
        </w:rPr>
      </w:pPr>
    </w:p>
    <w:p>
      <w:pPr>
        <w:ind w:left="520" w:hanging="193"/>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comply with Ohio’s lottery law;</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fails to comply with the rules, terms and conditions, policies, orders and directives of OLC or the Ohio Director;</w:t>
      </w:r>
    </w:p>
    <w:p>
      <w:pPr>
        <w:spacing w:after="0" w:line="88" w:lineRule="exact"/>
        <w:rPr>
          <w:rFonts w:ascii="Arial" w:cs="Arial" w:eastAsia="Arial" w:hAnsi="Arial"/>
          <w:sz w:val="17"/>
          <w:szCs w:val="17"/>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maintain any insurance, coverage and bonds required by the Ohio Director;</w:t>
      </w:r>
    </w:p>
    <w:p>
      <w:pPr>
        <w:spacing w:after="0" w:line="76" w:lineRule="exact"/>
        <w:rPr>
          <w:rFonts w:ascii="Arial" w:cs="Arial" w:eastAsia="Arial" w:hAnsi="Arial"/>
          <w:sz w:val="18"/>
          <w:szCs w:val="18"/>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makes a fraudulent misrepresentation in connection with its VLT Gaming License application;</w:t>
      </w:r>
    </w:p>
    <w:p>
      <w:pPr>
        <w:spacing w:after="0" w:line="76" w:lineRule="exact"/>
        <w:rPr>
          <w:rFonts w:ascii="Arial" w:cs="Arial" w:eastAsia="Arial" w:hAnsi="Arial"/>
          <w:sz w:val="18"/>
          <w:szCs w:val="18"/>
          <w:color w:val="auto"/>
        </w:rPr>
      </w:pPr>
    </w:p>
    <w:p>
      <w:pPr>
        <w:ind w:left="400" w:right="420" w:hanging="73"/>
        <w:spacing w:after="0" w:line="277" w:lineRule="auto"/>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promptly and accurately settle the accounts of lottery transactions and pay OLC amounts due to OLC from video lottery sales;</w:t>
      </w:r>
    </w:p>
    <w:p>
      <w:pPr>
        <w:spacing w:after="0" w:line="21" w:lineRule="exact"/>
        <w:rPr>
          <w:rFonts w:ascii="Arial" w:cs="Arial" w:eastAsia="Arial" w:hAnsi="Arial"/>
          <w:sz w:val="18"/>
          <w:szCs w:val="18"/>
          <w:color w:val="auto"/>
        </w:rPr>
      </w:pPr>
    </w:p>
    <w:p>
      <w:pPr>
        <w:ind w:left="460" w:hanging="133"/>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credit or pay a winning video lottery participant;</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allows an underage person to play video lottery games, or pays an underage person a video lottery prize payment;</w:t>
      </w:r>
    </w:p>
    <w:p>
      <w:pPr>
        <w:spacing w:after="0" w:line="88" w:lineRule="exact"/>
        <w:rPr>
          <w:rFonts w:ascii="Arial" w:cs="Arial" w:eastAsia="Arial" w:hAnsi="Arial"/>
          <w:sz w:val="17"/>
          <w:szCs w:val="17"/>
          <w:color w:val="auto"/>
        </w:rPr>
      </w:pPr>
    </w:p>
    <w:p>
      <w:pPr>
        <w:ind w:left="480" w:hanging="153"/>
        <w:spacing w:after="0"/>
        <w:tabs>
          <w:tab w:leader="none" w:pos="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maintain adequate and sufficient security;</w:t>
      </w:r>
    </w:p>
    <w:p>
      <w:pPr>
        <w:spacing w:after="0" w:line="76" w:lineRule="exact"/>
        <w:rPr>
          <w:rFonts w:ascii="Arial" w:cs="Arial" w:eastAsia="Arial" w:hAnsi="Arial"/>
          <w:sz w:val="18"/>
          <w:szCs w:val="18"/>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offers a video lottery game that has not been approved by the Ohio Director or OLC;</w:t>
      </w:r>
    </w:p>
    <w:p>
      <w:pPr>
        <w:spacing w:after="0" w:line="76" w:lineRule="exact"/>
        <w:rPr>
          <w:rFonts w:ascii="Arial" w:cs="Arial" w:eastAsia="Arial" w:hAnsi="Arial"/>
          <w:sz w:val="18"/>
          <w:szCs w:val="18"/>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uses a video lottery terminal that has not been authorized and approved by the Ohio Director;</w:t>
      </w:r>
    </w:p>
    <w:p>
      <w:pPr>
        <w:spacing w:after="0" w:line="76" w:lineRule="exact"/>
        <w:rPr>
          <w:rFonts w:ascii="Arial" w:cs="Arial" w:eastAsia="Arial" w:hAnsi="Arial"/>
          <w:sz w:val="18"/>
          <w:szCs w:val="18"/>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maintain a number of VLT’s within the range rquired by the Ohio Director;</w:t>
      </w:r>
    </w:p>
    <w:p>
      <w:pPr>
        <w:spacing w:after="0" w:line="76" w:lineRule="exact"/>
        <w:rPr>
          <w:rFonts w:ascii="Arial" w:cs="Arial" w:eastAsia="Arial" w:hAnsi="Arial"/>
          <w:sz w:val="18"/>
          <w:szCs w:val="18"/>
          <w:color w:val="auto"/>
        </w:rPr>
      </w:pPr>
    </w:p>
    <w:p>
      <w:pPr>
        <w:ind w:left="440" w:hanging="113"/>
        <w:spacing w:after="0"/>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comply with the Americans with Disabilities Act of 1990;</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fails to provide required notice or to obtain required approval prior to relocating or transporting a video lottery terminal;</w:t>
      </w:r>
    </w:p>
    <w:p>
      <w:pPr>
        <w:spacing w:after="0" w:line="99" w:lineRule="exact"/>
        <w:rPr>
          <w:rFonts w:ascii="Arial" w:cs="Arial" w:eastAsia="Arial" w:hAnsi="Arial"/>
          <w:sz w:val="16"/>
          <w:szCs w:val="16"/>
          <w:color w:val="auto"/>
        </w:rPr>
      </w:pPr>
    </w:p>
    <w:p>
      <w:pPr>
        <w:ind w:left="400" w:hanging="73"/>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make capital improvements as required by OLC rule, regulation, policy, order or directive;</w:t>
      </w:r>
    </w:p>
    <w:p>
      <w:pPr>
        <w:spacing w:after="0" w:line="76" w:lineRule="exact"/>
        <w:rPr>
          <w:rFonts w:ascii="Arial" w:cs="Arial" w:eastAsia="Arial" w:hAnsi="Arial"/>
          <w:sz w:val="18"/>
          <w:szCs w:val="18"/>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meet financial obligations necessary for the continued operation of video lottery;</w:t>
      </w:r>
    </w:p>
    <w:p>
      <w:pPr>
        <w:spacing w:after="0" w:line="76" w:lineRule="exact"/>
        <w:rPr>
          <w:rFonts w:ascii="Arial" w:cs="Arial" w:eastAsia="Arial" w:hAnsi="Arial"/>
          <w:sz w:val="18"/>
          <w:szCs w:val="18"/>
          <w:color w:val="auto"/>
        </w:rPr>
      </w:pPr>
    </w:p>
    <w:p>
      <w:pPr>
        <w:ind w:left="400" w:hanging="73"/>
        <w:spacing w:after="0"/>
        <w:tabs>
          <w:tab w:leader="none" w:pos="4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acts in a manner that impacts or has the likelihood of impacting the efficient operation or integrity of video lottery; or</w:t>
      </w:r>
    </w:p>
    <w:p>
      <w:pPr>
        <w:spacing w:after="0" w:line="88" w:lineRule="exact"/>
        <w:rPr>
          <w:rFonts w:ascii="Arial" w:cs="Arial" w:eastAsia="Arial" w:hAnsi="Arial"/>
          <w:sz w:val="17"/>
          <w:szCs w:val="17"/>
          <w:color w:val="auto"/>
        </w:rPr>
      </w:pPr>
    </w:p>
    <w:p>
      <w:pPr>
        <w:ind w:left="420" w:hanging="93"/>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fails to adhere to all the terms and conditions set forth in SDI’s licensing agreement with OLC.</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Ohio Director may also suspend or revoke SDI’s VLT Gaming License if SDI or any SDI Principal is convicted of criminal violations that may negatively impact the integrity of the lottery, or if any of them have experience, character or general fitness that the Ohio Director believes would be inconsistent with the public interest, convenience or trust.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2" w:name="page133"/>
    <w:bookmarkEnd w:id="132"/>
    <w:p>
      <w:pPr>
        <w:jc w:val="both"/>
        <w:ind w:firstLine="324"/>
        <w:spacing w:after="0" w:line="259" w:lineRule="auto"/>
        <w:rPr>
          <w:sz w:val="20"/>
          <w:szCs w:val="20"/>
          <w:color w:val="auto"/>
        </w:rPr>
      </w:pPr>
      <w:r>
        <w:rPr>
          <w:rFonts w:ascii="Arial" w:cs="Arial" w:eastAsia="Arial" w:hAnsi="Arial"/>
          <w:sz w:val="18"/>
          <w:szCs w:val="18"/>
          <w:color w:val="auto"/>
        </w:rPr>
        <w:t>As necessary for reasons related to public safety, convenience or trust which require immediate action, the Ohio Director may order the immediate and indefinite disabling of all or a portion of SDI’s VLT Gaming operations and removal of video lottery equipment at SDI’s VLT Gaming facility. In the event of such action, the Ohio Director must give SDI a subsequent opportunity for an adjudication hearing.</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OLC and the Auditor of the State of Ohio have broad powers under Ohio law to investigate and monitor VLT Gaming operations. They may at any time examine, inspect, test or access for any purposes all records, files, equipment, other documents, video lottery terminals, and hardware and software used in connection with video lottery. SDI must allow inspections of its licensed premises at any time as authorized by the Ohio Director.</w:t>
      </w:r>
    </w:p>
    <w:p>
      <w:pPr>
        <w:spacing w:after="0" w:line="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the terms and conditions of SDI’s VLT Gaming License, SDI has also consented to OLC having the power and authority with good cause shown, without notice and without warrant at any time, to do any of the following:</w:t>
      </w:r>
    </w:p>
    <w:p>
      <w:pPr>
        <w:spacing w:after="0" w:line="52" w:lineRule="exact"/>
        <w:rPr>
          <w:sz w:val="20"/>
          <w:szCs w:val="20"/>
          <w:color w:val="auto"/>
        </w:rPr>
      </w:pPr>
    </w:p>
    <w:p>
      <w:pPr>
        <w:ind w:left="400" w:right="480" w:hanging="73"/>
        <w:spacing w:after="0" w:line="277"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inspect any video lottery terminals, central monitoring system, or associated equipment and software about, on or around SDI’s facilities;</w:t>
      </w:r>
    </w:p>
    <w:p>
      <w:pPr>
        <w:spacing w:after="0" w:line="75" w:lineRule="exact"/>
        <w:rPr>
          <w:rFonts w:ascii="Arial" w:cs="Arial" w:eastAsia="Arial" w:hAnsi="Arial"/>
          <w:sz w:val="18"/>
          <w:szCs w:val="18"/>
          <w:color w:val="auto"/>
        </w:rPr>
      </w:pPr>
    </w:p>
    <w:p>
      <w:pPr>
        <w:ind w:left="400" w:right="60" w:hanging="73"/>
        <w:spacing w:after="0" w:line="286" w:lineRule="auto"/>
        <w:tabs>
          <w:tab w:leader="none" w:pos="4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inspect and examine all premises in which SDI conducts VLT gaming or any authorized video lottery terminals, central monitoring system, or associated equipment and software designed, built, constructed, assembled, manufactured, sold, distributed, or serviced, or in which records of those activities are prepared or maintained;</w:t>
      </w:r>
    </w:p>
    <w:p>
      <w:pPr>
        <w:spacing w:after="0" w:line="70" w:lineRule="exact"/>
        <w:rPr>
          <w:rFonts w:ascii="Arial" w:cs="Arial" w:eastAsia="Arial" w:hAnsi="Arial"/>
          <w:sz w:val="17"/>
          <w:szCs w:val="17"/>
          <w:color w:val="auto"/>
        </w:rPr>
      </w:pPr>
    </w:p>
    <w:p>
      <w:pPr>
        <w:ind w:left="400" w:right="60" w:hanging="73"/>
        <w:spacing w:after="0" w:line="264"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seize summarily and remove from SDI’s premises and impound, assume physical control of, or disable any video lottery terminals, central monitoring system, or associated equipment and software for the purposes of examination and inspection;</w:t>
      </w:r>
    </w:p>
    <w:p>
      <w:pPr>
        <w:spacing w:after="0" w:line="86" w:lineRule="exact"/>
        <w:rPr>
          <w:rFonts w:ascii="Arial" w:cs="Arial" w:eastAsia="Arial" w:hAnsi="Arial"/>
          <w:sz w:val="18"/>
          <w:szCs w:val="18"/>
          <w:color w:val="auto"/>
        </w:rPr>
      </w:pPr>
    </w:p>
    <w:p>
      <w:pPr>
        <w:ind w:left="400" w:right="60" w:hanging="73"/>
        <w:spacing w:after="0" w:line="264"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inspect, examine and audit books, records, and documents concerning SDI’s VLT gaming activities, including financial records of parent corporations, subsidiary corporations, affiliate corporations or similar business entities related to SDI’s VLT gaming activities; and</w:t>
      </w:r>
    </w:p>
    <w:p>
      <w:pPr>
        <w:spacing w:after="0" w:line="86" w:lineRule="exact"/>
        <w:rPr>
          <w:rFonts w:ascii="Arial" w:cs="Arial" w:eastAsia="Arial" w:hAnsi="Arial"/>
          <w:sz w:val="18"/>
          <w:szCs w:val="18"/>
          <w:color w:val="auto"/>
        </w:rPr>
      </w:pPr>
    </w:p>
    <w:p>
      <w:pPr>
        <w:ind w:left="400" w:right="180" w:hanging="73"/>
        <w:spacing w:after="0" w:line="277" w:lineRule="auto"/>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seize, impound, or assume physical control of books, records, ledgers, cash boxes and their contents, a counting room or its equipment, or other physical objects relating to VLT Gaming.</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paragraph (A) of rule 3770:2-3-08 of the Ohio Administrative Code and the terms of SDI’s VLT Gaming License, OLC will pay SDI a commission in the amount of 66.5% of the video lottery terminal income generated by SDI. “Video lottery terminal income” is defined as credits played, minus approved video lotter terminal promotional gaming credits, minus video lottery prize awards.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change to these regulations could have a significant impact on the profitability of SDI’s VLT Gaming business.</w:t>
      </w:r>
    </w:p>
    <w:p>
      <w:pPr>
        <w:spacing w:after="0" w:line="1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SDI employees involved with VLT gaming are also required to obtain and maintain a license from OLC prior to being involved in video lottery licensed activities. An application for a VLT gaming employee license may be denied if the applicant has been convicted of certain offenses involving moral turpitude, illegal gambling, fraud or misrepresentation.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CIRCUS AND ELDORADO JOINT VENTURE, LLC</w:t>
      </w:r>
    </w:p>
    <w:p>
      <w:pPr>
        <w:jc w:val="center"/>
        <w:spacing w:after="0" w:line="203" w:lineRule="auto"/>
        <w:rPr>
          <w:sz w:val="20"/>
          <w:szCs w:val="20"/>
          <w:color w:val="auto"/>
        </w:rPr>
      </w:pPr>
      <w:r>
        <w:rPr>
          <w:rFonts w:ascii="Arial" w:cs="Arial" w:eastAsia="Arial" w:hAnsi="Arial"/>
          <w:sz w:val="18"/>
          <w:szCs w:val="18"/>
          <w:b w:val="1"/>
          <w:bCs w:val="1"/>
          <w:color w:val="auto"/>
        </w:rPr>
        <w:t>(the “Silver Legacy”)</w:t>
      </w: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gridSpan w:val="8"/>
          </w:tcPr>
          <w:p>
            <w:pPr>
              <w:spacing w:after="0"/>
              <w:rPr>
                <w:sz w:val="20"/>
                <w:szCs w:val="20"/>
                <w:color w:val="auto"/>
              </w:rPr>
            </w:pPr>
            <w:r>
              <w:rPr>
                <w:rFonts w:ascii="Arial" w:cs="Arial" w:eastAsia="Arial" w:hAnsi="Arial"/>
                <w:sz w:val="18"/>
                <w:szCs w:val="18"/>
                <w:b w:val="1"/>
                <w:bCs w:val="1"/>
                <w:color w:val="auto"/>
              </w:rPr>
              <w:t>Audited historical financial statements</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8560" w:type="dxa"/>
            <w:vAlign w:val="bottom"/>
            <w:gridSpan w:val="8"/>
          </w:tcPr>
          <w:p>
            <w:pPr>
              <w:spacing w:after="0" w:line="189" w:lineRule="exact"/>
              <w:rPr>
                <w:rFonts w:ascii="Arial" w:cs="Arial" w:eastAsia="Arial" w:hAnsi="Arial"/>
                <w:sz w:val="18"/>
                <w:szCs w:val="18"/>
                <w:color w:val="0000EE"/>
              </w:rPr>
            </w:pPr>
            <w:hyperlink w:anchor="page135">
              <w:r>
                <w:rPr>
                  <w:rFonts w:ascii="Arial" w:cs="Arial" w:eastAsia="Arial" w:hAnsi="Arial"/>
                  <w:sz w:val="18"/>
                  <w:szCs w:val="18"/>
                  <w:color w:val="0000EE"/>
                </w:rPr>
                <w:t>Report of independent auditors</w:t>
              </w:r>
            </w:hyperlink>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4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Consolidated balance sheets as</w:t>
              </w:r>
            </w:hyperlink>
          </w:p>
        </w:tc>
        <w:tc>
          <w:tcPr>
            <w:tcW w:w="2360" w:type="dxa"/>
            <w:vAlign w:val="bottom"/>
            <w:tcBorders>
              <w:bottom w:val="single" w:sz="8" w:color="0000EE"/>
            </w:tcBorders>
            <w:gridSpan w:val="2"/>
          </w:tcPr>
          <w:p>
            <w:pPr>
              <w:ind w:left="40"/>
              <w:spacing w:after="0" w:line="15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of December 31, 2014 and 2013</w:t>
              </w:r>
            </w:hyperlink>
          </w:p>
        </w:tc>
        <w:tc>
          <w:tcPr>
            <w:tcW w:w="3960" w:type="dxa"/>
            <w:vAlign w:val="bottom"/>
            <w:gridSpan w:val="5"/>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8560" w:type="dxa"/>
            <w:vAlign w:val="bottom"/>
            <w:gridSpan w:val="8"/>
          </w:tcPr>
          <w:p>
            <w:pPr>
              <w:spacing w:after="0" w:line="156" w:lineRule="exact"/>
              <w:rPr>
                <w:rFonts w:ascii="Arial" w:cs="Arial" w:eastAsia="Arial" w:hAnsi="Arial"/>
                <w:sz w:val="18"/>
                <w:szCs w:val="18"/>
                <w:color w:val="0000EE"/>
              </w:rPr>
            </w:pPr>
            <w:hyperlink w:anchor="page137">
              <w:r>
                <w:rPr>
                  <w:rFonts w:ascii="Arial" w:cs="Arial" w:eastAsia="Arial" w:hAnsi="Arial"/>
                  <w:sz w:val="18"/>
                  <w:szCs w:val="18"/>
                  <w:color w:val="0000EE"/>
                </w:rPr>
                <w:t>Consolidated statements of operations for the years ended December 31, 2014, 2013 and 2012</w:t>
              </w:r>
            </w:hyperlink>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56"/>
        </w:trPr>
        <w:tc>
          <w:tcPr>
            <w:tcW w:w="8560" w:type="dxa"/>
            <w:vAlign w:val="bottom"/>
            <w:gridSpan w:val="8"/>
          </w:tcPr>
          <w:p>
            <w:pPr>
              <w:spacing w:after="0" w:line="156"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Consolidated statements of comprehensive (loss) income for the years ended December 31, 2014, 2013 and 2012</w:t>
              </w:r>
            </w:hyperlink>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4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39">
              <w:r>
                <w:rPr>
                  <w:rFonts w:ascii="Arial" w:cs="Arial" w:eastAsia="Arial" w:hAnsi="Arial"/>
                  <w:sz w:val="18"/>
                  <w:szCs w:val="18"/>
                  <w:color w:val="0000EE"/>
                </w:rPr>
                <w:t>Consolidated statements of members’ equity as of December 31, 2014, 2013 and 2012</w:t>
              </w:r>
            </w:hyperlink>
          </w:p>
        </w:tc>
        <w:tc>
          <w:tcPr>
            <w:tcW w:w="42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040" w:type="dxa"/>
            <w:vAlign w:val="bottom"/>
            <w:gridSpan w:val="2"/>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56"/>
        </w:trPr>
        <w:tc>
          <w:tcPr>
            <w:tcW w:w="8560" w:type="dxa"/>
            <w:vAlign w:val="bottom"/>
            <w:gridSpan w:val="8"/>
          </w:tcPr>
          <w:p>
            <w:pPr>
              <w:spacing w:after="0" w:line="156" w:lineRule="exact"/>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cash flows for the years ended December 31, 2014, 2013 and 2012</w:t>
              </w:r>
            </w:hyperlink>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141">
              <w:r>
                <w:rPr>
                  <w:rFonts w:ascii="Arial" w:cs="Arial" w:eastAsia="Arial" w:hAnsi="Arial"/>
                  <w:sz w:val="18"/>
                  <w:szCs w:val="18"/>
                  <w:color w:val="0000EE"/>
                </w:rPr>
                <w:t>Notes to consolidated financial statements</w:t>
              </w:r>
            </w:hyperlink>
          </w:p>
        </w:tc>
        <w:tc>
          <w:tcPr>
            <w:tcW w:w="1760" w:type="dxa"/>
            <w:vAlign w:val="bottom"/>
            <w:gridSpan w:val="2"/>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03" w:lineRule="auto"/>
        <w:rPr>
          <w:sz w:val="20"/>
          <w:szCs w:val="20"/>
          <w:color w:val="auto"/>
        </w:rPr>
      </w:pPr>
      <w:r>
        <w:rPr>
          <w:rFonts w:ascii="Arial" w:cs="Arial" w:eastAsia="Arial" w:hAnsi="Arial"/>
          <w:sz w:val="18"/>
          <w:szCs w:val="18"/>
          <w:color w:val="auto"/>
        </w:rPr>
        <w:t>Circus and Eldorado Joint Venture, LLC</w:t>
      </w:r>
    </w:p>
    <w:p>
      <w:pPr>
        <w:spacing w:after="0"/>
        <w:rPr>
          <w:sz w:val="20"/>
          <w:szCs w:val="20"/>
          <w:color w:val="auto"/>
        </w:rPr>
      </w:pPr>
      <w:r>
        <w:rPr>
          <w:rFonts w:ascii="Arial" w:cs="Arial" w:eastAsia="Arial" w:hAnsi="Arial"/>
          <w:sz w:val="18"/>
          <w:szCs w:val="18"/>
          <w:color w:val="auto"/>
        </w:rPr>
        <w:t>(doing business as Silver Legacy Resort Casino)</w:t>
      </w:r>
    </w:p>
    <w:p>
      <w:pPr>
        <w:spacing w:after="0" w:line="12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have audited the accompanying consolidated financial statements of Circus and Eldorado Joint Venture, LLC (doing business as Silver Legacy Resort Casino) and subsidiary which comprise the consolidated balance sheets as of December 31, 2014 and 2013, and the related consolidated statements of operations, comprehensive income (loss), members’ equity and cash flows for the years then ended, and the related notes to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48"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07"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27" w:lineRule="exact"/>
        <w:rPr>
          <w:sz w:val="20"/>
          <w:szCs w:val="20"/>
          <w:color w:val="auto"/>
        </w:rPr>
      </w:pPr>
    </w:p>
    <w:p>
      <w:pPr>
        <w:ind w:right="340"/>
        <w:spacing w:after="0" w:line="407"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ind w:right="320"/>
        <w:spacing w:after="0" w:line="21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Circus and Eldorado Joint Venture, LLC and subsidiary at December 31, 2014 and 2013, and the consolidated results of their operations and their cash flows for the years then ended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1655445" cy="523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5544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24, 2015</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03" w:lineRule="auto"/>
        <w:rPr>
          <w:sz w:val="20"/>
          <w:szCs w:val="20"/>
          <w:color w:val="auto"/>
        </w:rPr>
      </w:pPr>
      <w:r>
        <w:rPr>
          <w:rFonts w:ascii="Arial" w:cs="Arial" w:eastAsia="Arial" w:hAnsi="Arial"/>
          <w:sz w:val="18"/>
          <w:szCs w:val="18"/>
          <w:b w:val="1"/>
          <w:bCs w:val="1"/>
          <w:color w:val="auto"/>
        </w:rPr>
        <w:t>(doing business as Silver Legacy Resort Casino)</w:t>
      </w:r>
    </w:p>
    <w:p>
      <w:pPr>
        <w:spacing w:after="0" w:line="204" w:lineRule="auto"/>
        <w:rPr>
          <w:sz w:val="20"/>
          <w:szCs w:val="20"/>
          <w:color w:val="auto"/>
        </w:rPr>
      </w:pPr>
      <w:r>
        <w:rPr>
          <w:rFonts w:ascii="Arial" w:cs="Arial" w:eastAsia="Arial" w:hAnsi="Arial"/>
          <w:sz w:val="18"/>
          <w:szCs w:val="18"/>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4"/>
                <w:szCs w:val="14"/>
                <w:color w:val="auto"/>
              </w:rPr>
            </w:pPr>
          </w:p>
        </w:tc>
      </w:tr>
      <w:tr>
        <w:trPr>
          <w:trHeight w:val="169"/>
        </w:trPr>
        <w:tc>
          <w:tcPr>
            <w:tcW w:w="53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Supplemental executive retirement plan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7,423</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2,120</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40" w:type="dxa"/>
            <w:vAlign w:val="bottom"/>
            <w:shd w:val="clear" w:color="auto" w:fill="CCEEFF"/>
          </w:tcPr>
          <w:p>
            <w:pPr>
              <w:spacing w:after="0"/>
              <w:rPr>
                <w:sz w:val="18"/>
                <w:szCs w:val="18"/>
                <w:color w:val="auto"/>
              </w:rPr>
            </w:pPr>
          </w:p>
        </w:tc>
      </w:tr>
      <w:tr>
        <w:trPr>
          <w:trHeight w:val="210"/>
        </w:trPr>
        <w:tc>
          <w:tcPr>
            <w:tcW w:w="53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29,565</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CASH—CREDIT SUPPORT DEPOSIT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198,150</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40" w:type="dxa"/>
            <w:vAlign w:val="bottom"/>
            <w:shd w:val="clear" w:color="auto" w:fill="CCEEFF"/>
          </w:tcPr>
          <w:p>
            <w:pPr>
              <w:spacing w:after="0"/>
              <w:rPr>
                <w:sz w:val="18"/>
                <w:szCs w:val="18"/>
                <w:color w:val="auto"/>
              </w:rPr>
            </w:pPr>
          </w:p>
        </w:tc>
      </w:tr>
      <w:tr>
        <w:trPr>
          <w:trHeight w:val="210"/>
        </w:trPr>
        <w:tc>
          <w:tcPr>
            <w:tcW w:w="53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227,567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235,916</w:t>
            </w:r>
          </w:p>
        </w:tc>
        <w:tc>
          <w:tcPr>
            <w:tcW w:w="40" w:type="dxa"/>
            <w:vAlign w:val="bottom"/>
          </w:tcPr>
          <w:p>
            <w:pPr>
              <w:spacing w:after="0"/>
              <w:rPr>
                <w:sz w:val="18"/>
                <w:szCs w:val="18"/>
                <w:color w:val="auto"/>
              </w:rPr>
            </w:pPr>
          </w:p>
        </w:tc>
      </w:tr>
      <w:tr>
        <w:trPr>
          <w:trHeight w:val="169"/>
        </w:trPr>
        <w:tc>
          <w:tcPr>
            <w:tcW w:w="53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MEMBERS’ EQUITY</w:t>
            </w:r>
          </w:p>
        </w:tc>
        <w:tc>
          <w:tcPr>
            <w:tcW w:w="1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Supplemental executive retirement plan liability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7,607</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0" w:type="dxa"/>
            <w:vAlign w:val="bottom"/>
            <w:shd w:val="clear" w:color="auto" w:fill="CCEEFF"/>
          </w:tcPr>
          <w:p>
            <w:pPr>
              <w:spacing w:after="0"/>
              <w:rPr>
                <w:sz w:val="18"/>
                <w:szCs w:val="18"/>
                <w:color w:val="auto"/>
              </w:rPr>
            </w:pPr>
          </w:p>
        </w:tc>
      </w:tr>
      <w:tr>
        <w:trPr>
          <w:trHeight w:val="210"/>
        </w:trPr>
        <w:tc>
          <w:tcPr>
            <w:tcW w:w="53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27,475</w:t>
            </w:r>
          </w:p>
        </w:tc>
        <w:tc>
          <w:tcPr>
            <w:tcW w:w="4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w:t>
            </w:r>
          </w:p>
        </w:tc>
        <w:tc>
          <w:tcPr>
            <w:tcW w:w="4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 NOTES, NET</w:t>
            </w: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4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120,016</w:t>
            </w:r>
          </w:p>
        </w:tc>
        <w:tc>
          <w:tcPr>
            <w:tcW w:w="40" w:type="dxa"/>
            <w:vAlign w:val="bottom"/>
            <w:shd w:val="clear" w:color="auto" w:fill="CCEEFF"/>
          </w:tcPr>
          <w:p>
            <w:pPr>
              <w:spacing w:after="0"/>
              <w:rPr>
                <w:sz w:val="18"/>
                <w:szCs w:val="18"/>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COMMITMENTS AND CONTINGENCIES (Note 11)</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115,900</w:t>
            </w:r>
          </w:p>
        </w:tc>
        <w:tc>
          <w:tcPr>
            <w:tcW w:w="40" w:type="dxa"/>
            <w:vAlign w:val="bottom"/>
            <w:shd w:val="clear" w:color="auto" w:fill="CCEEFF"/>
          </w:tcPr>
          <w:p>
            <w:pPr>
              <w:spacing w:after="0"/>
              <w:rPr>
                <w:sz w:val="18"/>
                <w:szCs w:val="18"/>
                <w:color w:val="auto"/>
              </w:rPr>
            </w:pPr>
          </w:p>
        </w:tc>
      </w:tr>
      <w:tr>
        <w:trPr>
          <w:trHeight w:val="210"/>
        </w:trPr>
        <w:tc>
          <w:tcPr>
            <w:tcW w:w="532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227,567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235,916</w:t>
            </w:r>
          </w:p>
        </w:tc>
        <w:tc>
          <w:tcPr>
            <w:tcW w:w="4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03" w:lineRule="auto"/>
        <w:rPr>
          <w:sz w:val="20"/>
          <w:szCs w:val="20"/>
          <w:color w:val="auto"/>
        </w:rPr>
      </w:pPr>
      <w:r>
        <w:rPr>
          <w:rFonts w:ascii="Arial" w:cs="Arial" w:eastAsia="Arial" w:hAnsi="Arial"/>
          <w:sz w:val="18"/>
          <w:szCs w:val="18"/>
          <w:b w:val="1"/>
          <w:bCs w:val="1"/>
          <w:color w:val="auto"/>
        </w:rPr>
        <w:t>(doing business as Silver Legacy Resort Casino)</w:t>
      </w:r>
    </w:p>
    <w:p>
      <w:pPr>
        <w:spacing w:after="0" w:line="204" w:lineRule="auto"/>
        <w:rPr>
          <w:sz w:val="20"/>
          <w:szCs w:val="20"/>
          <w:color w:val="auto"/>
        </w:rPr>
      </w:pPr>
      <w:r>
        <w:rPr>
          <w:rFonts w:ascii="Arial" w:cs="Arial" w:eastAsia="Arial" w:hAnsi="Arial"/>
          <w:sz w:val="18"/>
          <w:szCs w:val="18"/>
          <w:b w:val="1"/>
          <w:bCs w:val="1"/>
          <w:color w:val="auto"/>
        </w:rPr>
        <w:t>Consolidated statements of operations</w:t>
      </w:r>
    </w:p>
    <w:p>
      <w:pP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9"/>
          </w:tcPr>
          <w:p>
            <w:pPr>
              <w:ind w:left="30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56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4"/>
                <w:szCs w:val="14"/>
                <w:color w:val="auto"/>
              </w:rPr>
            </w:pPr>
          </w:p>
        </w:tc>
      </w:tr>
      <w:tr>
        <w:trPr>
          <w:trHeight w:val="169"/>
        </w:trPr>
        <w:tc>
          <w:tcPr>
            <w:tcW w:w="5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REVENUES:</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74,146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70,565</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63,031</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Rooms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29,910</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30,765</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4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147,704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145,436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131,627</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promotional allowances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(16,827)</w:t>
            </w:r>
          </w:p>
        </w:tc>
      </w:tr>
      <w:tr>
        <w:trPr>
          <w:trHeight w:val="21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operating revenues</w:t>
            </w:r>
          </w:p>
        </w:tc>
        <w:tc>
          <w:tcPr>
            <w:tcW w:w="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127,095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125,841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114,800</w:t>
            </w:r>
          </w:p>
        </w:tc>
        <w:tc>
          <w:tcPr>
            <w:tcW w:w="40" w:type="dxa"/>
            <w:vAlign w:val="bottom"/>
            <w:tcBorders>
              <w:bottom w:val="single" w:sz="8" w:color="CCEEFF"/>
            </w:tcBorders>
          </w:tcPr>
          <w:p>
            <w:pPr>
              <w:spacing w:after="0"/>
              <w:rPr>
                <w:sz w:val="18"/>
                <w:szCs w:val="18"/>
                <w:color w:val="auto"/>
              </w:rPr>
            </w:pPr>
          </w:p>
        </w:tc>
      </w:tr>
      <w:tr>
        <w:trPr>
          <w:trHeight w:val="169"/>
        </w:trPr>
        <w:tc>
          <w:tcPr>
            <w:tcW w:w="5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Casino</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34,959</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Rooms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20,427</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27,341</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Fees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12,578</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Change in fair value of supplemental executive retirement plan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r>
      <w:tr>
        <w:trPr>
          <w:trHeight w:val="216"/>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on disposition of assets</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112,086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113,387</w:t>
            </w:r>
          </w:p>
        </w:tc>
        <w:tc>
          <w:tcPr>
            <w:tcW w:w="40" w:type="dxa"/>
            <w:vAlign w:val="bottom"/>
            <w:shd w:val="clear" w:color="auto" w:fill="CCEEFF"/>
          </w:tcPr>
          <w:p>
            <w:pPr>
              <w:spacing w:after="0"/>
              <w:rPr>
                <w:sz w:val="18"/>
                <w:szCs w:val="18"/>
                <w:color w:val="auto"/>
              </w:rPr>
            </w:pPr>
          </w:p>
        </w:tc>
      </w:tr>
      <w:tr>
        <w:trPr>
          <w:trHeight w:val="210"/>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40" w:type="dxa"/>
            <w:vAlign w:val="bottom"/>
            <w:tcBorders>
              <w:bottom w:val="single" w:sz="8" w:color="CCEEFF"/>
            </w:tcBorders>
          </w:tcPr>
          <w:p>
            <w:pPr>
              <w:spacing w:after="0"/>
              <w:rPr>
                <w:sz w:val="18"/>
                <w:szCs w:val="18"/>
                <w:color w:val="auto"/>
              </w:rPr>
            </w:pPr>
          </w:p>
        </w:tc>
      </w:tr>
      <w:tr>
        <w:trPr>
          <w:trHeight w:val="169"/>
        </w:trPr>
        <w:tc>
          <w:tcPr>
            <w:tcW w:w="5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14,770</w:t>
            </w:r>
          </w:p>
        </w:tc>
        <w:tc>
          <w:tcPr>
            <w:tcW w:w="4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w w:val="98"/>
              </w:rPr>
              <w:t>Gain on termination of supplemental executive retirement plan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(23,960)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40" w:type="dxa"/>
            <w:vAlign w:val="bottom"/>
            <w:shd w:val="clear" w:color="auto" w:fill="CCEEFF"/>
          </w:tcPr>
          <w:p>
            <w:pPr>
              <w:spacing w:after="0"/>
              <w:rPr>
                <w:sz w:val="18"/>
                <w:szCs w:val="18"/>
                <w:color w:val="auto"/>
              </w:rPr>
            </w:pPr>
          </w:p>
        </w:tc>
      </w:tr>
      <w:tr>
        <w:trPr>
          <w:trHeight w:val="21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expense</w:t>
            </w:r>
          </w:p>
        </w:tc>
        <w:tc>
          <w:tcPr>
            <w:tcW w:w="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(15,606)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12,188</w:t>
            </w:r>
          </w:p>
        </w:tc>
        <w:tc>
          <w:tcPr>
            <w:tcW w:w="4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REORGANIZATION ITEMS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4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Reorganization items</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w:t>
            </w:r>
          </w:p>
        </w:tc>
        <w:tc>
          <w:tcPr>
            <w:tcW w:w="4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(19,396)</w:t>
            </w:r>
          </w:p>
        </w:tc>
        <w:tc>
          <w:tcPr>
            <w:tcW w:w="4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03" w:lineRule="auto"/>
        <w:rPr>
          <w:sz w:val="20"/>
          <w:szCs w:val="20"/>
          <w:color w:val="auto"/>
        </w:rPr>
      </w:pPr>
      <w:r>
        <w:rPr>
          <w:rFonts w:ascii="Arial" w:cs="Arial" w:eastAsia="Arial" w:hAnsi="Arial"/>
          <w:sz w:val="18"/>
          <w:szCs w:val="18"/>
          <w:b w:val="1"/>
          <w:bCs w:val="1"/>
          <w:color w:val="auto"/>
        </w:rPr>
        <w:t>(doing business as Silver Legacy Resort Casino)</w:t>
      </w:r>
    </w:p>
    <w:p>
      <w:pPr>
        <w:spacing w:after="0" w:line="204" w:lineRule="auto"/>
        <w:rPr>
          <w:sz w:val="20"/>
          <w:szCs w:val="20"/>
          <w:color w:val="auto"/>
        </w:rPr>
      </w:pPr>
      <w:r>
        <w:rPr>
          <w:rFonts w:ascii="Arial" w:cs="Arial" w:eastAsia="Arial" w:hAnsi="Arial"/>
          <w:sz w:val="18"/>
          <w:szCs w:val="18"/>
          <w:b w:val="1"/>
          <w:bCs w:val="1"/>
          <w:color w:val="auto"/>
        </w:rPr>
        <w:t>Consolidated statements of comprehensive income (loss)</w:t>
      </w:r>
    </w:p>
    <w:p>
      <w:pP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5,402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 (19,396)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spacing w:after="0" w:line="176" w:lineRule="exact"/>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minimum pension liability adjustment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(1,764)</w:t>
            </w: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3,638</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$32,026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(19,042)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03" w:lineRule="auto"/>
        <w:rPr>
          <w:sz w:val="20"/>
          <w:szCs w:val="20"/>
          <w:color w:val="auto"/>
        </w:rPr>
      </w:pPr>
      <w:r>
        <w:rPr>
          <w:rFonts w:ascii="Arial" w:cs="Arial" w:eastAsia="Arial" w:hAnsi="Arial"/>
          <w:sz w:val="18"/>
          <w:szCs w:val="18"/>
          <w:b w:val="1"/>
          <w:bCs w:val="1"/>
          <w:color w:val="auto"/>
        </w:rPr>
        <w:t>(doing business as Silver Legacy Resort Casino)</w:t>
      </w:r>
    </w:p>
    <w:p>
      <w:pPr>
        <w:spacing w:after="0" w:line="204" w:lineRule="auto"/>
        <w:rPr>
          <w:sz w:val="20"/>
          <w:szCs w:val="20"/>
          <w:color w:val="auto"/>
        </w:rPr>
      </w:pPr>
      <w:r>
        <w:rPr>
          <w:rFonts w:ascii="Arial" w:cs="Arial" w:eastAsia="Arial" w:hAnsi="Arial"/>
          <w:sz w:val="18"/>
          <w:szCs w:val="18"/>
          <w:b w:val="1"/>
          <w:bCs w:val="1"/>
          <w:color w:val="auto"/>
        </w:rPr>
        <w:t>Consolidated statements of members’ equity</w:t>
      </w:r>
    </w:p>
    <w:p>
      <w:pPr>
        <w:spacing w:after="0" w:line="203" w:lineRule="auto"/>
        <w:rPr>
          <w:sz w:val="20"/>
          <w:szCs w:val="20"/>
          <w:color w:val="auto"/>
        </w:rPr>
      </w:pPr>
      <w:r>
        <w:rPr>
          <w:rFonts w:ascii="Arial" w:cs="Arial" w:eastAsia="Arial" w:hAnsi="Arial"/>
          <w:sz w:val="18"/>
          <w:szCs w:val="18"/>
          <w:b w:val="1"/>
          <w:bCs w:val="1"/>
          <w:color w:val="auto"/>
        </w:rPr>
        <w:t>For the years ended December 31, 2014, 2013 and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Galleon, Inc.</w:t>
            </w:r>
          </w:p>
        </w:tc>
        <w:tc>
          <w:tcPr>
            <w:tcW w:w="20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Eldorado, LLC</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Eldorado</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Resorts, LLC</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5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42,921</w:t>
            </w:r>
          </w:p>
        </w:tc>
        <w:tc>
          <w:tcPr>
            <w:tcW w:w="4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95,842</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(19,396)</w:t>
            </w: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7"/>
                <w:szCs w:val="17"/>
                <w:color w:val="auto"/>
              </w:rPr>
              <w:t>Other comprehensive income minimum pension</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540"/>
              <w:spacing w:after="0" w:line="202" w:lineRule="exact"/>
              <w:rPr>
                <w:sz w:val="20"/>
                <w:szCs w:val="20"/>
                <w:color w:val="auto"/>
              </w:rPr>
            </w:pPr>
            <w:r>
              <w:rPr>
                <w:rFonts w:ascii="Arial" w:cs="Arial" w:eastAsia="Arial" w:hAnsi="Arial"/>
                <w:sz w:val="18"/>
                <w:szCs w:val="18"/>
                <w:color w:val="auto"/>
              </w:rPr>
              <w:t>liability adjustment</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loss</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(19,042)</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Discount on Member Notes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2012(1)</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47,700</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85,400</w:t>
            </w:r>
          </w:p>
        </w:tc>
        <w:tc>
          <w:tcPr>
            <w:tcW w:w="0" w:type="dxa"/>
            <w:vAlign w:val="bottom"/>
          </w:tcPr>
          <w:p>
            <w:pPr>
              <w:spacing w:after="0"/>
              <w:rPr>
                <w:sz w:val="1"/>
                <w:szCs w:val="1"/>
                <w:color w:val="auto"/>
              </w:rPr>
            </w:pPr>
          </w:p>
        </w:tc>
      </w:tr>
      <w:tr>
        <w:trPr>
          <w:trHeight w:val="169"/>
        </w:trPr>
        <w:tc>
          <w:tcPr>
            <w:tcW w:w="4520" w:type="dxa"/>
            <w:vAlign w:val="bottom"/>
          </w:tcPr>
          <w:p>
            <w:pPr>
              <w:ind w:left="180"/>
              <w:spacing w:after="0" w:line="170" w:lineRule="exact"/>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28,482</w:t>
            </w:r>
          </w:p>
        </w:tc>
        <w:tc>
          <w:tcPr>
            <w:tcW w:w="0" w:type="dxa"/>
            <w:vAlign w:val="bottom"/>
          </w:tcPr>
          <w:p>
            <w:pPr>
              <w:spacing w:after="0"/>
              <w:rPr>
                <w:sz w:val="1"/>
                <w:szCs w:val="1"/>
                <w:color w:val="auto"/>
              </w:rPr>
            </w:pPr>
          </w:p>
        </w:tc>
      </w:tr>
      <w:tr>
        <w:trPr>
          <w:trHeight w:val="149"/>
        </w:trPr>
        <w:tc>
          <w:tcPr>
            <w:tcW w:w="4520" w:type="dxa"/>
            <w:vAlign w:val="bottom"/>
          </w:tcPr>
          <w:p>
            <w:pPr>
              <w:ind w:left="360"/>
              <w:spacing w:after="0" w:line="149" w:lineRule="exact"/>
              <w:rPr>
                <w:sz w:val="20"/>
                <w:szCs w:val="20"/>
                <w:color w:val="auto"/>
              </w:rPr>
            </w:pPr>
            <w:r>
              <w:rPr>
                <w:rFonts w:ascii="Arial" w:cs="Arial" w:eastAsia="Arial" w:hAnsi="Arial"/>
                <w:sz w:val="17"/>
                <w:szCs w:val="17"/>
                <w:color w:val="auto"/>
              </w:rPr>
              <w:t>Other comprehensive income minimum pension</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1"/>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ind w:left="540"/>
              <w:spacing w:after="0" w:line="202" w:lineRule="exact"/>
              <w:rPr>
                <w:sz w:val="20"/>
                <w:szCs w:val="20"/>
                <w:color w:val="auto"/>
              </w:rPr>
            </w:pPr>
            <w:r>
              <w:rPr>
                <w:rFonts w:ascii="Arial" w:cs="Arial" w:eastAsia="Arial" w:hAnsi="Arial"/>
                <w:sz w:val="18"/>
                <w:szCs w:val="18"/>
                <w:color w:val="auto"/>
              </w:rPr>
              <w:t>liability adjustment</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32,026</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Members’ distributions</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2013(2)</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52,950</w:t>
            </w: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62,950</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115,900</w:t>
            </w:r>
          </w:p>
        </w:tc>
        <w:tc>
          <w:tcPr>
            <w:tcW w:w="0" w:type="dxa"/>
            <w:vAlign w:val="bottom"/>
          </w:tcPr>
          <w:p>
            <w:pPr>
              <w:spacing w:after="0"/>
              <w:rPr>
                <w:sz w:val="1"/>
                <w:szCs w:val="1"/>
                <w:color w:val="auto"/>
              </w:rPr>
            </w:pPr>
          </w:p>
        </w:tc>
      </w:tr>
      <w:tr>
        <w:trPr>
          <w:trHeight w:val="169"/>
        </w:trPr>
        <w:tc>
          <w:tcPr>
            <w:tcW w:w="4520" w:type="dxa"/>
            <w:vAlign w:val="bottom"/>
          </w:tcPr>
          <w:p>
            <w:pPr>
              <w:ind w:left="180"/>
              <w:spacing w:after="0" w:line="170" w:lineRule="exact"/>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Net income minimum pension liability adjustment(3)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360"/>
              <w:spacing w:after="0" w:line="149" w:lineRule="exact"/>
              <w:rPr>
                <w:sz w:val="20"/>
                <w:szCs w:val="20"/>
                <w:color w:val="auto"/>
              </w:rPr>
            </w:pPr>
            <w:r>
              <w:rPr>
                <w:rFonts w:ascii="Arial" w:cs="Arial" w:eastAsia="Arial" w:hAnsi="Arial"/>
                <w:sz w:val="17"/>
                <w:szCs w:val="17"/>
                <w:color w:val="auto"/>
              </w:rPr>
              <w:t>Other comprehensive income minimum pension</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adjustment</w:t>
            </w: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2014(4)</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54,769</w:t>
            </w:r>
          </w:p>
        </w:tc>
        <w:tc>
          <w:tcPr>
            <w:tcW w:w="48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64,902</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119,538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7" w:lineRule="exact"/>
        <w:rPr>
          <w:sz w:val="20"/>
          <w:szCs w:val="20"/>
          <w:color w:val="auto"/>
        </w:rPr>
      </w:pPr>
    </w:p>
    <w:p>
      <w:pPr>
        <w:ind w:left="220" w:right="560" w:hanging="215"/>
        <w:spacing w:after="0" w:line="235" w:lineRule="auto"/>
        <w:rPr>
          <w:sz w:val="20"/>
          <w:szCs w:val="20"/>
          <w:color w:val="auto"/>
        </w:rPr>
      </w:pPr>
      <w:r>
        <w:rPr>
          <w:rFonts w:ascii="Arial" w:cs="Arial" w:eastAsia="Arial" w:hAnsi="Arial"/>
          <w:sz w:val="18"/>
          <w:szCs w:val="18"/>
          <w:color w:val="auto"/>
        </w:rPr>
        <w:t>(1)Balances include Accumulated Other Comprehensive Loss totaling ($1,780,000) comprised of ($890,000) each for Galleon, Inc. and Eldorado, LLC.</w:t>
      </w:r>
    </w:p>
    <w:p>
      <w:pPr>
        <w:spacing w:after="0" w:line="121" w:lineRule="exact"/>
        <w:rPr>
          <w:sz w:val="20"/>
          <w:szCs w:val="20"/>
          <w:color w:val="auto"/>
        </w:rPr>
      </w:pPr>
    </w:p>
    <w:p>
      <w:pPr>
        <w:ind w:left="220" w:right="780" w:hanging="215"/>
        <w:spacing w:after="0" w:line="235" w:lineRule="auto"/>
        <w:rPr>
          <w:sz w:val="20"/>
          <w:szCs w:val="20"/>
          <w:color w:val="auto"/>
        </w:rPr>
      </w:pPr>
      <w:r>
        <w:rPr>
          <w:rFonts w:ascii="Arial" w:cs="Arial" w:eastAsia="Arial" w:hAnsi="Arial"/>
          <w:sz w:val="18"/>
          <w:szCs w:val="18"/>
          <w:color w:val="auto"/>
        </w:rPr>
        <w:t>(2)Balances include Accumulated Other Comprehensive Income totaling 1,764,000 comprised of 882,000 each for Galleon, Inc. and Eldorado, LLC.</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(3)Eldorado Resorts LLC did not participate in the supplemental executive retirement plan; and therefore Eldorado</w:t>
      </w:r>
    </w:p>
    <w:p>
      <w:pPr>
        <w:ind w:left="220"/>
        <w:spacing w:after="0" w:line="229" w:lineRule="auto"/>
        <w:rPr>
          <w:sz w:val="20"/>
          <w:szCs w:val="20"/>
          <w:color w:val="auto"/>
        </w:rPr>
      </w:pPr>
      <w:r>
        <w:rPr>
          <w:rFonts w:ascii="Arial" w:cs="Arial" w:eastAsia="Arial" w:hAnsi="Arial"/>
          <w:sz w:val="16"/>
          <w:szCs w:val="16"/>
          <w:color w:val="auto"/>
        </w:rPr>
        <w:t>Resorts LLC is not entitled to a portion of the gain on termination of the supplemental executive retirement plan assets or</w:t>
      </w:r>
    </w:p>
    <w:p>
      <w:pPr>
        <w:ind w:left="220"/>
        <w:spacing w:after="0"/>
        <w:rPr>
          <w:sz w:val="20"/>
          <w:szCs w:val="20"/>
          <w:color w:val="auto"/>
        </w:rPr>
      </w:pPr>
      <w:r>
        <w:rPr>
          <w:rFonts w:ascii="Arial" w:cs="Arial" w:eastAsia="Arial" w:hAnsi="Arial"/>
          <w:sz w:val="18"/>
          <w:szCs w:val="18"/>
          <w:color w:val="auto"/>
        </w:rPr>
        <w:t>the other comprehensive income minimum pension liability adjustment.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(4) As of December 31, 2014, Accumulated Other Comprehensive Income totaled zero.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03" w:lineRule="auto"/>
        <w:rPr>
          <w:sz w:val="20"/>
          <w:szCs w:val="20"/>
          <w:color w:val="auto"/>
        </w:rPr>
      </w:pPr>
      <w:r>
        <w:rPr>
          <w:rFonts w:ascii="Arial" w:cs="Arial" w:eastAsia="Arial" w:hAnsi="Arial"/>
          <w:sz w:val="18"/>
          <w:szCs w:val="18"/>
          <w:b w:val="1"/>
          <w:bCs w:val="1"/>
          <w:color w:val="auto"/>
        </w:rPr>
        <w:t>(doing business as Silver Legacy Resort Casino)</w:t>
      </w:r>
    </w:p>
    <w:p>
      <w:pPr>
        <w:spacing w:after="0" w:line="204" w:lineRule="auto"/>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For the year ended</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616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1"/>
                <w:szCs w:val="11"/>
                <w:color w:val="auto"/>
              </w:rPr>
            </w:pPr>
          </w:p>
        </w:tc>
      </w:tr>
      <w:tr>
        <w:trPr>
          <w:trHeight w:val="169"/>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5,402</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28,482</w:t>
            </w:r>
          </w:p>
        </w:tc>
        <w:tc>
          <w:tcPr>
            <w:tcW w:w="160" w:type="dxa"/>
            <w:vAlign w:val="bottom"/>
          </w:tcPr>
          <w:p>
            <w:pPr>
              <w:spacing w:after="0"/>
              <w:rPr>
                <w:sz w:val="15"/>
                <w:szCs w:val="15"/>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(19,396)</w:t>
            </w: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10,539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11,270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12,578</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discounts and issuance costs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Pay-in-kind interest on Member Notes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disposition of assets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Gain on extinguishment of debt, net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9"/>
              </w:rPr>
              <w:t>(23,960)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(2,568)</w:t>
            </w: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extinguishment of supplemental executive retirement plan assets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(Decrease) increase in accrued pension cost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753</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Provision for doubtful accounts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Increase in value of supplemental executive retirement plan assets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(558)</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Reorganization items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8,621</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Changes in current assets and current liabilities: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1,872</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interest</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(4,582)</w:t>
            </w:r>
          </w:p>
        </w:tc>
      </w:tr>
      <w:tr>
        <w:trPr>
          <w:trHeight w:val="176"/>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liabilities</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40" w:type="dxa"/>
            <w:vAlign w:val="bottom"/>
            <w:tcBorders>
              <w:bottom w:val="single" w:sz="8" w:color="CCEEFF"/>
            </w:tcBorders>
          </w:tcPr>
          <w:p>
            <w:pPr>
              <w:spacing w:after="0"/>
              <w:rPr>
                <w:sz w:val="15"/>
                <w:szCs w:val="15"/>
                <w:color w:val="auto"/>
              </w:rPr>
            </w:pPr>
          </w:p>
        </w:tc>
      </w:tr>
      <w:tr>
        <w:trPr>
          <w:trHeight w:val="149"/>
        </w:trPr>
        <w:tc>
          <w:tcPr>
            <w:tcW w:w="6160" w:type="dxa"/>
            <w:vAlign w:val="bottom"/>
            <w:tcBorders>
              <w:bottom w:val="single" w:sz="8" w:color="CCEEFF"/>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Net cash provided by (used in) operating activities before reorganization items</w:t>
            </w:r>
          </w:p>
        </w:tc>
        <w:tc>
          <w:tcPr>
            <w:tcW w:w="4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18,397</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17,717</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(1,904)</w:t>
            </w:r>
          </w:p>
        </w:tc>
      </w:tr>
      <w:tr>
        <w:trPr>
          <w:trHeight w:val="176"/>
        </w:trPr>
        <w:tc>
          <w:tcPr>
            <w:tcW w:w="6160" w:type="dxa"/>
            <w:vAlign w:val="bottom"/>
          </w:tcPr>
          <w:p>
            <w:pPr>
              <w:ind w:left="360"/>
              <w:spacing w:after="0"/>
              <w:rPr>
                <w:sz w:val="20"/>
                <w:szCs w:val="20"/>
                <w:color w:val="auto"/>
              </w:rPr>
            </w:pPr>
            <w:r>
              <w:rPr>
                <w:rFonts w:ascii="Arial" w:cs="Arial" w:eastAsia="Arial" w:hAnsi="Arial"/>
                <w:sz w:val="14"/>
                <w:szCs w:val="14"/>
                <w:color w:val="auto"/>
              </w:rPr>
              <w:t>Net cash used for reorganization activities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(9,418)</w:t>
            </w:r>
          </w:p>
        </w:tc>
      </w:tr>
      <w:tr>
        <w:trPr>
          <w:trHeight w:val="169"/>
        </w:trPr>
        <w:tc>
          <w:tcPr>
            <w:tcW w:w="6160" w:type="dxa"/>
            <w:vAlign w:val="bottom"/>
            <w:tcBorders>
              <w:top w:val="single" w:sz="8" w:color="CCEEFF"/>
              <w:bottom w:val="single" w:sz="8" w:color="CCEEFF"/>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17,272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(11,322)</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6"/>
        </w:trPr>
        <w:tc>
          <w:tcPr>
            <w:tcW w:w="61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assets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(Decrease) increase in other assets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(387)</w:t>
            </w: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restricted cash due to credit support deposit</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Purchase of property and equipment</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w:t>
            </w:r>
          </w:p>
        </w:tc>
        <w:tc>
          <w:tcPr>
            <w:tcW w:w="40" w:type="dxa"/>
            <w:vAlign w:val="bottom"/>
            <w:tcBorders>
              <w:bottom w:val="single" w:sz="8" w:color="CCEEFF"/>
            </w:tcBorders>
          </w:tcPr>
          <w:p>
            <w:pPr>
              <w:spacing w:after="0"/>
              <w:rPr>
                <w:sz w:val="15"/>
                <w:szCs w:val="15"/>
                <w:color w:val="auto"/>
              </w:rPr>
            </w:pPr>
          </w:p>
        </w:tc>
      </w:tr>
      <w:tr>
        <w:trPr>
          <w:trHeight w:val="169"/>
        </w:trPr>
        <w:tc>
          <w:tcPr>
            <w:tcW w:w="6160" w:type="dxa"/>
            <w:vAlign w:val="bottom"/>
            <w:tcBorders>
              <w:bottom w:val="single" w:sz="8" w:color="CCEEFF"/>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Net cash used in investing activities</w:t>
            </w:r>
          </w:p>
        </w:tc>
        <w:tc>
          <w:tcPr>
            <w:tcW w:w="4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(8,017)</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(2,681)</w:t>
            </w:r>
          </w:p>
        </w:tc>
      </w:tr>
      <w:tr>
        <w:trPr>
          <w:trHeight w:val="166"/>
        </w:trPr>
        <w:tc>
          <w:tcPr>
            <w:tcW w:w="61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New Credit Facility</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Proceeds from New Credit Facility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90,500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on Senior Credit Facility</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Repayment of Senior Credit Facility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9"/>
              </w:rPr>
              <w:t>(63,500)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Extinguishment of Second Lien Notes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(29,416)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Fees and interest paid on extinguishment of Second Lien Notes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(2,481)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to Members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Debt issuance costs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(7,624)</w:t>
            </w: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Senior Credit Facility</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Extinguishment of mortgage notes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(140,232)</w:t>
            </w:r>
          </w:p>
        </w:tc>
      </w:tr>
      <w:tr>
        <w:trPr>
          <w:trHeight w:val="176"/>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Second Lien Notes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55,871</w:t>
            </w:r>
          </w:p>
        </w:tc>
        <w:tc>
          <w:tcPr>
            <w:tcW w:w="40" w:type="dxa"/>
            <w:vAlign w:val="bottom"/>
            <w:shd w:val="clear" w:color="auto" w:fill="CCEEFF"/>
          </w:tcPr>
          <w:p>
            <w:pPr>
              <w:spacing w:after="0"/>
              <w:rPr>
                <w:sz w:val="15"/>
                <w:szCs w:val="15"/>
                <w:color w:val="auto"/>
              </w:rPr>
            </w:pPr>
          </w:p>
        </w:tc>
      </w:tr>
      <w:tr>
        <w:trPr>
          <w:trHeight w:val="176"/>
        </w:trPr>
        <w:tc>
          <w:tcPr>
            <w:tcW w:w="6160" w:type="dxa"/>
            <w:vAlign w:val="bottom"/>
          </w:tcPr>
          <w:p>
            <w:pPr>
              <w:ind w:left="180"/>
              <w:spacing w:after="0"/>
              <w:rPr>
                <w:sz w:val="20"/>
                <w:szCs w:val="20"/>
                <w:color w:val="auto"/>
              </w:rPr>
            </w:pPr>
            <w:r>
              <w:rPr>
                <w:rFonts w:ascii="Arial" w:cs="Arial" w:eastAsia="Arial" w:hAnsi="Arial"/>
                <w:sz w:val="14"/>
                <w:szCs w:val="14"/>
                <w:color w:val="auto"/>
              </w:rPr>
              <w:t>Proceeds from Member Notes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5"/>
                <w:szCs w:val="15"/>
                <w:color w:val="auto"/>
              </w:rPr>
            </w:pPr>
          </w:p>
        </w:tc>
      </w:tr>
      <w:tr>
        <w:trPr>
          <w:trHeight w:val="169"/>
        </w:trPr>
        <w:tc>
          <w:tcPr>
            <w:tcW w:w="6160" w:type="dxa"/>
            <w:vAlign w:val="bottom"/>
            <w:tcBorders>
              <w:top w:val="single" w:sz="8" w:color="CCEEFF"/>
              <w:bottom w:val="single" w:sz="8" w:color="CCEEFF"/>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Net cash used in financing activities</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(14,548)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6"/>
        </w:trPr>
        <w:tc>
          <w:tcPr>
            <w:tcW w:w="61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for the year</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(20,988)</w:t>
            </w:r>
          </w:p>
        </w:tc>
      </w:tr>
      <w:tr>
        <w:trPr>
          <w:trHeight w:val="176"/>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Balance, beginning of year</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12,756</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33,744</w:t>
            </w:r>
          </w:p>
        </w:tc>
        <w:tc>
          <w:tcPr>
            <w:tcW w:w="40" w:type="dxa"/>
            <w:vAlign w:val="bottom"/>
            <w:tcBorders>
              <w:bottom w:val="single" w:sz="8" w:color="CCEEFF"/>
            </w:tcBorders>
          </w:tcPr>
          <w:p>
            <w:pPr>
              <w:spacing w:after="0"/>
              <w:rPr>
                <w:sz w:val="15"/>
                <w:szCs w:val="15"/>
                <w:color w:val="auto"/>
              </w:rPr>
            </w:pPr>
          </w:p>
        </w:tc>
      </w:tr>
      <w:tr>
        <w:trPr>
          <w:trHeight w:val="156"/>
        </w:trPr>
        <w:tc>
          <w:tcPr>
            <w:tcW w:w="6160" w:type="dxa"/>
            <w:vAlign w:val="bottom"/>
            <w:shd w:val="clear" w:color="auto" w:fill="CCEEFF"/>
          </w:tcPr>
          <w:p>
            <w:pPr>
              <w:ind w:left="180"/>
              <w:spacing w:after="0" w:line="155" w:lineRule="exact"/>
              <w:rPr>
                <w:sz w:val="20"/>
                <w:szCs w:val="20"/>
                <w:color w:val="auto"/>
              </w:rPr>
            </w:pPr>
            <w:r>
              <w:rPr>
                <w:rFonts w:ascii="Arial" w:cs="Arial" w:eastAsia="Arial" w:hAnsi="Arial"/>
                <w:sz w:val="14"/>
                <w:szCs w:val="14"/>
                <w:color w:val="auto"/>
              </w:rPr>
              <w:t>Balance, end of year</w:t>
            </w:r>
          </w:p>
        </w:tc>
        <w:tc>
          <w:tcPr>
            <w:tcW w:w="4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17,454</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13,118</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12,756</w:t>
            </w:r>
          </w:p>
        </w:tc>
        <w:tc>
          <w:tcPr>
            <w:tcW w:w="40" w:type="dxa"/>
            <w:vAlign w:val="bottom"/>
            <w:shd w:val="clear" w:color="auto" w:fill="CCEEFF"/>
          </w:tcPr>
          <w:p>
            <w:pPr>
              <w:spacing w:after="0"/>
              <w:rPr>
                <w:sz w:val="13"/>
                <w:szCs w:val="13"/>
                <w:color w:val="auto"/>
              </w:rPr>
            </w:pPr>
          </w:p>
        </w:tc>
      </w:tr>
      <w:tr>
        <w:trPr>
          <w:trHeight w:val="166"/>
        </w:trPr>
        <w:tc>
          <w:tcPr>
            <w:tcW w:w="6160" w:type="dxa"/>
            <w:vAlign w:val="bottom"/>
          </w:tcPr>
          <w:p>
            <w:pPr>
              <w:spacing w:after="0"/>
              <w:rPr>
                <w:sz w:val="20"/>
                <w:szCs w:val="20"/>
                <w:color w:val="auto"/>
              </w:rPr>
            </w:pPr>
            <w:r>
              <w:rPr>
                <w:rFonts w:ascii="Arial" w:cs="Arial" w:eastAsia="Arial" w:hAnsi="Arial"/>
                <w:sz w:val="14"/>
                <w:szCs w:val="14"/>
                <w:color w:val="auto"/>
              </w:rPr>
              <w:t>SUPPLEMENTAL CASH FLOW INFORMATION: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during period for 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18,021</w:t>
            </w:r>
          </w:p>
        </w:tc>
        <w:tc>
          <w:tcPr>
            <w:tcW w:w="40" w:type="dxa"/>
            <w:vAlign w:val="bottom"/>
            <w:shd w:val="clear" w:color="auto" w:fill="CCEEFF"/>
          </w:tcPr>
          <w:p>
            <w:pPr>
              <w:spacing w:after="0"/>
              <w:rPr>
                <w:sz w:val="15"/>
                <w:szCs w:val="15"/>
                <w:color w:val="auto"/>
              </w:rPr>
            </w:pPr>
          </w:p>
        </w:tc>
      </w:tr>
      <w:tr>
        <w:trPr>
          <w:trHeight w:val="166"/>
        </w:trPr>
        <w:tc>
          <w:tcPr>
            <w:tcW w:w="6160" w:type="dxa"/>
            <w:vAlign w:val="bottom"/>
          </w:tcPr>
          <w:p>
            <w:pPr>
              <w:spacing w:after="0"/>
              <w:rPr>
                <w:sz w:val="20"/>
                <w:szCs w:val="20"/>
                <w:color w:val="auto"/>
              </w:rPr>
            </w:pPr>
            <w:r>
              <w:rPr>
                <w:rFonts w:ascii="Arial" w:cs="Arial" w:eastAsia="Arial" w:hAnsi="Arial"/>
                <w:sz w:val="14"/>
                <w:szCs w:val="14"/>
                <w:color w:val="auto"/>
              </w:rPr>
              <w:t>SUPPLEMENTAL SCHEDULE OF NON-CASH INVESTING ACTIVITIES:</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Payables for purchase of property and equipment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5"/>
                <w:szCs w:val="15"/>
                <w:color w:val="auto"/>
              </w:rPr>
            </w:pPr>
          </w:p>
        </w:tc>
      </w:tr>
      <w:tr>
        <w:trPr>
          <w:trHeight w:val="166"/>
        </w:trPr>
        <w:tc>
          <w:tcPr>
            <w:tcW w:w="6160" w:type="dxa"/>
            <w:vAlign w:val="bottom"/>
          </w:tcPr>
          <w:p>
            <w:pPr>
              <w:spacing w:after="0"/>
              <w:rPr>
                <w:sz w:val="20"/>
                <w:szCs w:val="20"/>
                <w:color w:val="auto"/>
              </w:rPr>
            </w:pPr>
            <w:r>
              <w:rPr>
                <w:rFonts w:ascii="Arial" w:cs="Arial" w:eastAsia="Arial" w:hAnsi="Arial"/>
                <w:sz w:val="14"/>
                <w:szCs w:val="14"/>
                <w:color w:val="auto"/>
              </w:rPr>
              <w:t>SUPPLEMENTAL SCHEDULE OF NON-CASH FINANCING ACTIVITIES:</w:t>
            </w:r>
          </w:p>
        </w:tc>
        <w:tc>
          <w:tcPr>
            <w:tcW w:w="4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6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Discount on Member Notes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w:t>
            </w:r>
          </w:p>
        </w:tc>
        <w:tc>
          <w:tcPr>
            <w:tcW w:w="40" w:type="dxa"/>
            <w:vAlign w:val="bottom"/>
            <w:shd w:val="clear" w:color="auto" w:fill="CCEEFF"/>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03" w:lineRule="auto"/>
        <w:rPr>
          <w:sz w:val="20"/>
          <w:szCs w:val="20"/>
          <w:color w:val="auto"/>
        </w:rPr>
      </w:pPr>
      <w:r>
        <w:rPr>
          <w:rFonts w:ascii="Arial" w:cs="Arial" w:eastAsia="Arial" w:hAnsi="Arial"/>
          <w:sz w:val="18"/>
          <w:szCs w:val="18"/>
          <w:b w:val="1"/>
          <w:bCs w:val="1"/>
          <w:color w:val="auto"/>
        </w:rPr>
        <w:t>(doing business as Silver Legacy Resort Casino)</w:t>
      </w:r>
    </w:p>
    <w:p>
      <w:pPr>
        <w:spacing w:after="0" w:line="204" w:lineRule="auto"/>
        <w:rPr>
          <w:sz w:val="20"/>
          <w:szCs w:val="20"/>
          <w:color w:val="auto"/>
        </w:rPr>
      </w:pPr>
      <w:r>
        <w:rPr>
          <w:rFonts w:ascii="Arial" w:cs="Arial" w:eastAsia="Arial" w:hAnsi="Arial"/>
          <w:sz w:val="18"/>
          <w:szCs w:val="18"/>
          <w:b w:val="1"/>
          <w:bCs w:val="1"/>
          <w:color w:val="auto"/>
        </w:rPr>
        <w:t>Notes to consolidated financial statements</w:t>
      </w:r>
    </w:p>
    <w:p>
      <w:pPr>
        <w:spacing w:after="0"/>
        <w:rPr>
          <w:sz w:val="20"/>
          <w:szCs w:val="20"/>
          <w:color w:val="auto"/>
        </w:rPr>
      </w:pPr>
      <w:r>
        <w:rPr>
          <w:rFonts w:ascii="Arial" w:cs="Arial" w:eastAsia="Arial" w:hAnsi="Arial"/>
          <w:sz w:val="18"/>
          <w:szCs w:val="18"/>
          <w:b w:val="1"/>
          <w:bCs w:val="1"/>
          <w:color w:val="auto"/>
        </w:rPr>
        <w:t>December 31, 2014 and 2013</w:t>
      </w:r>
    </w:p>
    <w:p>
      <w:pPr>
        <w:spacing w:after="0" w:line="124" w:lineRule="exact"/>
        <w:rPr>
          <w:sz w:val="20"/>
          <w:szCs w:val="20"/>
          <w:color w:val="auto"/>
        </w:rPr>
      </w:pPr>
    </w:p>
    <w:p>
      <w:pPr>
        <w:ind w:right="1920"/>
        <w:spacing w:after="0" w:line="409" w:lineRule="auto"/>
        <w:rPr>
          <w:sz w:val="20"/>
          <w:szCs w:val="20"/>
          <w:color w:val="auto"/>
        </w:rPr>
      </w:pPr>
      <w:r>
        <w:rPr>
          <w:rFonts w:ascii="Arial" w:cs="Arial" w:eastAsia="Arial" w:hAnsi="Arial"/>
          <w:sz w:val="18"/>
          <w:szCs w:val="18"/>
          <w:b w:val="1"/>
          <w:bCs w:val="1"/>
          <w:color w:val="auto"/>
        </w:rPr>
        <w:t xml:space="preserve">Note 1. Organization, basis of presentation and summary of significant accounting policies </w:t>
      </w:r>
      <w:r>
        <w:rPr>
          <w:rFonts w:ascii="Arial" w:cs="Arial" w:eastAsia="Arial" w:hAnsi="Arial"/>
          <w:sz w:val="18"/>
          <w:szCs w:val="18"/>
          <w:i w:val="1"/>
          <w:iCs w:val="1"/>
          <w:color w:val="auto"/>
        </w:rPr>
        <w:t>Principles of consolidation and operations</w:t>
      </w:r>
    </w:p>
    <w:p>
      <w:pPr>
        <w:spacing w:after="0" w:line="1"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Effective March 1, 1994, Eldorado Limited Liability Company (a Nevada limited liability company owned and controlled by Eldorado Resorts LLC (“Resorts”)) (“ELLC”) and Galleon, Inc. (a Nevada corporation owned and controlled by MGM Resorts International and previously owned and controlled by Mandalay Resort Group) (“Galleon” and, collectively with ELLC, the “Partners” and subsequent to the LLC conversion, “Members”), entered into a joint venture agreement to establish Circus and Eldorado Joint Venture, a Nevada general partnership. In connection with the reorganization of the Partnership in bankruptcy, on July 1, 2013, the Partnership was converted into a Nevada limited liability company known as Circus and Eldorado Joint Venture, LLC (see Note 2). As used herein, the “Partnership” refers to Circus and Eldorado Joint Venture prior to the conversion date and Circus and Eldorado Joint Venture, LLC after the date of the conversion. The Partnership owns and operates a casino and hotel located in Reno, Nevada (“Silver Legacy”), which began operations on July 28, 1995. ELLC contributed land to the Partnership with a fair value of $25.0 million and cash of $26.9 million for a total equity investment of $51.9 million. Galleon contributed cash to the Partnership of $51.9 million to comprise their total equity investment. At that time, each Member had a 50% interest in the Partnership.</w:t>
      </w:r>
    </w:p>
    <w:p>
      <w:pPr>
        <w:spacing w:after="0" w:line="12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 September 19, 2014, Resorts entered into a merger agreement with MTR Gaming Group, Inc., a Delaware corporation incorporated in March 1988 (“MTR Gaming”). Prior to the merger with MTR Gaming, Resorts owned a 48.1% interest in the Partnership via its 96.2% interest in ELLC, which owned a 50% interest in the Partnership. Subsequent to the merger, Resorts owns a direct 48.1% interest in Silver Legacy. The remaining 1.9% non-controlling interest is owned by ELLC which is now wholly-owned by entities controlled solely by Recreational Enterprises, Inc. (“REI”) and Hotel Casino Management, Inc.</w:t>
      </w:r>
    </w:p>
    <w:p>
      <w:pPr>
        <w:spacing w:after="0" w:line="118"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The consolidated financial statements include the accounts of the Partnership and its wholly owned subsidiary, Silver Legacy Capital Corp. (“Capital”). Capital was established solely for the purpose of serving as co-issuer along with the Partnership of $160 million in aggregate principal amount of 10</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mortgage notes due March 1, 2012 (the “2012 Notes”) which,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discussed below, are no longer outstanding. As such, Capital has no operations, assets or revenues.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Concurrent with the extinguishment of the 2012 Notes, the Partnership and Capital (collectively, the “Issuers”) co-issued</w:t>
      </w:r>
    </w:p>
    <w:p>
      <w:pPr>
        <w:ind w:right="80"/>
        <w:spacing w:after="0" w:line="221" w:lineRule="auto"/>
        <w:rPr>
          <w:sz w:val="20"/>
          <w:szCs w:val="20"/>
          <w:color w:val="auto"/>
        </w:rPr>
      </w:pPr>
      <w:r>
        <w:rPr>
          <w:rFonts w:ascii="Arial" w:cs="Arial" w:eastAsia="Arial" w:hAnsi="Arial"/>
          <w:sz w:val="17"/>
          <w:szCs w:val="17"/>
          <w:color w:val="auto"/>
        </w:rPr>
        <w:t>$27.5 million in aggregate principal amount of new second lien notes (the “Second Lien Notes”) on November 16, 2012. On November 8, 2013, a notice of optional redemption was provided to the holders of the Second Lien Notes stating that the Partnership and Capital elected to redeem and pay all of the outstanding Second Lien Notes at a redemption price equal to 103.0% of the principal amount of the Second Lien Notes on December 17, 2013. The redemption was conditioned upon the receipt of financing by the Issuers in an amount not less than $89.5 million pursuant to an amended and restated credit facility that was on terms and conditions satisfactory to the Issuers. On December 16, 2013, the Partnership entered into a new $90.5 million senior secured credit facility (the “New Credit Facility”) and subsequently redeemed the Second Lien Notes on December 17, 2013 (see Note 8).</w:t>
      </w:r>
    </w:p>
    <w:p>
      <w:pPr>
        <w:spacing w:after="0" w:line="124" w:lineRule="exact"/>
        <w:rPr>
          <w:sz w:val="20"/>
          <w:szCs w:val="20"/>
          <w:color w:val="auto"/>
        </w:rPr>
      </w:pPr>
    </w:p>
    <w:p>
      <w:pPr>
        <w:ind w:right="60"/>
        <w:spacing w:after="0" w:line="407" w:lineRule="auto"/>
        <w:rPr>
          <w:sz w:val="20"/>
          <w:szCs w:val="20"/>
          <w:color w:val="auto"/>
        </w:rPr>
      </w:pPr>
      <w:r>
        <w:rPr>
          <w:rFonts w:ascii="Arial" w:cs="Arial" w:eastAsia="Arial" w:hAnsi="Arial"/>
          <w:sz w:val="18"/>
          <w:szCs w:val="18"/>
          <w:color w:val="auto"/>
        </w:rPr>
        <w:t xml:space="preserve">All intercompany accounts and transactions have been eliminated in consolidation. The Partnership operates as one segment. </w:t>
      </w:r>
      <w:r>
        <w:rPr>
          <w:rFonts w:ascii="Arial" w:cs="Arial" w:eastAsia="Arial" w:hAnsi="Arial"/>
          <w:sz w:val="18"/>
          <w:szCs w:val="18"/>
          <w:i w:val="1"/>
          <w:iCs w:val="1"/>
          <w:color w:val="auto"/>
        </w:rPr>
        <w:t>Use of estimates</w:t>
      </w:r>
    </w:p>
    <w:p>
      <w:pPr>
        <w:ind w:right="80"/>
        <w:spacing w:after="0" w:line="259" w:lineRule="auto"/>
        <w:rPr>
          <w:sz w:val="20"/>
          <w:szCs w:val="20"/>
          <w:color w:val="auto"/>
        </w:rPr>
      </w:pPr>
      <w:r>
        <w:rPr>
          <w:rFonts w:ascii="Arial" w:cs="Arial" w:eastAsia="Arial" w:hAnsi="Arial"/>
          <w:sz w:val="16"/>
          <w:szCs w:val="16"/>
          <w:color w:val="auto"/>
        </w:rPr>
        <w:t>The consolidated financial statements have been prepared in conformity with accounting principles generally accepted in the United States of America. Those principles require the Partnership’s management to make estimates and assumptions that affect the reported amounts of assets and liabilities and disclosure of contingent assets and liabilities at the date 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consolidated financial statements and the reported amounts of revenues and expenses during the reporting period. Actual results could differ from these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concentrations of risk</w:t>
      </w:r>
    </w:p>
    <w:p>
      <w:pPr>
        <w:spacing w:after="0" w:line="144"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Partnership’s sole operations are in Reno, Nevada. Therefore, the Partnership is subject to risks inherent within the Reno market. To the extent that new casinos enter into the market or hotel room capacity is expanded, competition will increase. The Partnership may also be affected by economic conditions in the United States and globally affecting the Reno market or trends in visitation or spending in the Reno market.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chips and tokens</w:t>
      </w:r>
    </w:p>
    <w:p>
      <w:pPr>
        <w:spacing w:after="0" w:line="144"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The Partnership recognizes the impact on gaming revenues on an annual basis to reflect an estimate of the change in the value of outstanding chips and tokens that are not expected to be redeemed. This estimate is determined by measuring the difference between the total value of chips and tokens placed in service less the value of chips and tokens in the inventory of chips and tokens under our control. This measurement is performed on an annual basis utilizing methodology in which a consistent formula is applied to estimate the percentage value of chips and tokens not in custody that are not expected to be redeemed. In addition to the formula, certain judgments are made with regard to various denominations and souvenir chips and tokens.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4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Cash and cash equivalents include cash on hand, as well as investments purchased with maturities of three months or less at the date of acquisition. The carrying values of these investments approximate their fair values due to their short-term maturities.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Under the Circus and Eldorado Joint Venture credit agreement, the members were required to deposit $10.0 million of cash into a bank account as collateral in favor of the lender. In 2014, the Partnership deposited $5.0 million of cash into a sponsor support replacement account which relieved the members a portion of their obligation (see Note 8).</w:t>
      </w:r>
    </w:p>
    <w:p>
      <w:pPr>
        <w:spacing w:after="0" w:line="121"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$5.0 million collateral deposit is included as restricted cash in the accompanying consolidated balance sheet as of December 31,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 (“SERP”) assets</w:t>
      </w:r>
    </w:p>
    <w:p>
      <w:pPr>
        <w:spacing w:after="0" w:line="14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Upon liquidation of the SERP life insurance contracts in October 2013 (see Note 4), the Partnership invested the funds in fixed income short-term investments, including certificates of deposits and bonds, with a maturity of less than twelve months. The assets remained in the SERP trust custodial account until the payment of benefits was made to the participants in October 2014. The carrying values of these assets as of December 31, 2013 were representative of their fair value due to the short-term maturity of these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Financial instruments that potentially subject the Partnership to concentrations of credit risk consist principally of casino accounts receivable. The Partnership issues markers to approved casino customers following background checks and assessments of creditworthiness. Trade receivables, including casino and hotel receivables, are typically non-interest bearing. Accounts are written off when management deems the account to be uncollectible. Recoveries of accounts previously written off are recorded when received. An estimated allowance for doubtful accounts is maintained to reduce the Partnership’s receivables to their carrying amount, which approximates fair value. The allowance is estimated based on specific review of customer accounts as well as historical collection experience and current economic and business conditions. Management believes as of December 31, 2014, there are no significant concentrations of credit risk (see Note 3).</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Inventories consist of food and beverage, retail merchandise and operating supplies, and are stated at the lower of cost or market. Cost is determined primarily by the average cost method for food and beverage and operating supplies or the specific identification method for retail merchandise.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44"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auto"/>
        </w:rPr>
        <w:t>Property and equipment and other long-lived assets are stated at cost. Depreciation is computed using the straight-line method, which approximates the effective interest method over the estimated useful life of the asset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Estimated service life</w:t>
            </w:r>
          </w:p>
        </w:tc>
      </w:tr>
      <w:tr>
        <w:trPr>
          <w:trHeight w:val="162"/>
        </w:trPr>
        <w:tc>
          <w:tcPr>
            <w:tcW w:w="76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(years)</w:t>
            </w: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69"/>
        </w:trPr>
        <w:tc>
          <w:tcPr>
            <w:tcW w:w="7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Building and other improvements</w:t>
            </w: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6"/>
              </w:rPr>
              <w:t>- 45</w:t>
            </w:r>
          </w:p>
        </w:tc>
        <w:tc>
          <w:tcPr>
            <w:tcW w:w="40" w:type="dxa"/>
            <w:vAlign w:val="bottom"/>
            <w:shd w:val="clear" w:color="auto" w:fill="CCEEFF"/>
          </w:tcPr>
          <w:p>
            <w:pPr>
              <w:spacing w:after="0"/>
              <w:rPr>
                <w:sz w:val="14"/>
                <w:szCs w:val="14"/>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spacing w:after="0"/>
              <w:rPr>
                <w:sz w:val="20"/>
                <w:szCs w:val="20"/>
                <w:color w:val="auto"/>
              </w:rPr>
            </w:pPr>
            <w:r>
              <w:rPr>
                <w:rFonts w:ascii="Arial" w:cs="Arial" w:eastAsia="Arial" w:hAnsi="Arial"/>
                <w:sz w:val="18"/>
                <w:szCs w:val="18"/>
                <w:color w:val="auto"/>
                <w:w w:val="96"/>
              </w:rPr>
              <w:t>- 15</w:t>
            </w:r>
          </w:p>
        </w:tc>
        <w:tc>
          <w:tcPr>
            <w:tcW w:w="40" w:type="dxa"/>
            <w:vAlign w:val="bottom"/>
          </w:tcPr>
          <w:p>
            <w:pPr>
              <w:spacing w:after="0"/>
              <w:rPr>
                <w:sz w:val="20"/>
                <w:szCs w:val="20"/>
                <w:color w:val="auto"/>
              </w:rPr>
            </w:pPr>
          </w:p>
        </w:tc>
      </w:tr>
    </w:tbl>
    <w:p>
      <w:pPr>
        <w:spacing w:after="0" w:line="9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Costs of major improvements are capitalized, while costs of normal repairs and maintenance that neither materially add to the value of the property nor appreciably prolong its life are expensed as incurred. Gains or losses on dispositions of property and equipment are included in the determination of operating income (loss).</w:t>
      </w:r>
    </w:p>
    <w:p>
      <w:pPr>
        <w:spacing w:after="0" w:line="123"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The Partnership reviews its property and equipment and its long-lived assets for impairment whenever events or changes in circumstances indicate that the carrying amount of an asset may not be recoverable. The Partnership then compares the estimated future cash flows of the asset, on an undiscounted basis, to the carrying amount of the asset. If the undiscounted cash flows exceed the carrying value, no impairment is indicated. If the undiscounted cash flows do not exceed the carrying amount then an impairment is recorded based on the fair value of the asset, typically measured using a discounted cash flow model. If the asset is still under development, future cash flows include remaining construction costs. An estimate of undiscounted future cash flows produced by the asset is compared to the carrying value to determine whether an impairment exists. If it is determined the asset is impaired based on expected undiscounted future cash flows, a loss, measured by the amount by which the carrying amount of the asset exceeds the fair value of the asset, would be recognized. For assets to be disposed of, the Partnership recognizes the asset at the lower of carrying value or fair market value, less cost of disposal, as estimated based on comparable asset sales or solicited offers. As of December 31, 2014 and 2013, no events or changes in circumstances indicated that the carrying values of our long-lived assets may not be recoverable.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144"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The Partnership recognizes as casino revenue the net win from gaming activities, which is the difference between gaming wins and losses. Hotel, food and beverage, and other operating revenues are recognized as services are performed. Advance deposits on rooms and advance ticket sales are recorded as accrued liabilities until services are provided to the customer. Gaming revenues are recognized net of certain cash sales incentives and free play. The retail value of food, beverage, rooms and other services furnished to customers on a complimentary basis is included in gross revenues and then deducted as promotional allowances. The Partnership rewards customers, through the use of loyalty programs, with complimentaries based on amounts wagered or won that can be redeemed for a specified time period. The retail value of complimentaries is recorded as revenue and then is deducted as promotional allowances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90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1"/>
                <w:szCs w:val="1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Rooms</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5,865</w:t>
            </w:r>
          </w:p>
        </w:tc>
        <w:tc>
          <w:tcPr>
            <w:tcW w:w="6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6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18"/>
                <w:szCs w:val="18"/>
                <w:color w:val="auto"/>
              </w:rPr>
            </w:pPr>
          </w:p>
        </w:tc>
        <w:tc>
          <w:tcPr>
            <w:tcW w:w="3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20,609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19,595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16,827</w:t>
            </w:r>
          </w:p>
        </w:tc>
        <w:tc>
          <w:tcPr>
            <w:tcW w:w="60" w:type="dxa"/>
            <w:vAlign w:val="bottom"/>
          </w:tcPr>
          <w:p>
            <w:pPr>
              <w:spacing w:after="0"/>
              <w:rPr>
                <w:sz w:val="18"/>
                <w:szCs w:val="18"/>
                <w:color w:val="auto"/>
              </w:rPr>
            </w:pPr>
          </w:p>
        </w:tc>
      </w:tr>
      <w:tr>
        <w:trPr>
          <w:trHeight w:val="804"/>
        </w:trPr>
        <w:tc>
          <w:tcPr>
            <w:tcW w:w="2900" w:type="dxa"/>
            <w:vAlign w:val="bottom"/>
          </w:tcPr>
          <w:p>
            <w:pPr>
              <w:spacing w:after="0"/>
              <w:rPr>
                <w:sz w:val="24"/>
                <w:szCs w:val="24"/>
                <w:color w:val="auto"/>
              </w:rPr>
            </w:pPr>
          </w:p>
        </w:tc>
        <w:tc>
          <w:tcPr>
            <w:tcW w:w="3040" w:type="dxa"/>
            <w:vAlign w:val="bottom"/>
          </w:tcPr>
          <w:p>
            <w:pPr>
              <w:jc w:val="right"/>
              <w:ind w:right="123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290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estimated costs of providing such promotional allowances are included in casino expenses and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3640" w:type="dxa"/>
            <w:vAlign w:val="bottom"/>
            <w:tcBorders>
              <w:bottom w:val="single" w:sz="8" w:color="CCEEFF"/>
            </w:tcBorders>
          </w:tcPr>
          <w:p>
            <w:pPr>
              <w:spacing w:after="0"/>
              <w:rPr>
                <w:sz w:val="11"/>
                <w:szCs w:val="11"/>
                <w:color w:val="auto"/>
              </w:rPr>
            </w:pPr>
          </w:p>
        </w:tc>
        <w:tc>
          <w:tcPr>
            <w:tcW w:w="2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1"/>
                <w:szCs w:val="1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Rooms</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60" w:type="dxa"/>
            <w:vAlign w:val="bottom"/>
            <w:shd w:val="clear" w:color="auto" w:fill="CCEEFF"/>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11,839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11,062</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9,850</w:t>
            </w:r>
          </w:p>
        </w:tc>
        <w:tc>
          <w:tcPr>
            <w:tcW w:w="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Advertising costs are expensed in the period the advertising initially takes place. Advertising costs included in selling, general and administrative expenses were $6.4 million, $6.5 million and $6.0 million for the years ended December 31, 2014, 2013 and 2012,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taxes</w:t>
      </w:r>
    </w:p>
    <w:p>
      <w:pPr>
        <w:spacing w:after="0" w:line="144"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The Partnership is not subject to income taxes; therefore, no provision for income taxes has been made, as the Members include their respective share of the Partnership income (loss) in their income tax returns. The Partnership limited liability company agreement provides for the Partnership to make distributions to the Members in an amount equal to the maximum marginal federal income tax rate applicable to any Member multiplied by the income (loss) of the Partnership for the applicable period (see Note 12). The Partnership made tax distributions totaling $1.5 million to the Members for the year ended December 31, 2013. No such distributions were made for the years ended December 31, 2014 and 2012.</w:t>
      </w:r>
    </w:p>
    <w:p>
      <w:pPr>
        <w:spacing w:after="0" w:line="120"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Under the applicable accounting standards, the Partnership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de-recognition, classification, interest and penalties on income taxes, accounting in interim periods and disclosure requirements for uncertain tax positions. The Partnership had recorded no liability associated with uncertain tax positions at December 31, 2014 and 2013.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Partnership capitalizes debt issuance costs, which include legal and other direct costs related to the issuance of debt. The capitalized costs are amortized into interest expense over the contracted term of the debt using methods which approximate the effective interest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Fair value is an exit price, representing the amount that would be received to sell an asset or paid to transfer a liability in an orderly transaction between market participants. Accordingly, fair value is a market-based measurement that is determined based on assumptions that market participants would use in pricing an asset or liability. As a basis for considering such assumptions, there is a three-tier fair value hierarchy, which prioritizes the inputs used in measuring fair values as follows:</w:t>
      </w:r>
    </w:p>
    <w:p>
      <w:pPr>
        <w:spacing w:after="0" w:line="114"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are based upon quoted prices (unadjusted) in active markets for identical assets or liabilities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accessible as of the measurement date.</w:t>
      </w:r>
    </w:p>
    <w:p>
      <w:pPr>
        <w:spacing w:after="0" w:line="121"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are based upon quoted prices for similar assets or liabilities in active markets,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and model-derived valuations for the asset or liability that are derived principally from or corroborated by market data for which the primary inputs are observable, including forward interest rates, yield curves, credit risk and exchange rates.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for the valuations are unobservable and are based on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such as option pricing models and discounted cash flow models.</w:t>
      </w:r>
    </w:p>
    <w:p>
      <w:pPr>
        <w:spacing w:after="0" w:line="123"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Partnership’s financial instruments consist primarily of cash and cash equivalents, accounts receivable, accounts payable, accrued liabilities and debt. Management believes the carrying value of cash and cash equivalents, accounts receivable, accounts payable and accrued liabilities are representative of their respective fair values due to the short maturities of these instruments. The carrying value of the New Credit Facility was $84.5 million and $90.5 million as of December 31, 2014 and 2013, respectively, which approximates fair value.</w:t>
      </w:r>
    </w:p>
    <w:p>
      <w:pPr>
        <w:spacing w:after="0" w:line="122"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The Partnership valued its Member Notes using a discounted cash flow analysis incorporating contractual cash flows. The discount rate used in the analysis considered the credit worthiness of the Partnership and the seniority of the Member Notes based on Level 3 inputs. The fair value of our promissory notes due to the Members was approximately $8.2 million and $7.2 million as of December 31, 2014 and 2013, respectively (see Note 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In May 2014, the Financial Accounting Standards Board issued Accounting Standards Update No. 2014-9, Revenue from Contracts with Customers (Topic 606) (“ASU 2014-09”). The standard requires revenue to be recognized when promised goods or services are transferred to customers in an amount that reflects the consideration that is expected to be received for those goods and services. Qualitative and quantitative disclosures are also required regarding customer contracts, significant judgments and changes in judgments, and assets recognized from the costs to obtain or fulfill a contract. ASU 2014-09 supersedes and replaces nearly all existing revenue recognition guidance under US GAAP. This accounting guidance is effective for fiscal years, and interim periods within those years, beginning after December 15, 2016. Early adoption is not permitted. The Partnership is currently evaluating the impact of the adoption of ASU 2014-09 on its consolidated financial statements and related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August 2014, the FASB issued ASU No. 2014-15, “Presentation of Financial Statements—Going Concern” (Subtopic 205-</w:t>
      </w:r>
    </w:p>
    <w:p>
      <w:pPr>
        <w:spacing w:after="0" w:line="8" w:lineRule="exact"/>
        <w:rPr>
          <w:sz w:val="20"/>
          <w:szCs w:val="20"/>
          <w:color w:val="auto"/>
        </w:rPr>
      </w:pPr>
    </w:p>
    <w:p>
      <w:pPr>
        <w:ind w:firstLine="3"/>
        <w:spacing w:after="0" w:line="209" w:lineRule="auto"/>
        <w:tabs>
          <w:tab w:leader="none" w:pos="2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The Partnership does not believe that this standard will have a material impact on its financial position or results of operations.</w:t>
      </w:r>
    </w:p>
    <w:p>
      <w:pPr>
        <w:spacing w:after="0" w:line="122"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In January 2015, the Financial Accounting Standards Board issued Accounting Standards Update No. 2015-01, Income Statement—Extraordinary and Unusual Items (Subtopic 225-20): Simplifying Income Statement Presentation by Eliminating the Concept of Extraordinary Items. The standard reduces the complexity of accounting standards by removing the concept of extraordinary items. The standard requires adoption effective for fiscal years and interim periods within those fiscal years, beginning after December 15, 2015. The Partnership does not believe this standard will have a material impact on its financial position or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Management has evaluated all events or transactions that occurred after December 31, 2014 through March 24, 2015, the date the financial statements were issued.</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w:t>
      </w:r>
    </w:p>
    <w:p>
      <w:pPr>
        <w:spacing w:after="0" w:line="148"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On March 5, 2002, the Issuers co-issued $160.0 million in aggregate principal amount of 10</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Mortgage Notes due 2012 (the “2012 Notes”). In February 2009, the Partnership repurchased and retired $17.2 million in aggregate principal</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amount of the 2012 Notes. The repurchase reduced the aggregate principal amount of the 2012 Notes outstanding to $142.8 million.</w:t>
      </w:r>
    </w:p>
    <w:p>
      <w:pPr>
        <w:spacing w:after="0" w:line="121"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The 2012 Notes matured on March 1, 2012. The Partnership did not make the required principal payment and elected not to make the scheduled interest payment on the 2012 Notes on March 1, 2012, which constituted an event of default under the terms of the indenture governing the 2012 Notes.</w:t>
      </w:r>
    </w:p>
    <w:p>
      <w:pPr>
        <w:spacing w:after="0" w:line="12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On May 17, 2012, the Partnership and Capital (the “Debtors”) filed voluntary petitions in the United States Bankruptcy Court for the District of Nevada in Reno, Nevada (the “Bankruptcy Court”) under chapter 11 of title 11 of the United States Code (the “Chapter 11 Case”). The Partnership continued to conduct its business as debtors-in-possession under jurisdiction of the Bankruptcy Court and in accordance with applicable provisions of the bankruptcy code and the orders of the Bankruptcy Court. In addition, the Bankruptcy Court authorized the Partnership to continue using its cash, including cash collateral securing the Partnership’s obligations with respect to the 2012 Notes, in the ordinary course of the Partnership’s business.</w:t>
      </w:r>
    </w:p>
    <w:p>
      <w:pPr>
        <w:spacing w:after="0" w:line="12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On June 1, 2012, the Debtors filed a plan of reorganization (the “Plan”) and related disclosure statement under chapter 11 of the Bankruptcy Court. The Plan and related disclosure statement were amended and filed on June 29, 2012 and further amended on August 8, 2012. The Bankruptcy Court held a hearing on October 22, 2012 and confirmed the Plan and approved the settlement agreement on October 23, 2012.</w:t>
      </w:r>
    </w:p>
    <w:p>
      <w:pPr>
        <w:spacing w:after="0" w:line="122" w:lineRule="exact"/>
        <w:rPr>
          <w:sz w:val="20"/>
          <w:szCs w:val="20"/>
          <w:color w:val="auto"/>
        </w:rPr>
      </w:pPr>
    </w:p>
    <w:p>
      <w:pPr>
        <w:ind w:right="220"/>
        <w:spacing w:after="0" w:line="216" w:lineRule="auto"/>
        <w:rPr>
          <w:sz w:val="20"/>
          <w:szCs w:val="20"/>
          <w:color w:val="auto"/>
        </w:rPr>
      </w:pPr>
      <w:r>
        <w:rPr>
          <w:rFonts w:ascii="Arial" w:cs="Arial" w:eastAsia="Arial" w:hAnsi="Arial"/>
          <w:sz w:val="18"/>
          <w:szCs w:val="18"/>
          <w:color w:val="auto"/>
        </w:rPr>
        <w:t>The terms of the Plan provided that the unsecured creditors of the Partnership would be paid in full and the holders of the 2012 Notes would receive available cash (as defined in the Plan) from the Partnership, $15.0 million in cash contributed to the Partnership by its Members (referred to as Partners prior to the LLC conversion), $70.0 million in cash financed with borrowings under a new $70.0 million senior secured credit facility (the “Senior Credit Facility”) and $27.5 million in aggregate principal amount of Second Lien Notes.</w:t>
      </w:r>
    </w:p>
    <w:p>
      <w:pPr>
        <w:spacing w:after="0" w:line="12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On November 16, 2012, the effective date as defined in the Plan, the Partnership emerged from bankruptcy. Concurrently, the Partnership entered into the Senior Credit Facility, issued the Second Lien Notes and issued new subordinated debt (the “Member Notes”) in exchange for the $15.0 million contributed to the Partnership by its Members (Partners prior to the LLC conversion). A final hearing was held and the Chapter 11 Case closed on March 20, 2013.</w:t>
      </w:r>
    </w:p>
    <w:p>
      <w:pPr>
        <w:spacing w:after="0" w:line="122"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On November 8, 2013, a notice of optional redemption was provided to the holders of the Second Lien Notes stating that the Partnership and Capital elected to redeem and pay all of the outstanding Second Lien Notes at a redemption price equal to 103.0% of the principal amount of the Second Lien Notes on December 17, 2013. The redemption was conditioned upon the receipt of financing by the Issuers in an amount not less than $89.5 million pursuant to an amended and restated credit facility that was on terms and conditions satisfactory to the Issuers. The Second Lien Notes were redeemed on December 17, 2013.</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connection with the reorganization of the Partnership in the bankruptcy, the Partners agreed to convert the joint venture partnership into a Nevada limited liability company to be known as Circus and Eldorado Joint Venture, LLC (the “LLC”). The conversion occurred in accordance with Nevada law on July 1, 2013 and the LLC succeeded to and otherwise assumed all of the assets and liabilities of the Partnership, including all obligations under the Senior Credit Facility, Second Lien Notes and Member Notes. The Members in the LLC hold membership interests in the LLC in the same proportion as their former ownership interests in the Partnership, and the Operating Agreement of the LLC includes substantially the same provisions as those included in the prior Joint Venture Agreement with regard to management and operation of Silver Legacy.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Accounts receivable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at December 31, 2014 and 2013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Casino receivables</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Hotel receivables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0" w:type="dxa"/>
            <w:vAlign w:val="bottom"/>
            <w:shd w:val="clear" w:color="auto" w:fill="CCEEFF"/>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3,332</w:t>
            </w:r>
          </w:p>
        </w:tc>
        <w:tc>
          <w:tcPr>
            <w:tcW w:w="4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 w:type="dxa"/>
            <w:vAlign w:val="bottom"/>
            <w:shd w:val="clear" w:color="auto" w:fill="CCEEFF"/>
          </w:tcPr>
          <w:p>
            <w:pPr>
              <w:spacing w:after="0"/>
              <w:rPr>
                <w:sz w:val="18"/>
                <w:szCs w:val="18"/>
                <w:color w:val="auto"/>
              </w:rPr>
            </w:pPr>
          </w:p>
        </w:tc>
      </w:tr>
      <w:tr>
        <w:trPr>
          <w:trHeight w:val="210"/>
        </w:trPr>
        <w:tc>
          <w:tcPr>
            <w:tcW w:w="49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3,113</w:t>
            </w:r>
          </w:p>
        </w:tc>
        <w:tc>
          <w:tcPr>
            <w:tcW w:w="4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Bad debt expense for the years ended December 31, 2014, 2013 and 2012 was $0.1 million, $0.1 million and $0.2 million, respectively.</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Prepaid supplemental executive retirement plan assets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Effective October 1, 2013, the Partnership terminated the SERP and liquidated the life insurance contracts totaling</w:t>
      </w:r>
    </w:p>
    <w:p>
      <w:pPr>
        <w:ind w:right="260"/>
        <w:spacing w:after="0" w:line="220" w:lineRule="auto"/>
        <w:rPr>
          <w:sz w:val="20"/>
          <w:szCs w:val="20"/>
          <w:color w:val="auto"/>
        </w:rPr>
      </w:pPr>
      <w:r>
        <w:rPr>
          <w:rFonts w:ascii="Arial" w:cs="Arial" w:eastAsia="Arial" w:hAnsi="Arial"/>
          <w:sz w:val="17"/>
          <w:szCs w:val="17"/>
          <w:color w:val="auto"/>
        </w:rPr>
        <w:t>$7.5 million. The proceeds from the liquidation of the life insurance contracts were utilized to purchase fixed income investments with a maturity of less than twelve months and totaled $7.4 million as of December 31, 2013. At the time of termination, the Partnership received signed release agreements from all participants receiving less than their calculated accrued benefit obligations. In conjunction with the termination, the Partnership adjusted the outstanding liability and accumulated comprehensive income to reflect a reduction in expected payout based on an actuarial valuation report and to reflect the deferred gain on termination of the SERP. In October 2014, the Partnership paid approximately $7.6 million, representing the cash surrender value of $7.5 million plus an additional $0.1 million from the Partnership’s operating cash flow, in benefits to the participants. As consequence of the payout, the Partnership recognized a gain in the amount of $1.4 million which effectively cleared accumulated other comprehensive income.</w:t>
      </w:r>
    </w:p>
    <w:p>
      <w:pPr>
        <w:spacing w:after="0" w:line="1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Property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2014 and 2013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28,405</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Building and other leasehold improvements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270,240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270,063</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106,723</w:t>
            </w:r>
          </w:p>
        </w:tc>
        <w:tc>
          <w:tcPr>
            <w:tcW w:w="40" w:type="dxa"/>
            <w:vAlign w:val="bottom"/>
            <w:shd w:val="clear" w:color="auto" w:fill="CCEEFF"/>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403,505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405,191</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(212,913)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(207,041)</w:t>
            </w:r>
          </w:p>
        </w:tc>
        <w:tc>
          <w:tcPr>
            <w:tcW w:w="40" w:type="dxa"/>
            <w:vAlign w:val="bottom"/>
            <w:shd w:val="clear" w:color="auto" w:fill="CCEEFF"/>
          </w:tcPr>
          <w:p>
            <w:pPr>
              <w:spacing w:after="0"/>
              <w:rPr>
                <w:sz w:val="18"/>
                <w:szCs w:val="18"/>
                <w:color w:val="auto"/>
              </w:rPr>
            </w:pPr>
          </w:p>
        </w:tc>
      </w:tr>
      <w:tr>
        <w:trPr>
          <w:trHeight w:val="210"/>
        </w:trPr>
        <w:tc>
          <w:tcPr>
            <w:tcW w:w="50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190,592</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198,150</w:t>
            </w:r>
          </w:p>
        </w:tc>
        <w:tc>
          <w:tcPr>
            <w:tcW w:w="4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property and equipment of the Partnership is pledged as collateral against its long-term debt (see Note 8).</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Other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 at December 31, 2014 and 2013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CCEEFF"/>
            </w:tcBorders>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China, glassware and silverware</w:t>
            </w:r>
          </w:p>
        </w:tc>
        <w:tc>
          <w:tcPr>
            <w:tcW w:w="3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Debt issuance costs, net</w:t>
            </w: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7,423</w:t>
            </w:r>
          </w:p>
        </w:tc>
        <w:tc>
          <w:tcPr>
            <w:tcW w:w="6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tcPr>
          <w:p>
            <w:pPr>
              <w:spacing w:after="0"/>
              <w:rPr>
                <w:sz w:val="18"/>
                <w:szCs w:val="18"/>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3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60" w:type="dxa"/>
            <w:vAlign w:val="bottom"/>
            <w:shd w:val="clear" w:color="auto" w:fill="CCEEFF"/>
          </w:tcPr>
          <w:p>
            <w:pPr>
              <w:spacing w:after="0"/>
              <w:rPr>
                <w:sz w:val="18"/>
                <w:szCs w:val="18"/>
                <w:color w:val="auto"/>
              </w:rPr>
            </w:pPr>
          </w:p>
        </w:tc>
      </w:tr>
      <w:tr>
        <w:trPr>
          <w:trHeight w:val="804"/>
        </w:trPr>
        <w:tc>
          <w:tcPr>
            <w:tcW w:w="3380" w:type="dxa"/>
            <w:vAlign w:val="bottom"/>
          </w:tcPr>
          <w:p>
            <w:pPr>
              <w:spacing w:after="0"/>
              <w:rPr>
                <w:sz w:val="24"/>
                <w:szCs w:val="24"/>
                <w:color w:val="auto"/>
              </w:rPr>
            </w:pPr>
          </w:p>
        </w:tc>
        <w:tc>
          <w:tcPr>
            <w:tcW w:w="3560" w:type="dxa"/>
            <w:vAlign w:val="bottom"/>
          </w:tcPr>
          <w:p>
            <w:pPr>
              <w:jc w:val="right"/>
              <w:ind w:right="223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338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The initial inventory of china, glassware and silverware has been amortized to 50% of cost with the balance kept as base stock. Additional purchases of china, glassware and silverware are placed into inventory and expensed as used.</w:t>
      </w:r>
    </w:p>
    <w:p>
      <w:pPr>
        <w:spacing w:after="0" w:line="8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The Partnership incurred costs in connection with the issuance of the 2012 Notes in March of 2002, the Senior Credit Facility and Second Lien Notes in November of 2012, and the New Credit Facility in December 2013 (see Note 8). Debt issuance costs are capitalized when incurred and amortized to interest expense based on the related debt maturities using the straight-line method, which approximates the effective interest method. Debt issuance costs, net of amortization, related to the New Credit Facility included in other assets totaled $5.5 million at December 31, 2014. Debt issuance costs, net of amortization, related to the Senior Credit Facility and New Credit Facility included in other assets totaled $7.4 million at December 31, 2013. Accumulated amortization of debt issuance costs was $2.9 million and $2.2 million at December 31, 2014 and 2013, respectively. The amounts of amortization of debt issuance costs included in interest expense was $2.9 million, $2.2 million and $0.3 million for the years ended December 31, 2014, 2013 and 2012, respectively.</w:t>
      </w:r>
    </w:p>
    <w:p>
      <w:pPr>
        <w:spacing w:after="0" w:line="1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Accrued and other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liabilities at December 31, 2014 and 2013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Borders>
              <w:bottom w:val="single" w:sz="8" w:color="CCEEFF"/>
            </w:tcBorders>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14"/>
                <w:szCs w:val="14"/>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r.elated</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Accrued vacation</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1,566</w:t>
            </w:r>
          </w:p>
        </w:tc>
        <w:tc>
          <w:tcPr>
            <w:tcW w:w="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group insurance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Unclaimed chips and tokens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Advance room deposits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Progressive slot liability</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Players’ club and free play liability</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40" w:type="dxa"/>
            <w:vAlign w:val="bottom"/>
            <w:shd w:val="clear" w:color="auto" w:fill="CCEEFF"/>
          </w:tcPr>
          <w:p>
            <w:pPr>
              <w:spacing w:after="0"/>
              <w:rPr>
                <w:sz w:val="18"/>
                <w:szCs w:val="18"/>
                <w:color w:val="auto"/>
              </w:rPr>
            </w:pPr>
          </w:p>
        </w:tc>
      </w:tr>
      <w:tr>
        <w:trPr>
          <w:trHeight w:val="210"/>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Accrued and other liabilities</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9,532</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9,482</w:t>
            </w:r>
          </w:p>
        </w:tc>
        <w:tc>
          <w:tcPr>
            <w:tcW w:w="40" w:type="dxa"/>
            <w:vAlign w:val="bottom"/>
          </w:tcPr>
          <w:p>
            <w:pPr>
              <w:spacing w:after="0"/>
              <w:rPr>
                <w:sz w:val="18"/>
                <w:szCs w:val="18"/>
                <w:color w:val="auto"/>
              </w:rPr>
            </w:pPr>
          </w:p>
        </w:tc>
      </w:tr>
      <w:tr>
        <w:trPr>
          <w:trHeight w:val="372"/>
        </w:trPr>
        <w:tc>
          <w:tcPr>
            <w:tcW w:w="68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6000" w:type="dxa"/>
            <w:vAlign w:val="bottom"/>
          </w:tcPr>
          <w:p>
            <w:pPr>
              <w:ind w:left="14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6680" w:type="dxa"/>
            <w:vAlign w:val="bottom"/>
            <w:gridSpan w:val="2"/>
          </w:tcPr>
          <w:p>
            <w:pPr>
              <w:spacing w:after="0"/>
              <w:rPr>
                <w:sz w:val="20"/>
                <w:szCs w:val="20"/>
                <w:color w:val="auto"/>
              </w:rPr>
            </w:pPr>
            <w:r>
              <w:rPr>
                <w:rFonts w:ascii="Arial" w:cs="Arial" w:eastAsia="Arial" w:hAnsi="Arial"/>
                <w:sz w:val="18"/>
                <w:szCs w:val="18"/>
                <w:color w:val="auto"/>
                <w:w w:val="93"/>
              </w:rPr>
              <w:t>Long-term debt at December 31, 2014 and 2013 consisted of the following (in thousands):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680" w:type="dxa"/>
            <w:vAlign w:val="bottom"/>
            <w:tcBorders>
              <w:bottom w:val="single" w:sz="8" w:color="CCEEFF"/>
            </w:tcBorders>
          </w:tcPr>
          <w:p>
            <w:pPr>
              <w:spacing w:after="0"/>
              <w:rPr>
                <w:sz w:val="24"/>
                <w:szCs w:val="24"/>
                <w:color w:val="auto"/>
              </w:rPr>
            </w:pPr>
          </w:p>
        </w:tc>
        <w:tc>
          <w:tcPr>
            <w:tcW w:w="60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CCEEFF"/>
            </w:tcBorders>
          </w:tcPr>
          <w:p>
            <w:pPr>
              <w:spacing w:after="0"/>
              <w:rPr>
                <w:sz w:val="24"/>
                <w:szCs w:val="24"/>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Credit Facility</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90,500</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Member Notes 5% PIK, net of discount of $6,802 and $7,816, respectively</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8,041</w:t>
            </w:r>
          </w:p>
        </w:tc>
        <w:tc>
          <w:tcPr>
            <w:tcW w:w="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0" w:type="dxa"/>
            <w:vAlign w:val="bottom"/>
            <w:shd w:val="clear" w:color="auto" w:fill="CCEEFF"/>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89,322</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92,541</w:t>
            </w:r>
          </w:p>
        </w:tc>
        <w:tc>
          <w:tcPr>
            <w:tcW w:w="40" w:type="dxa"/>
            <w:vAlign w:val="bottom"/>
          </w:tcPr>
          <w:p>
            <w:pPr>
              <w:spacing w:after="0"/>
              <w:rPr>
                <w:sz w:val="18"/>
                <w:szCs w:val="18"/>
                <w:color w:val="auto"/>
              </w:rPr>
            </w:pPr>
          </w:p>
        </w:tc>
      </w:tr>
      <w:tr>
        <w:trPr>
          <w:trHeight w:val="20"/>
        </w:trPr>
        <w:tc>
          <w:tcPr>
            <w:tcW w:w="6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On December 16, 2013, the Partnership entered into a new senior secured term loan facility (the “New Credit Facility”)</w:t>
      </w:r>
    </w:p>
    <w:p>
      <w:pPr>
        <w:spacing w:after="0" w:line="215" w:lineRule="auto"/>
        <w:rPr>
          <w:sz w:val="20"/>
          <w:szCs w:val="20"/>
          <w:color w:val="auto"/>
        </w:rPr>
      </w:pPr>
      <w:r>
        <w:rPr>
          <w:rFonts w:ascii="Arial" w:cs="Arial" w:eastAsia="Arial" w:hAnsi="Arial"/>
          <w:sz w:val="17"/>
          <w:szCs w:val="17"/>
          <w:color w:val="auto"/>
        </w:rPr>
        <w:t>totaling $90.5 million to refinance its indebtedness under its then existing senior secured term loan (the “Senior Credit</w:t>
      </w:r>
    </w:p>
    <w:p>
      <w:pPr>
        <w:spacing w:after="0" w:line="216" w:lineRule="auto"/>
        <w:rPr>
          <w:sz w:val="20"/>
          <w:szCs w:val="20"/>
          <w:color w:val="auto"/>
        </w:rPr>
      </w:pPr>
      <w:r>
        <w:rPr>
          <w:rFonts w:ascii="Arial" w:cs="Arial" w:eastAsia="Arial" w:hAnsi="Arial"/>
          <w:sz w:val="17"/>
          <w:szCs w:val="17"/>
          <w:color w:val="auto"/>
        </w:rPr>
        <w:t>Facility”) and Second Lien Notes. The proceeds from the New Credit Facility, in addition to $7.0 million of operating cash</w:t>
      </w:r>
    </w:p>
    <w:p>
      <w:pPr>
        <w:spacing w:after="0" w:line="215" w:lineRule="auto"/>
        <w:rPr>
          <w:sz w:val="20"/>
          <w:szCs w:val="20"/>
          <w:color w:val="auto"/>
        </w:rPr>
      </w:pPr>
      <w:r>
        <w:rPr>
          <w:rFonts w:ascii="Arial" w:cs="Arial" w:eastAsia="Arial" w:hAnsi="Arial"/>
          <w:sz w:val="17"/>
          <w:szCs w:val="17"/>
          <w:color w:val="auto"/>
        </w:rPr>
        <w:t>flows, were used to repay $63.8 million representing principal and interest outstanding under the Senior Credit Facility,</w:t>
      </w:r>
    </w:p>
    <w:p>
      <w:pPr>
        <w:spacing w:after="0" w:line="229" w:lineRule="auto"/>
        <w:rPr>
          <w:sz w:val="20"/>
          <w:szCs w:val="20"/>
          <w:color w:val="auto"/>
        </w:rPr>
      </w:pPr>
      <w:r>
        <w:rPr>
          <w:rFonts w:ascii="Arial" w:cs="Arial" w:eastAsia="Arial" w:hAnsi="Arial"/>
          <w:sz w:val="16"/>
          <w:szCs w:val="16"/>
          <w:color w:val="auto"/>
        </w:rPr>
        <w:t>$31.7 million representing principal and interest related to the extinguishment of the Second Lien Notes, and $2.0 million in</w:t>
      </w:r>
    </w:p>
    <w:p>
      <w:pPr>
        <w:spacing w:after="0" w:line="229" w:lineRule="auto"/>
        <w:rPr>
          <w:sz w:val="20"/>
          <w:szCs w:val="20"/>
          <w:color w:val="auto"/>
        </w:rPr>
      </w:pPr>
      <w:r>
        <w:rPr>
          <w:rFonts w:ascii="Arial" w:cs="Arial" w:eastAsia="Arial" w:hAnsi="Arial"/>
          <w:sz w:val="16"/>
          <w:szCs w:val="16"/>
          <w:color w:val="auto"/>
        </w:rPr>
        <w:t>fees associated with the transactions. The New Credit Facility consists of a $60.5 million first-out tranche term loan and a</w:t>
      </w:r>
    </w:p>
    <w:p>
      <w:pPr>
        <w:spacing w:after="0" w:line="216" w:lineRule="auto"/>
        <w:rPr>
          <w:sz w:val="20"/>
          <w:szCs w:val="20"/>
          <w:color w:val="auto"/>
        </w:rPr>
      </w:pPr>
      <w:r>
        <w:rPr>
          <w:rFonts w:ascii="Arial" w:cs="Arial" w:eastAsia="Arial" w:hAnsi="Arial"/>
          <w:sz w:val="17"/>
          <w:szCs w:val="17"/>
          <w:color w:val="auto"/>
        </w:rPr>
        <w:t>$30.0 million last-out tranche term loan. The New Credit Facility matures on November 16, 2017 which was the maturity</w:t>
      </w:r>
    </w:p>
    <w:p>
      <w:pPr>
        <w:spacing w:after="0"/>
        <w:rPr>
          <w:sz w:val="20"/>
          <w:szCs w:val="20"/>
          <w:color w:val="auto"/>
        </w:rPr>
      </w:pPr>
      <w:r>
        <w:rPr>
          <w:rFonts w:ascii="Arial" w:cs="Arial" w:eastAsia="Arial" w:hAnsi="Arial"/>
          <w:sz w:val="18"/>
          <w:szCs w:val="18"/>
          <w:color w:val="auto"/>
        </w:rPr>
        <w:t>date of the Senior Credit Facility.</w:t>
      </w:r>
    </w:p>
    <w:p>
      <w:pPr>
        <w:spacing w:after="0" w:line="12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As of December 31, 2014, the Partnership had $94.3 million of long term debt (of which $5.0 million was current), including $84.5 million related to the New Credit Facility and $16.6 million of Member Notes with a carrying value of $9.8 million, net of an $6.8 million discount.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New Credit Facility is secured by a first priority security interest in substantially all of the Partnership’s existing and future assets, other than certain licenses which may not pledged under applicable law, and a first priority pledge of and security interest in all of the partnership interests in the Partnership held by its Members. The New Credit Facility is supported by: (i) a secured guarantee by Capital; (ii) a pledge by each Member of $2.5 million cash collateral; and (iii) a pledge by the Partnership of $5.0 million cash collateral to secure the Partnership’s obligations under the New Credit Facility.</w:t>
      </w:r>
    </w:p>
    <w:p>
      <w:pPr>
        <w:spacing w:after="0" w:line="11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Pursuant to the credit agreement governing the New Credit Facility, the Partnership is required to make consecutive principal payments that permanently reduce the amount of the first-out tranche of the term loan based on the following quarterly schedule after December 31, 2014: $1.0 million on the last business day in March and December and $1.5 million on the last business day in June and September with all unpaid principal and interest due on November 16, 2017.</w:t>
      </w:r>
    </w:p>
    <w:p>
      <w:pPr>
        <w:spacing w:after="0" w:line="114"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Interest on the outstanding balances under the first-out tranche term loan is based on a LIBOR margin of 5.5%, with a 1% floor, or a base rate equal to the highest Prime Rate, the Federal Funds Rate 1.5% or one month LIBOR with a 2.5% floor and a margin of 4.5% with respect to base rate loans. Interest on the outstanding balances under the last-out tranche term loan is based on a LIBOR margin of 10.0%, with a 1% floor, or a base rate equal to the highest Prime Rate, the Federal Funds Rate 1.5% or one month LIBOR with a 2.5% floor and a margin of 9.0% with respect to base rate loans; provided, that if, at any time, the Partnership’s EBIDTA (as defined in the agreement) is less than $17.0 million for the immediately preceding four calendar quarters, the applicable interest margin for the last-out tranche term loan will be 12.0% for LIBOR rate loans and</w:t>
      </w:r>
    </w:p>
    <w:p>
      <w:pPr>
        <w:jc w:val="both"/>
        <w:ind w:right="60"/>
        <w:spacing w:after="0" w:line="248" w:lineRule="auto"/>
        <w:rPr>
          <w:sz w:val="20"/>
          <w:szCs w:val="20"/>
          <w:color w:val="auto"/>
        </w:rPr>
      </w:pPr>
      <w:r>
        <w:rPr>
          <w:rFonts w:ascii="Arial" w:cs="Arial" w:eastAsia="Arial" w:hAnsi="Arial"/>
          <w:sz w:val="16"/>
          <w:szCs w:val="16"/>
          <w:color w:val="auto"/>
        </w:rPr>
        <w:t>11.0% for base rate loans, with 5.50% being cash pay and the remainder of such interest being paid in kind until such time as the Partnership’s EBITDA for the immediately preceding four calendar quarters is greater than or equal to $17.0 million. As of December 31, 2014, the interest rates for the first-out tranche and last-out tranche were 6.5% and 11.0%, respectively.</w:t>
      </w:r>
    </w:p>
    <w:p>
      <w:pPr>
        <w:spacing w:after="0" w:line="11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The credit agreement governing the New Credit Facility contains customary events of default and covenants, including covenants that, among other things, limit our ability to: (i) incur additional indebtedness; (ii) enter into, create, assume or suffer to exist liens; (iii) pay dividends or make other restricted payments; (iv) pay dividends or make other restricted payments; (v) prepay subordinated indebtedness; (vi) sell or dispose of a portion of our assets; (vii) make capital expenditures; (viii) to enter into certain types of transactions with affiliates; and (ix) make acquisitions or merge or consolidate with another entity. In addition, the credit agreement governing the New Credit Facility requires us to meet specified financial tests on an ongoing basis, and contains certain financial covenants, including the following:</w:t>
      </w:r>
    </w:p>
    <w:p>
      <w:pPr>
        <w:spacing w:after="0" w:line="122" w:lineRule="exact"/>
        <w:rPr>
          <w:sz w:val="20"/>
          <w:szCs w:val="20"/>
          <w:color w:val="auto"/>
        </w:rPr>
      </w:pPr>
    </w:p>
    <w:p>
      <w:pPr>
        <w:ind w:left="60" w:right="220" w:hanging="53"/>
        <w:spacing w:after="0" w:line="224" w:lineRule="auto"/>
        <w:rPr>
          <w:sz w:val="20"/>
          <w:szCs w:val="20"/>
          <w:color w:val="auto"/>
        </w:rPr>
      </w:pPr>
      <w:r>
        <w:rPr>
          <w:rFonts w:ascii="Arial" w:cs="Arial" w:eastAsia="Arial" w:hAnsi="Arial"/>
          <w:sz w:val="18"/>
          <w:szCs w:val="18"/>
          <w:color w:val="auto"/>
        </w:rPr>
        <w:t>·The Partnership is required to maintain a minimum fixed charges coverage ratio (EBITDA less capital expenditures to interest charges plus principal payments, as defined in the agreement) of: (i) 1.15 to 1.0 per quarter through December 31, 2015; and (ii) 1.20 to 1.0 for all quarters thereafter.</w:t>
      </w:r>
    </w:p>
    <w:p>
      <w:pPr>
        <w:spacing w:after="0" w:line="123" w:lineRule="exact"/>
        <w:rPr>
          <w:sz w:val="20"/>
          <w:szCs w:val="20"/>
          <w:color w:val="auto"/>
        </w:rPr>
      </w:pPr>
    </w:p>
    <w:p>
      <w:pPr>
        <w:ind w:left="60" w:right="160" w:hanging="53"/>
        <w:spacing w:after="0" w:line="259" w:lineRule="auto"/>
        <w:rPr>
          <w:sz w:val="20"/>
          <w:szCs w:val="20"/>
          <w:color w:val="auto"/>
        </w:rPr>
      </w:pPr>
      <w:r>
        <w:rPr>
          <w:rFonts w:ascii="Arial" w:cs="Arial" w:eastAsia="Arial" w:hAnsi="Arial"/>
          <w:sz w:val="16"/>
          <w:szCs w:val="16"/>
          <w:color w:val="auto"/>
        </w:rPr>
        <w:t>·The Partnership is required to maintain a maximum first-out leverage ratio (total first-out tranche of debt to EBITDA, as defined in the agreement) of: (i) 3.00 to 1.0 for the quarters ended March 31, 2015 through December 31, 2015; (ii) 2.75 to 1.0 for the quarters ended March 31, 2016 through December 31, 2016; and (iii) 2.50 to 1.0 for all quarters thereafter.</w:t>
      </w:r>
    </w:p>
    <w:p>
      <w:pPr>
        <w:spacing w:after="0" w:line="107" w:lineRule="exact"/>
        <w:rPr>
          <w:sz w:val="20"/>
          <w:szCs w:val="20"/>
          <w:color w:val="auto"/>
        </w:rPr>
      </w:pPr>
    </w:p>
    <w:p>
      <w:pPr>
        <w:ind w:left="60" w:right="620" w:hanging="53"/>
        <w:spacing w:after="0" w:line="235" w:lineRule="auto"/>
        <w:rPr>
          <w:sz w:val="20"/>
          <w:szCs w:val="20"/>
          <w:color w:val="auto"/>
        </w:rPr>
      </w:pPr>
      <w:r>
        <w:rPr>
          <w:rFonts w:ascii="Arial" w:cs="Arial" w:eastAsia="Arial" w:hAnsi="Arial"/>
          <w:sz w:val="18"/>
          <w:szCs w:val="18"/>
          <w:color w:val="auto"/>
        </w:rPr>
        <w:t>·The Partnership is required to maintain a minimum liquidity (the sum of cash and cash equivalents, as defined in the agreement) of not less than $10.0 million each quarter through September 30, 2017.</w:t>
      </w:r>
    </w:p>
    <w:p>
      <w:pPr>
        <w:spacing w:after="0" w:line="121" w:lineRule="exact"/>
        <w:rPr>
          <w:sz w:val="20"/>
          <w:szCs w:val="20"/>
          <w:color w:val="auto"/>
        </w:rPr>
      </w:pPr>
    </w:p>
    <w:p>
      <w:pPr>
        <w:ind w:left="60" w:right="340" w:hanging="53"/>
        <w:spacing w:after="0" w:line="235" w:lineRule="auto"/>
        <w:rPr>
          <w:sz w:val="20"/>
          <w:szCs w:val="20"/>
          <w:color w:val="auto"/>
        </w:rPr>
      </w:pPr>
      <w:r>
        <w:rPr>
          <w:rFonts w:ascii="Arial" w:cs="Arial" w:eastAsia="Arial" w:hAnsi="Arial"/>
          <w:sz w:val="18"/>
          <w:szCs w:val="18"/>
          <w:color w:val="auto"/>
        </w:rPr>
        <w:t>·The Partnership is required to maintain a minimum EBITDA (as defined in the agreement) of $17.0 million each quarter through September 30, 2017.</w:t>
      </w:r>
    </w:p>
    <w:p>
      <w:pPr>
        <w:spacing w:after="0" w:line="12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As of December 31, 2014, the Partnership was in compliance with all of the covenants in the credit agreement governing the New Credit Facility. The entire principal amount then outstanding under the New Credit Facility becomes due and payable on November 16, 2017.</w:t>
      </w:r>
    </w:p>
    <w:p>
      <w:pPr>
        <w:spacing w:after="0" w:line="123"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On December 17, 2013, the Partnership redeemed and paid all of the outstanding Second Lien Notes at a redemption price equal to 103.0% of the principal amount. The principal outstanding as of the redemption date totaled $29.4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and the premium paid to the holders on record was $0.8 million. Additionally, the Partnership paid $1.5 million in interest owed for the period from June 16, 2013 through the redemption date. In connection with the extinguishment of the Second Lien Notes, the Partnership recognized a gain of $24.0 million, net of cash interest, the premium and associated fees, representing the difference between the estimated future cash payments of $55.9 million, including principal of $27.5 million and paid-in-kind interest through the maturity date of $28.4 million, and the outstanding amount redeemed.</w:t>
      </w:r>
    </w:p>
    <w:p>
      <w:pPr>
        <w:spacing w:after="0" w:line="11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As of December 31, 2014, the Member Notes totaling $16.6 million, including paid-in-kind interest, were payable to our Members. The Member Notes are subordinate to the New Credit Facility and bear interest at a rate of 5% paid-in-kind per annum, payable semi-annually on June 15 and December 15, beginning on June 15, 2013. Due to the below-market interest rate, interest was imputed on the Member Notes at an estimated market rate of 23%. At issuance in November 2012, a discount in the amount of $8.6 million was recorded on the Member Notes with the offset to Members’ equity based on the present value of expected cash flows. The discount is being amortized as interest expense over the expected life of the notes using the effective interest method. Each of the Member Notes is subject to voluntary prepayment, in whole and part, without premium or penalty and mature on May 16, 2018. The obligations under the Member Notes are unsecured and are not guaranteed by any third party.</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Related parties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An affiliate of each of the Members owns and operates a casino attached and adjacent to Silver Legacy. Our Members may be deemed to be in a conflict of interest position with respect to decisions they make relating to the Partnership as a result of the interests their affiliates have in the Eldorado Hotel &amp; Casino and Circus Circus Hotel &amp; Casino-Reno, respectively.</w:t>
      </w:r>
    </w:p>
    <w:p>
      <w:pPr>
        <w:spacing w:after="0" w:line="10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Partnership believes all of the transactions mentioned below are on terms at least as favorable to the Partnership as would have been obtained from an unrelated party.</w:t>
      </w:r>
    </w:p>
    <w:p>
      <w:pPr>
        <w:spacing w:after="0" w:line="1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Silver Legacy has utilized an aircraft owned by REI, for the purpose of providing air service to select customers. For the years ended December 31, 2014, 2013 and 2012, the Partnership paid $5,520, $20,800 and $9,100, respectively, for such services. Although there is no agreement obligating the Partnership to utilize the plane or entitling it to do so, it is anticipated the Partnership will continue to utilize this service from time to time in the future on terms mutually acceptable to the parties.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Silver Legacy’s marketing and sales departments have utilized a yacht owned by Sierra Adventure Equipment, Inc. (“Sierra</w:t>
      </w:r>
    </w:p>
    <w:p>
      <w:pPr>
        <w:spacing w:after="0"/>
        <w:rPr>
          <w:sz w:val="20"/>
          <w:szCs w:val="20"/>
          <w:color w:val="auto"/>
        </w:rPr>
      </w:pPr>
      <w:r>
        <w:rPr>
          <w:rFonts w:ascii="Arial" w:cs="Arial" w:eastAsia="Arial" w:hAnsi="Arial"/>
          <w:sz w:val="16"/>
          <w:szCs w:val="16"/>
          <w:color w:val="auto"/>
        </w:rPr>
        <w:t>Equipment”) at a flat rate per trip of $3,000 ($2,500 if the trip was shared with our Member, ELLC) for various promotional</w:t>
      </w:r>
    </w:p>
    <w:p>
      <w:pPr>
        <w:spacing w:after="0" w:line="229" w:lineRule="auto"/>
        <w:rPr>
          <w:sz w:val="20"/>
          <w:szCs w:val="20"/>
          <w:color w:val="auto"/>
        </w:rPr>
      </w:pPr>
      <w:r>
        <w:rPr>
          <w:rFonts w:ascii="Arial" w:cs="Arial" w:eastAsia="Arial" w:hAnsi="Arial"/>
          <w:sz w:val="16"/>
          <w:szCs w:val="16"/>
          <w:color w:val="auto"/>
        </w:rPr>
        <w:t>events. The payments made by the Partnership to Sierra Equipment for the use of the yacht totaled $7,500, $12,500 and</w:t>
      </w:r>
    </w:p>
    <w:p>
      <w:pPr>
        <w:spacing w:after="0" w:line="229" w:lineRule="auto"/>
        <w:rPr>
          <w:sz w:val="20"/>
          <w:szCs w:val="20"/>
          <w:color w:val="auto"/>
        </w:rPr>
      </w:pPr>
      <w:r>
        <w:rPr>
          <w:rFonts w:ascii="Arial" w:cs="Arial" w:eastAsia="Arial" w:hAnsi="Arial"/>
          <w:sz w:val="16"/>
          <w:szCs w:val="16"/>
          <w:color w:val="auto"/>
        </w:rPr>
        <w:t>$17,800 during 2014, 2013 and 2012, respectively. Although there is no agreement obligating the Partnership to utilize the</w:t>
      </w:r>
    </w:p>
    <w:p>
      <w:pPr>
        <w:spacing w:after="0" w:line="229" w:lineRule="auto"/>
        <w:rPr>
          <w:sz w:val="20"/>
          <w:szCs w:val="20"/>
          <w:color w:val="auto"/>
        </w:rPr>
      </w:pPr>
      <w:r>
        <w:rPr>
          <w:rFonts w:ascii="Arial" w:cs="Arial" w:eastAsia="Arial" w:hAnsi="Arial"/>
          <w:sz w:val="16"/>
          <w:szCs w:val="16"/>
          <w:color w:val="auto"/>
        </w:rPr>
        <w:t>yacht or entitling it to do so, it is anticipated that the Partnership will continue to utilize this service from time to time in the</w:t>
      </w:r>
    </w:p>
    <w:p>
      <w:pPr>
        <w:spacing w:after="0" w:line="215" w:lineRule="auto"/>
        <w:rPr>
          <w:sz w:val="20"/>
          <w:szCs w:val="20"/>
          <w:color w:val="auto"/>
        </w:rPr>
      </w:pPr>
      <w:r>
        <w:rPr>
          <w:rFonts w:ascii="Arial" w:cs="Arial" w:eastAsia="Arial" w:hAnsi="Arial"/>
          <w:sz w:val="17"/>
          <w:szCs w:val="17"/>
          <w:color w:val="auto"/>
        </w:rPr>
        <w:t>future on terms mutually acceptable to the parties. Sierra Equipment is a limited liability company beneficially owned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REI.</w:t>
      </w:r>
    </w:p>
    <w:p>
      <w:pPr>
        <w:spacing w:after="0" w:line="128" w:lineRule="exact"/>
        <w:rPr>
          <w:sz w:val="20"/>
          <w:szCs w:val="20"/>
          <w:color w:val="auto"/>
        </w:rPr>
      </w:pPr>
    </w:p>
    <w:p>
      <w:pPr>
        <w:ind w:right="240"/>
        <w:spacing w:after="0" w:line="214" w:lineRule="auto"/>
        <w:rPr>
          <w:sz w:val="20"/>
          <w:szCs w:val="20"/>
          <w:color w:val="auto"/>
        </w:rPr>
      </w:pPr>
      <w:r>
        <w:rPr>
          <w:rFonts w:ascii="Arial" w:cs="Arial" w:eastAsia="Arial" w:hAnsi="Arial"/>
          <w:sz w:val="18"/>
          <w:szCs w:val="18"/>
          <w:color w:val="auto"/>
        </w:rPr>
        <w:t>Resorts owns the skywalk that connects Silver Legacy with the Eldorado Hotel &amp; Casino. The charges from the service provider for the utilities associated with this skywalk are billed to the Partnership together with the charges for the utilities associated with Silver Legacy. Such charges are paid to the service provider by the Partnership, and the Partnership is reimbursed by Resorts for the portion of the charges allocable to the utilities provided to the skywalk. The charges for the utilities provided to the skywalk for the years ended December 31, 2014, 2013, and 2012 were $53,600, $57,800 and $52,500, respectively.</w:t>
      </w:r>
    </w:p>
    <w:p>
      <w:pPr>
        <w:spacing w:after="0" w:line="12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Partnership purchases from Eldorado Hotel &amp; Casino homemade pasta and other products for use in the restaurants at Silver Legacy and it is anticipated that the Partnership will continue to make similar purchases in the future. For purchases of these products for the years ended December 31, 2014, 2013 and 2012, which are billed to the Partnership at cost plus associated labor, the Partnership paid Eldorado Hotel &amp; Casino $51,500, $46,200 and $55,600, respectively.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color w:val="auto"/>
        </w:rPr>
        <w:t>The Partnership provides on-site laundry services for Eldorado Hotel &amp; Casino related to the cleaning of certain types of linens. Although there is no agreement obligating Eldorado Hotel &amp; Casino to utilize this service, it is anticipated that the Partnership will continue to provide these laundry services in the future. The Partnership charges Eldorado Hotel &amp; Casino for labor and laundry supplies on a per unit basis which totaled $150,700, $143,100 and $135,400 for the years ended December 31, 2014, 2013 and 2012,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Partnership and Eldorado Hotel &amp; Casino combined certain back-of-the-house and administrative departmental</w:t>
      </w:r>
    </w:p>
    <w:p>
      <w:pPr>
        <w:spacing w:after="0" w:line="203" w:lineRule="auto"/>
        <w:rPr>
          <w:sz w:val="20"/>
          <w:szCs w:val="20"/>
          <w:color w:val="auto"/>
        </w:rPr>
      </w:pPr>
      <w:r>
        <w:rPr>
          <w:rFonts w:ascii="Arial" w:cs="Arial" w:eastAsia="Arial" w:hAnsi="Arial"/>
          <w:sz w:val="18"/>
          <w:szCs w:val="18"/>
          <w:color w:val="auto"/>
        </w:rPr>
        <w:t>operations, including purchasing, advertising, information systems, surveillance, engineering, and various shared</w:t>
      </w:r>
    </w:p>
    <w:p>
      <w:pPr>
        <w:spacing w:after="0" w:line="229" w:lineRule="auto"/>
        <w:rPr>
          <w:sz w:val="20"/>
          <w:szCs w:val="20"/>
          <w:color w:val="auto"/>
        </w:rPr>
      </w:pPr>
      <w:r>
        <w:rPr>
          <w:rFonts w:ascii="Arial" w:cs="Arial" w:eastAsia="Arial" w:hAnsi="Arial"/>
          <w:sz w:val="16"/>
          <w:szCs w:val="16"/>
          <w:color w:val="auto"/>
        </w:rPr>
        <w:t>management positions in an effort to achieve payroll cost savings synergies at multiple properties. Payroll costs associated</w:t>
      </w:r>
    </w:p>
    <w:p>
      <w:pPr>
        <w:spacing w:after="0" w:line="229" w:lineRule="auto"/>
        <w:rPr>
          <w:sz w:val="20"/>
          <w:szCs w:val="20"/>
          <w:color w:val="auto"/>
        </w:rPr>
      </w:pPr>
      <w:r>
        <w:rPr>
          <w:rFonts w:ascii="Arial" w:cs="Arial" w:eastAsia="Arial" w:hAnsi="Arial"/>
          <w:sz w:val="16"/>
          <w:szCs w:val="16"/>
          <w:color w:val="auto"/>
        </w:rPr>
        <w:t>with the combined operations are shared equally and are billed at cost plus an estimated allocation for related benefits and</w:t>
      </w:r>
    </w:p>
    <w:p>
      <w:pPr>
        <w:spacing w:after="0" w:line="216" w:lineRule="auto"/>
        <w:rPr>
          <w:sz w:val="20"/>
          <w:szCs w:val="20"/>
          <w:color w:val="auto"/>
        </w:rPr>
      </w:pPr>
      <w:r>
        <w:rPr>
          <w:rFonts w:ascii="Arial" w:cs="Arial" w:eastAsia="Arial" w:hAnsi="Arial"/>
          <w:sz w:val="17"/>
          <w:szCs w:val="17"/>
          <w:color w:val="auto"/>
        </w:rPr>
        <w:t>taxes. For the years ended December 31, 2014, 2013 and 2012, the Partnership reimbursed Eldorado Hotel &amp; Casino</w:t>
      </w:r>
    </w:p>
    <w:p>
      <w:pPr>
        <w:spacing w:after="0" w:line="229" w:lineRule="auto"/>
        <w:rPr>
          <w:sz w:val="20"/>
          <w:szCs w:val="20"/>
          <w:color w:val="auto"/>
        </w:rPr>
      </w:pPr>
      <w:r>
        <w:rPr>
          <w:rFonts w:ascii="Arial" w:cs="Arial" w:eastAsia="Arial" w:hAnsi="Arial"/>
          <w:sz w:val="16"/>
          <w:szCs w:val="16"/>
          <w:color w:val="auto"/>
        </w:rPr>
        <w:t>$529,400, $584,300 and $602,200, respectively, for the Partnership’s allocable portion of the shared administrative services</w:t>
      </w:r>
    </w:p>
    <w:p>
      <w:pPr>
        <w:spacing w:after="0" w:line="229" w:lineRule="auto"/>
        <w:rPr>
          <w:sz w:val="20"/>
          <w:szCs w:val="20"/>
          <w:color w:val="auto"/>
        </w:rPr>
      </w:pPr>
      <w:r>
        <w:rPr>
          <w:rFonts w:ascii="Arial" w:cs="Arial" w:eastAsia="Arial" w:hAnsi="Arial"/>
          <w:sz w:val="16"/>
          <w:szCs w:val="16"/>
          <w:color w:val="auto"/>
        </w:rPr>
        <w:t>costs associated with the operations performed at the properties. For the years ended December 31, 2014, 2013 and 2012,</w:t>
      </w:r>
    </w:p>
    <w:p>
      <w:pPr>
        <w:spacing w:after="0" w:line="215" w:lineRule="auto"/>
        <w:rPr>
          <w:sz w:val="20"/>
          <w:szCs w:val="20"/>
          <w:color w:val="auto"/>
        </w:rPr>
      </w:pPr>
      <w:r>
        <w:rPr>
          <w:rFonts w:ascii="Arial" w:cs="Arial" w:eastAsia="Arial" w:hAnsi="Arial"/>
          <w:sz w:val="17"/>
          <w:szCs w:val="17"/>
          <w:color w:val="auto"/>
        </w:rPr>
        <w:t>Eldorado Hotel &amp; Casino reimbursed the Partnership $250,800, $259,700 and $313,200, respectively, for their allocable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portion of the shared administrative services costs associated with the operations performed at Silver Legacy.</w:t>
      </w:r>
    </w:p>
    <w:p>
      <w:pPr>
        <w:spacing w:after="0" w:line="12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Partnership utilizes 235 spaces in the parking garage at Circus Circus Hotel and Casino to provide parking for employees of Silver Legacy. In consideration for its use of the spaces, the Partnership pays Circus Circus Hotel and Casino rent in the amount of $5,000 per month. The Partnership also utilizes an uncovered parking lot adjacent to Circus Circus Hotel and Casino for oversize vehicles. In consideration for its use of the space, the Partnership pays Circus Circus Hotel and Casino rent in the amount of $800 per month. Although there is no agreement obligating the Partnership to continue utilizing the spaces or entitling it to do so, it is anticipated that the Partnership will continue this agreement for the foreseeable future.</w:t>
      </w:r>
    </w:p>
    <w:p>
      <w:pPr>
        <w:spacing w:after="0" w:line="120"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As of December 31, 2014, the Partnership’s related parties receivable was $0.4 million and payable was $0.1 million. As of December 31, 2013, the Partnership’s related parties receivable was $0.2 million and payable was $0.3 million. Related parties receivable and payable are included in “Accounts receivable, net” and “Accounts payable,” respectively, on the Partnership’s consolidated balance sheets.</w:t>
      </w:r>
    </w:p>
    <w:p>
      <w:pPr>
        <w:spacing w:after="0" w:line="1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Employee retirement plans</w:t>
      </w:r>
    </w:p>
    <w:p>
      <w:pPr>
        <w:spacing w:after="0" w:line="14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The Partnership instituted a defined contribution 401(k) plan in September 1995 which covers all employees who meet certain age and length of service requirements and allowed for an employer contribution up to 25 percent of the first six percent of each participating employee’s compensation. Plan participants can elect to defer before tax compensation through payroll deductions. Those deferrals are regulated under Section 401(k) of the Internal Revenue Code. In conjunction with implemented cost savings programs, the Partnership discontinued the employer matching contribution in February 2009. Effective February 1, 2014, the Partnership reinstated an employer matching contribution up to 25 percent of the first four percent of each participating employee’s compensation. Matching contributions for the year ended December 31, 2014 were $0.2 million. The Partnership did not make any matching contributions for the years ended December 31, 2013 and 2012.</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Effective January 1, 2002, the Partnership adopted a Supplemental Executive Retirement Plan (“SERP”) for a select group of highly compensated management employees. The SERP provided for a lifetime benefit at age 60, based on a formula which takes into account a participant’s highest annual compensation, years of service, and executive level. The SERP also provided an early retirement benefit at age 55 with at least four years of service, a disability provision, and a lump sum death benefit. The obligation was being funded through life insurance contracts on the participants and related cash surrender value. Effective October 1, 2013, the Partnership terminated the SERP and liquidated the life insurance contracts (see Note 4). The Partnership’s periodic pension benefit was $0.3 million for the year ended December 31, 2014. The Partnership’s periodic pension costs were $0.7 million and $0.8 million, respectively, for the years ended December 31, 2013 and 2012.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summarizes activity in the SERP for the years ended December 31, 2014 and 2013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r>
      <w:tr>
        <w:trPr>
          <w:trHeight w:val="169"/>
        </w:trPr>
        <w:tc>
          <w:tcPr>
            <w:tcW w:w="48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Changes in Projected Benefit Obligation:</w:t>
            </w: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Projected benefit obligation at beginning of year</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7,607</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10,555</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(3,221)</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r>
      <w:tr>
        <w:trPr>
          <w:trHeight w:val="210"/>
        </w:trPr>
        <w:tc>
          <w:tcPr>
            <w:tcW w:w="4880" w:type="dxa"/>
            <w:vAlign w:val="bottom"/>
          </w:tcPr>
          <w:p>
            <w:pPr>
              <w:ind w:left="360"/>
              <w:spacing w:after="0"/>
              <w:rPr>
                <w:sz w:val="20"/>
                <w:szCs w:val="20"/>
                <w:color w:val="auto"/>
              </w:rPr>
            </w:pPr>
            <w:r>
              <w:rPr>
                <w:rFonts w:ascii="Arial" w:cs="Arial" w:eastAsia="Arial" w:hAnsi="Arial"/>
                <w:sz w:val="18"/>
                <w:szCs w:val="18"/>
                <w:color w:val="auto"/>
              </w:rPr>
              <w:t>Projected benefit obligation at end of year</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7,607</w:t>
            </w:r>
          </w:p>
        </w:tc>
        <w:tc>
          <w:tcPr>
            <w:tcW w:w="60" w:type="dxa"/>
            <w:vAlign w:val="bottom"/>
          </w:tcPr>
          <w:p>
            <w:pPr>
              <w:spacing w:after="0"/>
              <w:rPr>
                <w:sz w:val="18"/>
                <w:szCs w:val="18"/>
                <w:color w:val="auto"/>
              </w:rPr>
            </w:pPr>
          </w:p>
        </w:tc>
      </w:tr>
      <w:tr>
        <w:trPr>
          <w:trHeight w:val="169"/>
        </w:trPr>
        <w:tc>
          <w:tcPr>
            <w:tcW w:w="4880" w:type="dxa"/>
            <w:vAlign w:val="bottom"/>
            <w:tcBorders>
              <w:top w:val="single" w:sz="8" w:color="CCEEFF"/>
            </w:tcBorders>
            <w:shd w:val="clear" w:color="auto" w:fill="CCEEFF"/>
          </w:tcPr>
          <w:p>
            <w:pPr>
              <w:ind w:left="360"/>
              <w:spacing w:after="0" w:line="170" w:lineRule="exact"/>
              <w:rPr>
                <w:sz w:val="20"/>
                <w:szCs w:val="20"/>
                <w:color w:val="auto"/>
              </w:rPr>
            </w:pPr>
            <w:r>
              <w:rPr>
                <w:rFonts w:ascii="Arial" w:cs="Arial" w:eastAsia="Arial" w:hAnsi="Arial"/>
                <w:sz w:val="18"/>
                <w:szCs w:val="18"/>
                <w:color w:val="auto"/>
              </w:rPr>
              <w:t>Fair value of plan assets at end of year(1)</w:t>
            </w:r>
          </w:p>
        </w:tc>
        <w:tc>
          <w:tcPr>
            <w:tcW w:w="1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r>
      <w:tr>
        <w:trPr>
          <w:trHeight w:val="169"/>
        </w:trPr>
        <w:tc>
          <w:tcPr>
            <w:tcW w:w="5300" w:type="dxa"/>
            <w:vAlign w:val="bottom"/>
            <w:tcBorders>
              <w:top w:val="single" w:sz="8" w:color="CCEEFF"/>
            </w:tcBorders>
            <w:shd w:val="clear" w:color="auto" w:fill="CCEEFF"/>
          </w:tcPr>
          <w:p>
            <w:pPr>
              <w:jc w:val="center"/>
              <w:ind w:right="2850"/>
              <w:spacing w:after="0" w:line="170" w:lineRule="exact"/>
              <w:rPr>
                <w:sz w:val="20"/>
                <w:szCs w:val="20"/>
                <w:color w:val="auto"/>
              </w:rPr>
            </w:pPr>
            <w:r>
              <w:rPr>
                <w:rFonts w:ascii="Arial" w:cs="Arial" w:eastAsia="Arial" w:hAnsi="Arial"/>
                <w:sz w:val="18"/>
                <w:szCs w:val="18"/>
                <w:color w:val="auto"/>
                <w:w w:val="91"/>
              </w:rPr>
              <w:t>Reconciliation of Funded Status:</w:t>
            </w:r>
          </w:p>
        </w:tc>
        <w:tc>
          <w:tcPr>
            <w:tcW w:w="8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Funded status</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(7,607)</w:t>
            </w:r>
          </w:p>
        </w:tc>
        <w:tc>
          <w:tcPr>
            <w:tcW w:w="2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actuarial (gain) loss</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60" w:type="dxa"/>
            <w:vAlign w:val="bottom"/>
            <w:shd w:val="clear" w:color="auto" w:fill="CCEEFF"/>
          </w:tcPr>
          <w:p>
            <w:pPr>
              <w:spacing w:after="0"/>
              <w:rPr>
                <w:sz w:val="18"/>
                <w:szCs w:val="18"/>
                <w:color w:val="auto"/>
              </w:rPr>
            </w:pPr>
          </w:p>
        </w:tc>
      </w:tr>
      <w:tr>
        <w:trPr>
          <w:trHeight w:val="176"/>
        </w:trPr>
        <w:tc>
          <w:tcPr>
            <w:tcW w:w="5300" w:type="dxa"/>
            <w:vAlign w:val="bottom"/>
            <w:tcBorders>
              <w:bottom w:val="single" w:sz="8" w:color="CCEEFF"/>
            </w:tcBorders>
          </w:tcPr>
          <w:p>
            <w:pPr>
              <w:ind w:left="180"/>
              <w:spacing w:after="0" w:line="176" w:lineRule="exact"/>
              <w:rPr>
                <w:sz w:val="20"/>
                <w:szCs w:val="20"/>
                <w:color w:val="auto"/>
              </w:rPr>
            </w:pPr>
            <w:r>
              <w:rPr>
                <w:rFonts w:ascii="Arial" w:cs="Arial" w:eastAsia="Arial" w:hAnsi="Arial"/>
                <w:sz w:val="18"/>
                <w:szCs w:val="18"/>
                <w:color w:val="auto"/>
              </w:rPr>
              <w:t>Unrecognized prior service cost</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5"/>
                <w:szCs w:val="15"/>
                <w:color w:val="auto"/>
              </w:rPr>
            </w:pPr>
          </w:p>
        </w:tc>
      </w:tr>
      <w:tr>
        <w:trPr>
          <w:trHeight w:val="210"/>
        </w:trPr>
        <w:tc>
          <w:tcPr>
            <w:tcW w:w="5300" w:type="dxa"/>
            <w:vAlign w:val="bottom"/>
            <w:shd w:val="clear" w:color="auto" w:fill="CCEEFF"/>
          </w:tcPr>
          <w:p>
            <w:pPr>
              <w:jc w:val="center"/>
              <w:ind w:right="2810"/>
              <w:spacing w:after="0"/>
              <w:rPr>
                <w:sz w:val="20"/>
                <w:szCs w:val="20"/>
                <w:color w:val="auto"/>
              </w:rPr>
            </w:pPr>
            <w:r>
              <w:rPr>
                <w:rFonts w:ascii="Arial" w:cs="Arial" w:eastAsia="Arial" w:hAnsi="Arial"/>
                <w:sz w:val="18"/>
                <w:szCs w:val="18"/>
                <w:color w:val="auto"/>
                <w:w w:val="90"/>
              </w:rPr>
              <w:t>Net amount recognized</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260" w:type="dxa"/>
            <w:vAlign w:val="bottom"/>
            <w:shd w:val="clear" w:color="auto" w:fill="CCEEFF"/>
          </w:tcPr>
          <w:p>
            <w:pPr>
              <w:spacing w:after="0"/>
              <w:rPr>
                <w:sz w:val="18"/>
                <w:szCs w:val="18"/>
                <w:color w:val="auto"/>
              </w:rPr>
            </w:pPr>
          </w:p>
        </w:tc>
      </w:tr>
      <w:tr>
        <w:trPr>
          <w:trHeight w:val="169"/>
        </w:trPr>
        <w:tc>
          <w:tcPr>
            <w:tcW w:w="5300" w:type="dxa"/>
            <w:vAlign w:val="bottom"/>
          </w:tcPr>
          <w:p>
            <w:pPr>
              <w:spacing w:after="0" w:line="170" w:lineRule="exact"/>
              <w:rPr>
                <w:sz w:val="20"/>
                <w:szCs w:val="20"/>
                <w:color w:val="auto"/>
              </w:rPr>
            </w:pPr>
            <w:r>
              <w:rPr>
                <w:rFonts w:ascii="Arial" w:cs="Arial" w:eastAsia="Arial" w:hAnsi="Arial"/>
                <w:sz w:val="18"/>
                <w:szCs w:val="18"/>
                <w:color w:val="auto"/>
              </w:rPr>
              <w:t>Amounts Recognized on the Consolidated Balance Sheet:</w:t>
            </w:r>
          </w:p>
        </w:tc>
        <w:tc>
          <w:tcPr>
            <w:tcW w:w="8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net pension cost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260" w:type="dxa"/>
            <w:vAlign w:val="bottom"/>
            <w:shd w:val="clear" w:color="auto" w:fill="CCEEFF"/>
          </w:tcPr>
          <w:p>
            <w:pPr>
              <w:spacing w:after="0"/>
              <w:rPr>
                <w:sz w:val="18"/>
                <w:szCs w:val="18"/>
                <w:color w:val="auto"/>
              </w:rPr>
            </w:pPr>
          </w:p>
        </w:tc>
      </w:tr>
      <w:tr>
        <w:trPr>
          <w:trHeight w:val="176"/>
        </w:trPr>
        <w:tc>
          <w:tcPr>
            <w:tcW w:w="5300" w:type="dxa"/>
            <w:vAlign w:val="bottom"/>
          </w:tcPr>
          <w:p>
            <w:pPr>
              <w:ind w:left="180"/>
              <w:spacing w:after="0" w:line="176" w:lineRule="exact"/>
              <w:rPr>
                <w:sz w:val="20"/>
                <w:szCs w:val="20"/>
                <w:color w:val="auto"/>
              </w:rPr>
            </w:pPr>
            <w:r>
              <w:rPr>
                <w:rFonts w:ascii="Arial" w:cs="Arial" w:eastAsia="Arial" w:hAnsi="Arial"/>
                <w:sz w:val="18"/>
                <w:szCs w:val="18"/>
                <w:color w:val="auto"/>
              </w:rPr>
              <w:t>Additional minimum liability</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ind w:left="160"/>
              <w:spacing w:after="0" w:line="17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8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60" w:type="dxa"/>
            <w:vAlign w:val="bottom"/>
            <w:shd w:val="clear" w:color="auto" w:fill="CCEEFF"/>
          </w:tcPr>
          <w:p>
            <w:pPr>
              <w:spacing w:after="0"/>
              <w:rPr>
                <w:sz w:val="18"/>
                <w:szCs w:val="18"/>
                <w:color w:val="auto"/>
              </w:rPr>
            </w:pPr>
          </w:p>
        </w:tc>
      </w:tr>
      <w:tr>
        <w:trPr>
          <w:trHeight w:val="210"/>
        </w:trPr>
        <w:tc>
          <w:tcPr>
            <w:tcW w:w="5300" w:type="dxa"/>
            <w:vAlign w:val="bottom"/>
          </w:tcPr>
          <w:p>
            <w:pPr>
              <w:jc w:val="center"/>
              <w:ind w:right="2810"/>
              <w:spacing w:after="0"/>
              <w:rPr>
                <w:sz w:val="20"/>
                <w:szCs w:val="20"/>
                <w:color w:val="auto"/>
              </w:rPr>
            </w:pPr>
            <w:r>
              <w:rPr>
                <w:rFonts w:ascii="Arial" w:cs="Arial" w:eastAsia="Arial" w:hAnsi="Arial"/>
                <w:sz w:val="18"/>
                <w:szCs w:val="18"/>
                <w:color w:val="auto"/>
                <w:w w:val="90"/>
              </w:rPr>
              <w:t>Net amount recognized</w:t>
            </w: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(9,371)</w:t>
            </w:r>
          </w:p>
        </w:tc>
        <w:tc>
          <w:tcPr>
            <w:tcW w:w="260" w:type="dxa"/>
            <w:vAlign w:val="bottom"/>
          </w:tcPr>
          <w:p>
            <w:pPr>
              <w:spacing w:after="0"/>
              <w:rPr>
                <w:sz w:val="18"/>
                <w:szCs w:val="18"/>
                <w:color w:val="auto"/>
              </w:rPr>
            </w:pPr>
          </w:p>
        </w:tc>
      </w:tr>
      <w:tr>
        <w:trPr>
          <w:trHeight w:val="169"/>
        </w:trPr>
        <w:tc>
          <w:tcPr>
            <w:tcW w:w="5300" w:type="dxa"/>
            <w:vAlign w:val="bottom"/>
            <w:tcBorders>
              <w:top w:val="single" w:sz="8" w:color="CCEEFF"/>
            </w:tcBorders>
            <w:shd w:val="clear" w:color="auto" w:fill="CCEEFF"/>
          </w:tcPr>
          <w:p>
            <w:pPr>
              <w:jc w:val="center"/>
              <w:ind w:right="2850"/>
              <w:spacing w:after="0" w:line="170" w:lineRule="exact"/>
              <w:rPr>
                <w:sz w:val="20"/>
                <w:szCs w:val="20"/>
                <w:color w:val="auto"/>
              </w:rPr>
            </w:pPr>
            <w:r>
              <w:rPr>
                <w:rFonts w:ascii="Arial" w:cs="Arial" w:eastAsia="Arial" w:hAnsi="Arial"/>
                <w:sz w:val="18"/>
                <w:szCs w:val="18"/>
                <w:color w:val="auto"/>
                <w:w w:val="90"/>
              </w:rPr>
              <w:t>Weighted Average Assumptions:</w:t>
            </w:r>
          </w:p>
        </w:tc>
        <w:tc>
          <w:tcPr>
            <w:tcW w:w="8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r>
      <w:tr>
        <w:trPr>
          <w:trHeight w:val="176"/>
        </w:trPr>
        <w:tc>
          <w:tcPr>
            <w:tcW w:w="5300" w:type="dxa"/>
            <w:vAlign w:val="bottom"/>
          </w:tcPr>
          <w:p>
            <w:pPr>
              <w:ind w:left="180"/>
              <w:spacing w:after="0" w:line="176" w:lineRule="exact"/>
              <w:rPr>
                <w:sz w:val="20"/>
                <w:szCs w:val="20"/>
                <w:color w:val="auto"/>
              </w:rPr>
            </w:pPr>
            <w:r>
              <w:rPr>
                <w:rFonts w:ascii="Arial" w:cs="Arial" w:eastAsia="Arial" w:hAnsi="Arial"/>
                <w:sz w:val="18"/>
                <w:szCs w:val="18"/>
                <w:color w:val="auto"/>
              </w:rPr>
              <w:t>Discount rate used to determine benefit obligations(2)</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ind w:left="160"/>
              <w:spacing w:after="0" w:line="17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0.38%/6.00%</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rate used to determine net periodic benefit cost(2)</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3.31 %</w:t>
            </w:r>
          </w:p>
        </w:tc>
      </w:tr>
      <w:tr>
        <w:trPr>
          <w:trHeight w:val="176"/>
        </w:trPr>
        <w:tc>
          <w:tcPr>
            <w:tcW w:w="5300" w:type="dxa"/>
            <w:vAlign w:val="bottom"/>
          </w:tcPr>
          <w:p>
            <w:pPr>
              <w:ind w:left="180"/>
              <w:spacing w:after="0" w:line="176" w:lineRule="exact"/>
              <w:rPr>
                <w:sz w:val="20"/>
                <w:szCs w:val="20"/>
                <w:color w:val="auto"/>
              </w:rPr>
            </w:pPr>
            <w:r>
              <w:rPr>
                <w:rFonts w:ascii="Arial" w:cs="Arial" w:eastAsia="Arial" w:hAnsi="Arial"/>
                <w:sz w:val="18"/>
                <w:szCs w:val="18"/>
                <w:color w:val="auto"/>
              </w:rPr>
              <w:t>Rate of compensation increase</w:t>
            </w:r>
          </w:p>
        </w:tc>
        <w:tc>
          <w:tcPr>
            <w:tcW w:w="8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160"/>
              <w:spacing w:after="0" w:line="176"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7" w:lineRule="exact"/>
        <w:rPr>
          <w:sz w:val="20"/>
          <w:szCs w:val="20"/>
          <w:color w:val="auto"/>
        </w:rPr>
      </w:pPr>
    </w:p>
    <w:p>
      <w:pPr>
        <w:ind w:left="220" w:right="60" w:hanging="215"/>
        <w:spacing w:after="0" w:line="219" w:lineRule="auto"/>
        <w:rPr>
          <w:sz w:val="20"/>
          <w:szCs w:val="20"/>
          <w:color w:val="auto"/>
        </w:rPr>
      </w:pPr>
      <w:r>
        <w:rPr>
          <w:rFonts w:ascii="Arial" w:cs="Arial" w:eastAsia="Arial" w:hAnsi="Arial"/>
          <w:sz w:val="18"/>
          <w:szCs w:val="18"/>
          <w:color w:val="auto"/>
        </w:rPr>
        <w:t>(1)While the SERP is an unfunded plan, the Partnership was funding the plan through life insurance contracts on the participants. Effective October 1, 2013, the SERP was terminated and the life insurance contracts were subsequently liquidated. The cash surrender value at December 31, 2013 was $7.4 million and was included in the Partnership’s current assets because the benefits were paid to the participants in 2014.</w:t>
      </w:r>
    </w:p>
    <w:p>
      <w:pPr>
        <w:spacing w:after="0" w:line="122" w:lineRule="exact"/>
        <w:rPr>
          <w:sz w:val="20"/>
          <w:szCs w:val="20"/>
          <w:color w:val="auto"/>
        </w:rPr>
      </w:pPr>
    </w:p>
    <w:p>
      <w:pPr>
        <w:ind w:left="220" w:right="100" w:hanging="215"/>
        <w:spacing w:after="0" w:line="249" w:lineRule="auto"/>
        <w:rPr>
          <w:sz w:val="20"/>
          <w:szCs w:val="20"/>
          <w:color w:val="auto"/>
        </w:rPr>
      </w:pPr>
      <w:r>
        <w:rPr>
          <w:rFonts w:ascii="Arial" w:cs="Arial" w:eastAsia="Arial" w:hAnsi="Arial"/>
          <w:sz w:val="16"/>
          <w:szCs w:val="16"/>
          <w:color w:val="auto"/>
        </w:rPr>
        <w:t>(2)The discount rate utilized as of December 31, 2013 to determine the present value of the lump-sum benefit payments was 6.0% as specified in the SERP plan document. Additionally, a discount rate of 0.38%, based on an average of the Citigroup Pension Liability Index for six months and one year, was utilized to determine the present value of the benefit payments for the period from January 1, 2014 through October 1, 2014, which was the benefit payment date.</w:t>
      </w:r>
    </w:p>
    <w:p>
      <w:pPr>
        <w:spacing w:after="0" w:line="11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The components of net periodic pension cost were as follows for the years ended December 31, 2014, 2013 and 2012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4"/>
                <w:szCs w:val="14"/>
                <w:color w:val="auto"/>
              </w:rPr>
            </w:pPr>
          </w:p>
        </w:tc>
      </w:tr>
      <w:tr>
        <w:trPr>
          <w:trHeight w:val="169"/>
        </w:trPr>
        <w:tc>
          <w:tcPr>
            <w:tcW w:w="4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Components of Net Pension Cost:</w:t>
            </w:r>
          </w:p>
        </w:tc>
        <w:tc>
          <w:tcPr>
            <w:tcW w:w="1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Current period service cost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prior service cost</w:t>
            </w: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CEEFF"/>
            </w:tcBorders>
          </w:tcPr>
          <w:p>
            <w:pPr>
              <w:spacing w:after="0"/>
              <w:rPr>
                <w:sz w:val="18"/>
                <w:szCs w:val="18"/>
                <w:color w:val="auto"/>
              </w:rPr>
            </w:pPr>
          </w:p>
        </w:tc>
      </w:tr>
      <w:tr>
        <w:trPr>
          <w:trHeight w:val="21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expense</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60" w:type="dxa"/>
            <w:vAlign w:val="bottom"/>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color w:val="auto"/>
        </w:rPr>
        <w:t>Benefit payments, totaling $7.6 million were paid in 2014 as a result of the termination of the SERP representing the Partnership’s release from any further benefit payment obligations under the terms of the SERP plan document.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44"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color w:val="auto"/>
        </w:rPr>
        <w:t>The Partnership leases land and equipment under operating leases. Future minimum payments under noncancellable operating leases with initial terms of one year or more consisted of the following at December 31, 2014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r>
      <w:tr>
        <w:trPr>
          <w:trHeight w:val="176"/>
        </w:trPr>
        <w:tc>
          <w:tcPr>
            <w:tcW w:w="8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Thereafter</w:t>
            </w:r>
          </w:p>
        </w:tc>
        <w:tc>
          <w:tcPr>
            <w:tcW w:w="3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80"/>
              <w:spacing w:after="0" w:line="176" w:lineRule="exact"/>
              <w:rPr>
                <w:sz w:val="20"/>
                <w:szCs w:val="20"/>
                <w:color w:val="auto"/>
              </w:rPr>
            </w:pPr>
            <w:r>
              <w:rPr>
                <w:rFonts w:ascii="Arial" w:cs="Arial" w:eastAsia="Arial" w:hAnsi="Arial"/>
                <w:sz w:val="18"/>
                <w:szCs w:val="18"/>
                <w:color w:val="auto"/>
              </w:rPr>
              <w:t>—</w:t>
            </w:r>
          </w:p>
        </w:tc>
      </w:tr>
      <w:tr>
        <w:trPr>
          <w:trHeight w:val="210"/>
        </w:trPr>
        <w:tc>
          <w:tcPr>
            <w:tcW w:w="80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r>
    </w:tbl>
    <w:p>
      <w:pPr>
        <w:spacing w:after="0" w:line="14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Total rental expense under operating leases was $0.5 million for each of the years ended December 31, 2014, 2013 and 2012, respectively, which include rental payments associated with cancellable operating leases with terms less than one year.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44"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color w:val="auto"/>
        </w:rPr>
        <w:t>The Partnership is party to various litigation arising in the normal course of business. Management is of the opinion that the ultimate resolution of these matters will not have a material effect on the financial position or the results of operations of the Partnership.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use tax</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March 2008, the Nevada Supreme Court ruled, in a case involving another gaming company, that food and non-alcoholic</w:t>
      </w:r>
    </w:p>
    <w:p>
      <w:pPr>
        <w:spacing w:after="0"/>
        <w:rPr>
          <w:sz w:val="20"/>
          <w:szCs w:val="20"/>
          <w:color w:val="auto"/>
        </w:rPr>
      </w:pPr>
      <w:r>
        <w:rPr>
          <w:rFonts w:ascii="Arial" w:cs="Arial" w:eastAsia="Arial" w:hAnsi="Arial"/>
          <w:sz w:val="16"/>
          <w:szCs w:val="16"/>
          <w:color w:val="auto"/>
        </w:rPr>
        <w:t>beverages purchased for use in providing complimentary meals to customers and to employees were exempt from use tax.</w:t>
      </w:r>
    </w:p>
    <w:p>
      <w:pPr>
        <w:spacing w:after="0" w:line="215" w:lineRule="auto"/>
        <w:rPr>
          <w:sz w:val="20"/>
          <w:szCs w:val="20"/>
          <w:color w:val="auto"/>
        </w:rPr>
      </w:pPr>
      <w:r>
        <w:rPr>
          <w:rFonts w:ascii="Arial" w:cs="Arial" w:eastAsia="Arial" w:hAnsi="Arial"/>
          <w:sz w:val="17"/>
          <w:szCs w:val="17"/>
          <w:color w:val="auto"/>
        </w:rPr>
        <w:t>The Partnership had previously paid use tax on these items and had generally filed for refunds totaling approximately</w:t>
      </w:r>
    </w:p>
    <w:p>
      <w:pPr>
        <w:spacing w:after="0" w:line="229" w:lineRule="auto"/>
        <w:rPr>
          <w:sz w:val="20"/>
          <w:szCs w:val="20"/>
          <w:color w:val="auto"/>
        </w:rPr>
      </w:pPr>
      <w:r>
        <w:rPr>
          <w:rFonts w:ascii="Arial" w:cs="Arial" w:eastAsia="Arial" w:hAnsi="Arial"/>
          <w:sz w:val="16"/>
          <w:szCs w:val="16"/>
          <w:color w:val="auto"/>
        </w:rPr>
        <w:t>$1.5 million for the periods from February 2000 to February 2008 related to this matter, which refunds had not been paid.</w:t>
      </w:r>
    </w:p>
    <w:p>
      <w:pPr>
        <w:spacing w:after="0" w:line="229" w:lineRule="auto"/>
        <w:rPr>
          <w:sz w:val="20"/>
          <w:szCs w:val="20"/>
          <w:color w:val="auto"/>
        </w:rPr>
      </w:pPr>
      <w:r>
        <w:rPr>
          <w:rFonts w:ascii="Arial" w:cs="Arial" w:eastAsia="Arial" w:hAnsi="Arial"/>
          <w:sz w:val="16"/>
          <w:szCs w:val="16"/>
          <w:color w:val="auto"/>
        </w:rPr>
        <w:t>The Partnership claimed the exemption on sales and use tax returns for periods after February 2008 in light of this Supreme</w:t>
      </w:r>
    </w:p>
    <w:p>
      <w:pPr>
        <w:spacing w:after="0" w:line="229" w:lineRule="auto"/>
        <w:rPr>
          <w:sz w:val="20"/>
          <w:szCs w:val="20"/>
          <w:color w:val="auto"/>
        </w:rPr>
      </w:pPr>
      <w:r>
        <w:rPr>
          <w:rFonts w:ascii="Arial" w:cs="Arial" w:eastAsia="Arial" w:hAnsi="Arial"/>
          <w:sz w:val="16"/>
          <w:szCs w:val="16"/>
          <w:color w:val="auto"/>
        </w:rPr>
        <w:t>Court decision and had not accrued or paid any sales or use tax for those periods. In February 2012, the Nevada Department</w:t>
      </w:r>
    </w:p>
    <w:p>
      <w:pPr>
        <w:spacing w:after="0" w:line="229" w:lineRule="auto"/>
        <w:rPr>
          <w:sz w:val="20"/>
          <w:szCs w:val="20"/>
          <w:color w:val="auto"/>
        </w:rPr>
      </w:pPr>
      <w:r>
        <w:rPr>
          <w:rFonts w:ascii="Arial" w:cs="Arial" w:eastAsia="Arial" w:hAnsi="Arial"/>
          <w:sz w:val="16"/>
          <w:szCs w:val="16"/>
          <w:color w:val="auto"/>
        </w:rPr>
        <w:t>of Taxation asserted that customer complimentary meals and employee meals are subject to sales tax on a prospective basis</w:t>
      </w:r>
    </w:p>
    <w:p>
      <w:pPr>
        <w:spacing w:after="0" w:line="229" w:lineRule="auto"/>
        <w:rPr>
          <w:sz w:val="20"/>
          <w:szCs w:val="20"/>
          <w:color w:val="auto"/>
        </w:rPr>
      </w:pPr>
      <w:r>
        <w:rPr>
          <w:rFonts w:ascii="Arial" w:cs="Arial" w:eastAsia="Arial" w:hAnsi="Arial"/>
          <w:sz w:val="16"/>
          <w:szCs w:val="16"/>
          <w:color w:val="auto"/>
        </w:rPr>
        <w:t>commencing February 15, 2012. In July 2012, the Nevada Department of Taxation announced that sales taxes applicable to</w:t>
      </w:r>
    </w:p>
    <w:p>
      <w:pPr>
        <w:spacing w:after="0" w:line="229" w:lineRule="auto"/>
        <w:rPr>
          <w:sz w:val="20"/>
          <w:szCs w:val="20"/>
          <w:color w:val="auto"/>
        </w:rPr>
      </w:pPr>
      <w:r>
        <w:rPr>
          <w:rFonts w:ascii="Arial" w:cs="Arial" w:eastAsia="Arial" w:hAnsi="Arial"/>
          <w:sz w:val="16"/>
          <w:szCs w:val="16"/>
          <w:color w:val="auto"/>
        </w:rPr>
        <w:t>such meals were due and payable without penalty or interest at the earlier of certain regulatory, judicial or legislative events</w:t>
      </w:r>
    </w:p>
    <w:p>
      <w:pPr>
        <w:spacing w:after="0" w:line="229" w:lineRule="auto"/>
        <w:rPr>
          <w:sz w:val="20"/>
          <w:szCs w:val="20"/>
          <w:color w:val="auto"/>
        </w:rPr>
      </w:pPr>
      <w:r>
        <w:rPr>
          <w:rFonts w:ascii="Arial" w:cs="Arial" w:eastAsia="Arial" w:hAnsi="Arial"/>
          <w:sz w:val="16"/>
          <w:szCs w:val="16"/>
          <w:color w:val="auto"/>
        </w:rPr>
        <w:t>or September 30, 2013. The Nevada Department of Taxation’s position stemmed from a Nevada Tax Commission decision</w:t>
      </w:r>
    </w:p>
    <w:p>
      <w:pPr>
        <w:spacing w:after="0" w:line="229" w:lineRule="auto"/>
        <w:rPr>
          <w:sz w:val="20"/>
          <w:szCs w:val="20"/>
          <w:color w:val="auto"/>
        </w:rPr>
      </w:pPr>
      <w:r>
        <w:rPr>
          <w:rFonts w:ascii="Arial" w:cs="Arial" w:eastAsia="Arial" w:hAnsi="Arial"/>
          <w:sz w:val="16"/>
          <w:szCs w:val="16"/>
          <w:color w:val="auto"/>
        </w:rPr>
        <w:t>concerning another gaming company which stated that complimentary meals provided to customers are subject to sales tax at</w:t>
      </w:r>
    </w:p>
    <w:p>
      <w:pPr>
        <w:spacing w:after="0" w:line="229" w:lineRule="auto"/>
        <w:rPr>
          <w:sz w:val="20"/>
          <w:szCs w:val="20"/>
          <w:color w:val="auto"/>
        </w:rPr>
      </w:pPr>
      <w:r>
        <w:rPr>
          <w:rFonts w:ascii="Arial" w:cs="Arial" w:eastAsia="Arial" w:hAnsi="Arial"/>
          <w:sz w:val="16"/>
          <w:szCs w:val="16"/>
          <w:color w:val="auto"/>
        </w:rPr>
        <w:t>the retail value of the meal and employee meals are subject to sales tax at the cost of the meal. The Clark County District</w:t>
      </w:r>
    </w:p>
    <w:p>
      <w:pPr>
        <w:spacing w:after="0" w:line="229" w:lineRule="auto"/>
        <w:rPr>
          <w:sz w:val="20"/>
          <w:szCs w:val="20"/>
          <w:color w:val="auto"/>
        </w:rPr>
      </w:pPr>
      <w:r>
        <w:rPr>
          <w:rFonts w:ascii="Arial" w:cs="Arial" w:eastAsia="Arial" w:hAnsi="Arial"/>
          <w:sz w:val="16"/>
          <w:szCs w:val="16"/>
          <w:color w:val="auto"/>
        </w:rPr>
        <w:t>Court subsequently issued a ruling in such case that held that complimentary meals provided to customers were subject to</w:t>
      </w:r>
    </w:p>
    <w:p>
      <w:pPr>
        <w:spacing w:after="0" w:line="229" w:lineRule="auto"/>
        <w:rPr>
          <w:sz w:val="20"/>
          <w:szCs w:val="20"/>
          <w:color w:val="auto"/>
        </w:rPr>
      </w:pPr>
      <w:r>
        <w:rPr>
          <w:rFonts w:ascii="Arial" w:cs="Arial" w:eastAsia="Arial" w:hAnsi="Arial"/>
          <w:sz w:val="16"/>
          <w:szCs w:val="16"/>
          <w:color w:val="auto"/>
        </w:rPr>
        <w:t>sales tax, while meals provided to employees were not subject to sales tax. This decision had been appealed to the Nevada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Supreme Court.</w:t>
      </w:r>
    </w:p>
    <w:p>
      <w:pPr>
        <w:spacing w:after="0" w:line="128"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In June 2013, the Partnership and other similarly situated companies entered into a global settlement agreement with the Nevada Department of Taxation that, when combined with the contemporaneous passage of legislation governing the prospective treatment of complimentary meals (“AB 506”), resolved all matters concerning the prior and future taxability of such meals. AB 506 provides that complimentary meals provided to customers and employees after the effective date of the bill are not subject to either sales or use tax. Under the terms of the global settlement, the Partnership agreed to withdraw the refund request and the Nevada Department of Taxation agreed to drop its assertion that sales tax was due on such meals up to the effective date of AB 506. Since the Partnership did not previously accrue either the claims for refund of use taxes or any liability for sales taxes that the Nevada Department of Taxation may have asserted prior to entering the global settlement agreement, there is no financial statement impact of entering into the settlement agreement.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spacing w:after="0" w:line="239" w:lineRule="auto"/>
        <w:rPr>
          <w:sz w:val="20"/>
          <w:szCs w:val="20"/>
          <w:color w:val="auto"/>
        </w:rPr>
      </w:pPr>
      <w:r>
        <w:rPr>
          <w:rFonts w:ascii="Arial" w:cs="Arial" w:eastAsia="Arial" w:hAnsi="Arial"/>
          <w:sz w:val="16"/>
          <w:szCs w:val="16"/>
          <w:color w:val="auto"/>
        </w:rPr>
        <w:t>In conjunction with filing the refund claim, the Partnership entered into a professional services agreement with an advisory consultant on a contingency fee basis. In August 2013, the Partnership received a letter from the advisory consultant seeking payment for contingency fees based on unsubstantiated services rendered in connection with the aforementioned global settlement agreement. The Partnership received a credit refund from the State of Nevada in September 2013 in accordance with the settlement agreement and has paid the advisory consultant $39,800 representing the agreed upon contingency fee. However, the Partnership denies any additional obligations under the contingent fee basis claim as no additional amounts were ever recovered by the Partnership under the terms of the agreement.</w:t>
      </w:r>
    </w:p>
    <w:p>
      <w:pPr>
        <w:spacing w:after="0" w:line="11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Limited liability company agreement</w:t>
      </w:r>
    </w:p>
    <w:p>
      <w:pPr>
        <w:spacing w:after="0" w:line="148" w:lineRule="exact"/>
        <w:rPr>
          <w:sz w:val="20"/>
          <w:szCs w:val="20"/>
          <w:color w:val="auto"/>
        </w:rPr>
      </w:pPr>
    </w:p>
    <w:p>
      <w:pPr>
        <w:ind w:right="159"/>
        <w:spacing w:after="0" w:line="219" w:lineRule="auto"/>
        <w:rPr>
          <w:sz w:val="20"/>
          <w:szCs w:val="20"/>
          <w:color w:val="auto"/>
        </w:rPr>
      </w:pPr>
      <w:r>
        <w:rPr>
          <w:rFonts w:ascii="Arial" w:cs="Arial" w:eastAsia="Arial" w:hAnsi="Arial"/>
          <w:sz w:val="18"/>
          <w:szCs w:val="18"/>
          <w:color w:val="auto"/>
        </w:rPr>
        <w:t>The Partnership’s limited liability company agreement provides for, among other items, profits and losses to be allocated to the Members in proportion to their percentage interests, separate capital accounts to be maintained for each Member, provisions for management of the Partnership and payment of distributions and bankruptcy and/or dissolution of the Partnership.</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distributions for the years ended December 31, 2014, 2013 and 2012 other than tax distributions (see Note 1).</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54" w:name="page155"/>
    <w:bookmarkEnd w:id="154"/>
    <w:p>
      <w:pPr>
        <w:ind w:left="7760"/>
        <w:spacing w:after="0"/>
        <w:rPr>
          <w:sz w:val="20"/>
          <w:szCs w:val="20"/>
          <w:color w:val="auto"/>
        </w:rPr>
      </w:pPr>
      <w:r>
        <w:rPr>
          <w:rFonts w:ascii="Arial" w:cs="Arial" w:eastAsia="Arial" w:hAnsi="Arial"/>
          <w:sz w:val="19"/>
          <w:szCs w:val="19"/>
          <w:b w:val="1"/>
          <w:bCs w:val="1"/>
          <w:color w:val="auto"/>
        </w:rPr>
        <w:t>Exhibit 99.3</w:t>
      </w:r>
    </w:p>
    <w:p>
      <w:pPr>
        <w:sectPr>
          <w:pgSz w:w="11900" w:h="16838" w:orient="portrait"/>
          <w:cols w:equalWidth="0" w:num="1">
            <w:col w:w="9019"/>
          </w:cols>
          <w:pgMar w:left="1440" w:top="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160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left="1600"/>
        <w:spacing w:after="0"/>
        <w:rPr>
          <w:sz w:val="20"/>
          <w:szCs w:val="20"/>
          <w:color w:val="auto"/>
        </w:rPr>
      </w:pPr>
      <w:r>
        <w:rPr>
          <w:rFonts w:ascii="Arial" w:cs="Arial" w:eastAsia="Arial" w:hAnsi="Arial"/>
          <w:sz w:val="18"/>
          <w:szCs w:val="18"/>
          <w:b w:val="1"/>
          <w:bCs w:val="1"/>
          <w:color w:val="auto"/>
        </w:rPr>
        <w:t>(the “Silver Legacy”)</w:t>
      </w:r>
    </w:p>
    <w:p>
      <w:pPr>
        <w:spacing w:after="0" w:line="9" w:lineRule="exact"/>
        <w:rPr>
          <w:sz w:val="20"/>
          <w:szCs w:val="20"/>
          <w:color w:val="auto"/>
        </w:rPr>
      </w:pPr>
    </w:p>
    <w:p>
      <w:pPr>
        <w:jc w:val="center"/>
        <w:ind w:left="1600"/>
        <w:spacing w:after="0"/>
        <w:rPr>
          <w:sz w:val="20"/>
          <w:szCs w:val="20"/>
          <w:color w:val="auto"/>
        </w:rPr>
      </w:pPr>
      <w:r>
        <w:rPr>
          <w:rFonts w:ascii="Arial" w:cs="Arial" w:eastAsia="Arial" w:hAnsi="Arial"/>
          <w:sz w:val="18"/>
          <w:szCs w:val="18"/>
          <w:b w:val="1"/>
          <w:bCs w:val="1"/>
          <w:color w:val="auto"/>
        </w:rPr>
        <w:t>INDEX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Unaudited Consolidated Balance Sheet as of November 23, 2015</w:t>
      </w:r>
    </w:p>
    <w:p>
      <w:pPr>
        <w:spacing w:after="0" w:line="185" w:lineRule="exact"/>
        <w:rPr>
          <w:sz w:val="20"/>
          <w:szCs w:val="20"/>
          <w:color w:val="auto"/>
        </w:rPr>
      </w:pPr>
    </w:p>
    <w:p>
      <w:pPr>
        <w:ind w:left="360" w:right="240" w:hanging="215"/>
        <w:spacing w:after="0" w:line="277" w:lineRule="auto"/>
        <w:rPr>
          <w:sz w:val="20"/>
          <w:szCs w:val="20"/>
          <w:color w:val="auto"/>
        </w:rPr>
      </w:pPr>
      <w:r>
        <w:rPr>
          <w:rFonts w:ascii="Arial" w:cs="Arial" w:eastAsia="Arial" w:hAnsi="Arial"/>
          <w:sz w:val="18"/>
          <w:szCs w:val="18"/>
          <w:color w:val="auto"/>
        </w:rPr>
        <w:t>Unaudited Consolidated Statement of Operations for the Period January 1, 2015 to November 23, 2015</w:t>
      </w:r>
    </w:p>
    <w:p>
      <w:pPr>
        <w:spacing w:after="0" w:line="130" w:lineRule="exact"/>
        <w:rPr>
          <w:sz w:val="20"/>
          <w:szCs w:val="20"/>
          <w:color w:val="auto"/>
        </w:rPr>
      </w:pPr>
    </w:p>
    <w:p>
      <w:pPr>
        <w:ind w:left="360" w:right="400" w:hanging="215"/>
        <w:spacing w:after="0" w:line="277" w:lineRule="auto"/>
        <w:rPr>
          <w:sz w:val="20"/>
          <w:szCs w:val="20"/>
          <w:color w:val="auto"/>
        </w:rPr>
      </w:pPr>
      <w:r>
        <w:rPr>
          <w:rFonts w:ascii="Arial" w:cs="Arial" w:eastAsia="Arial" w:hAnsi="Arial"/>
          <w:sz w:val="18"/>
          <w:szCs w:val="18"/>
          <w:color w:val="auto"/>
        </w:rPr>
        <w:t>Unaudited Consolidated Statement of Comprehensive Income for the Period January 1, 2015 to November 23, 2015</w:t>
      </w:r>
    </w:p>
    <w:p>
      <w:pPr>
        <w:spacing w:after="0" w:line="130" w:lineRule="exact"/>
        <w:rPr>
          <w:sz w:val="20"/>
          <w:szCs w:val="20"/>
          <w:color w:val="auto"/>
        </w:rPr>
      </w:pPr>
    </w:p>
    <w:p>
      <w:pPr>
        <w:ind w:left="360" w:right="40" w:hanging="215"/>
        <w:spacing w:after="0" w:line="277" w:lineRule="auto"/>
        <w:rPr>
          <w:sz w:val="20"/>
          <w:szCs w:val="20"/>
          <w:color w:val="auto"/>
        </w:rPr>
      </w:pPr>
      <w:r>
        <w:rPr>
          <w:rFonts w:ascii="Arial" w:cs="Arial" w:eastAsia="Arial" w:hAnsi="Arial"/>
          <w:sz w:val="18"/>
          <w:szCs w:val="18"/>
          <w:color w:val="auto"/>
        </w:rPr>
        <w:t>Unaudited Consolidated Statement of Members’ Equity for the Period January 1, 2015 to November 23, 2015</w:t>
      </w:r>
    </w:p>
    <w:p>
      <w:pPr>
        <w:spacing w:after="0" w:line="130" w:lineRule="exact"/>
        <w:rPr>
          <w:sz w:val="20"/>
          <w:szCs w:val="20"/>
          <w:color w:val="auto"/>
        </w:rPr>
      </w:pPr>
    </w:p>
    <w:p>
      <w:pPr>
        <w:ind w:left="360" w:right="200" w:hanging="215"/>
        <w:spacing w:after="0" w:line="277" w:lineRule="auto"/>
        <w:rPr>
          <w:sz w:val="20"/>
          <w:szCs w:val="20"/>
          <w:color w:val="auto"/>
        </w:rPr>
      </w:pPr>
      <w:r>
        <w:rPr>
          <w:rFonts w:ascii="Arial" w:cs="Arial" w:eastAsia="Arial" w:hAnsi="Arial"/>
          <w:sz w:val="18"/>
          <w:szCs w:val="18"/>
          <w:color w:val="auto"/>
        </w:rPr>
        <w:t>Unaudited Consolidated Statement of Cash Flows for the Period January 1, 2015 to November 23, 2015</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606425</wp:posOffset>
            </wp:positionV>
            <wp:extent cx="554863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899"/>
        <w:spacing w:after="0"/>
        <w:rPr>
          <w:sz w:val="20"/>
          <w:szCs w:val="20"/>
          <w:color w:val="auto"/>
        </w:rPr>
      </w:pPr>
      <w:r>
        <w:rPr>
          <w:rFonts w:ascii="Arial" w:cs="Arial" w:eastAsia="Arial" w:hAnsi="Arial"/>
          <w:sz w:val="15"/>
          <w:szCs w:val="15"/>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3257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2"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1"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1"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1"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1"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7420" w:space="340"/>
            <w:col w:w="1259"/>
          </w:cols>
          <w:pgMar w:left="1440" w:top="112" w:right="1440" w:bottom="1440" w:gutter="0" w:footer="0" w:header="0"/>
          <w:type w:val="continuous"/>
        </w:sectPr>
      </w:pPr>
    </w:p>
    <w:bookmarkStart w:id="155" w:name="page156"/>
    <w:bookmarkEnd w:id="155"/>
    <w:p>
      <w:pPr>
        <w:jc w:val="center"/>
        <w:ind w:right="-2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(doing business as Silver Legacy Resort Casino)</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BALANCE SHEET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33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November 23,</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FBFBF"/>
          </w:tcPr>
          <w:p>
            <w:pPr>
              <w:ind w:left="30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0C0C0"/>
          </w:tcPr>
          <w:p>
            <w:pPr>
              <w:ind w:left="94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0C0C0"/>
          </w:tcPr>
          <w:p>
            <w:pPr>
              <w:jc w:val="right"/>
              <w:ind w:right="26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6"/>
                <w:szCs w:val="16"/>
                <w:color w:val="auto"/>
              </w:rPr>
              <w:t>24,509</w:t>
            </w:r>
          </w:p>
        </w:tc>
        <w:tc>
          <w:tcPr>
            <w:tcW w:w="0" w:type="dxa"/>
            <w:vAlign w:val="bottom"/>
          </w:tcPr>
          <w:p>
            <w:pPr>
              <w:spacing w:after="0"/>
              <w:rPr>
                <w:sz w:val="1"/>
                <w:szCs w:val="1"/>
                <w:color w:val="auto"/>
              </w:rPr>
            </w:pPr>
          </w:p>
        </w:tc>
      </w:tr>
      <w:tr>
        <w:trPr>
          <w:trHeight w:val="213"/>
        </w:trPr>
        <w:tc>
          <w:tcPr>
            <w:tcW w:w="5960" w:type="dxa"/>
            <w:vAlign w:val="bottom"/>
          </w:tcPr>
          <w:p>
            <w:pPr>
              <w:ind w:left="94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4,495</w:t>
            </w:r>
          </w:p>
        </w:tc>
        <w:tc>
          <w:tcPr>
            <w:tcW w:w="0" w:type="dxa"/>
            <w:vAlign w:val="bottom"/>
          </w:tcPr>
          <w:p>
            <w:pPr>
              <w:spacing w:after="0"/>
              <w:rPr>
                <w:sz w:val="1"/>
                <w:szCs w:val="1"/>
                <w:color w:val="auto"/>
              </w:rPr>
            </w:pPr>
          </w:p>
        </w:tc>
      </w:tr>
      <w:tr>
        <w:trPr>
          <w:trHeight w:val="219"/>
        </w:trPr>
        <w:tc>
          <w:tcPr>
            <w:tcW w:w="5960" w:type="dxa"/>
            <w:vAlign w:val="bottom"/>
            <w:shd w:val="clear" w:color="auto" w:fill="BFBFBF"/>
          </w:tcPr>
          <w:p>
            <w:pPr>
              <w:ind w:left="94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BFBFBF"/>
          </w:tcPr>
          <w:p>
            <w:pPr>
              <w:spacing w:after="0"/>
              <w:rPr>
                <w:sz w:val="19"/>
                <w:szCs w:val="19"/>
                <w:color w:val="auto"/>
              </w:rPr>
            </w:pP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1,967</w:t>
            </w:r>
          </w:p>
        </w:tc>
        <w:tc>
          <w:tcPr>
            <w:tcW w:w="0" w:type="dxa"/>
            <w:vAlign w:val="bottom"/>
          </w:tcPr>
          <w:p>
            <w:pPr>
              <w:spacing w:after="0"/>
              <w:rPr>
                <w:sz w:val="1"/>
                <w:szCs w:val="1"/>
                <w:color w:val="auto"/>
              </w:rPr>
            </w:pPr>
          </w:p>
        </w:tc>
      </w:tr>
      <w:tr>
        <w:trPr>
          <w:trHeight w:val="210"/>
        </w:trPr>
        <w:tc>
          <w:tcPr>
            <w:tcW w:w="5960" w:type="dxa"/>
            <w:vAlign w:val="bottom"/>
          </w:tcPr>
          <w:p>
            <w:pPr>
              <w:ind w:left="940"/>
              <w:spacing w:after="0"/>
              <w:rPr>
                <w:sz w:val="20"/>
                <w:szCs w:val="20"/>
                <w:color w:val="auto"/>
              </w:rPr>
            </w:pPr>
            <w:r>
              <w:rPr>
                <w:rFonts w:ascii="Arial" w:cs="Arial" w:eastAsia="Arial" w:hAnsi="Arial"/>
                <w:sz w:val="16"/>
                <w:szCs w:val="16"/>
                <w:color w:val="auto"/>
              </w:rPr>
              <w:t>Prepaid expenses and other</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3,465</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BFBFB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BFBFBF"/>
          </w:tcPr>
          <w:p>
            <w:pPr>
              <w:ind w:left="142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34,436</w:t>
            </w:r>
          </w:p>
        </w:tc>
        <w:tc>
          <w:tcPr>
            <w:tcW w:w="0" w:type="dxa"/>
            <w:vAlign w:val="bottom"/>
          </w:tcPr>
          <w:p>
            <w:pPr>
              <w:spacing w:after="0"/>
              <w:rPr>
                <w:sz w:val="1"/>
                <w:szCs w:val="1"/>
                <w:color w:val="auto"/>
              </w:rPr>
            </w:pPr>
          </w:p>
        </w:tc>
      </w:tr>
      <w:tr>
        <w:trPr>
          <w:trHeight w:val="213"/>
        </w:trPr>
        <w:tc>
          <w:tcPr>
            <w:tcW w:w="5960" w:type="dxa"/>
            <w:vAlign w:val="bottom"/>
          </w:tcPr>
          <w:p>
            <w:pPr>
              <w:ind w:left="280"/>
              <w:spacing w:after="0"/>
              <w:rPr>
                <w:sz w:val="20"/>
                <w:szCs w:val="20"/>
                <w:color w:val="auto"/>
              </w:rPr>
            </w:pPr>
            <w:r>
              <w:rPr>
                <w:rFonts w:ascii="Arial" w:cs="Arial" w:eastAsia="Arial" w:hAnsi="Arial"/>
                <w:sz w:val="16"/>
                <w:szCs w:val="16"/>
                <w:color w:val="auto"/>
              </w:rPr>
              <w:t>RESTRICTED CASH - CREDIT SUPPORT DEPOSIT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9"/>
        </w:trPr>
        <w:tc>
          <w:tcPr>
            <w:tcW w:w="5960" w:type="dxa"/>
            <w:vAlign w:val="bottom"/>
            <w:shd w:val="clear" w:color="auto" w:fill="BFBFBF"/>
          </w:tcPr>
          <w:p>
            <w:pPr>
              <w:ind w:left="280"/>
              <w:spacing w:after="0"/>
              <w:rPr>
                <w:sz w:val="20"/>
                <w:szCs w:val="20"/>
                <w:color w:val="auto"/>
              </w:rPr>
            </w:pPr>
            <w:r>
              <w:rPr>
                <w:rFonts w:ascii="Arial" w:cs="Arial" w:eastAsia="Arial" w:hAnsi="Arial"/>
                <w:sz w:val="16"/>
                <w:szCs w:val="16"/>
                <w:color w:val="auto"/>
              </w:rPr>
              <w:t>PROPERTY AND EQUIPMENT, NET</w:t>
            </w:r>
          </w:p>
        </w:tc>
        <w:tc>
          <w:tcPr>
            <w:tcW w:w="420" w:type="dxa"/>
            <w:vAlign w:val="bottom"/>
            <w:shd w:val="clear" w:color="auto" w:fill="BFBFBF"/>
          </w:tcPr>
          <w:p>
            <w:pPr>
              <w:spacing w:after="0"/>
              <w:rPr>
                <w:sz w:val="19"/>
                <w:szCs w:val="19"/>
                <w:color w:val="auto"/>
              </w:rPr>
            </w:pP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184,082</w:t>
            </w:r>
          </w:p>
        </w:tc>
        <w:tc>
          <w:tcPr>
            <w:tcW w:w="0" w:type="dxa"/>
            <w:vAlign w:val="bottom"/>
          </w:tcPr>
          <w:p>
            <w:pPr>
              <w:spacing w:after="0"/>
              <w:rPr>
                <w:sz w:val="1"/>
                <w:szCs w:val="1"/>
                <w:color w:val="auto"/>
              </w:rPr>
            </w:pPr>
          </w:p>
        </w:tc>
      </w:tr>
      <w:tr>
        <w:trPr>
          <w:trHeight w:val="210"/>
        </w:trPr>
        <w:tc>
          <w:tcPr>
            <w:tcW w:w="596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4,612</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BFBFB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BFBFBF"/>
            </w:tcBorders>
            <w:shd w:val="clear" w:color="auto" w:fill="BFBFBF"/>
          </w:tcPr>
          <w:p>
            <w:pPr>
              <w:ind w:left="14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shd w:val="clear" w:color="auto" w:fill="BFBFBF"/>
          </w:tcPr>
          <w:p>
            <w:pPr>
              <w:jc w:val="right"/>
              <w:ind w:right="26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233,130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FBFBF"/>
          </w:tcPr>
          <w:p>
            <w:pPr>
              <w:ind w:left="300"/>
              <w:spacing w:after="0"/>
              <w:rPr>
                <w:sz w:val="20"/>
                <w:szCs w:val="20"/>
                <w:color w:val="auto"/>
              </w:rPr>
            </w:pPr>
            <w:r>
              <w:rPr>
                <w:rFonts w:ascii="Arial" w:cs="Arial" w:eastAsia="Arial" w:hAnsi="Arial"/>
                <w:sz w:val="16"/>
                <w:szCs w:val="16"/>
                <w:b w:val="1"/>
                <w:bCs w:val="1"/>
                <w:color w:val="auto"/>
              </w:rPr>
              <w:t>LIABILITIES AND MEMBERS’ EQUITY</w:t>
            </w:r>
          </w:p>
        </w:tc>
        <w:tc>
          <w:tcPr>
            <w:tcW w:w="42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BFBFBF"/>
          </w:tcPr>
          <w:p>
            <w:pPr>
              <w:ind w:left="94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BFBFBF"/>
          </w:tcPr>
          <w:p>
            <w:pPr>
              <w:jc w:val="right"/>
              <w:ind w:right="26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2,962</w:t>
            </w:r>
          </w:p>
        </w:tc>
        <w:tc>
          <w:tcPr>
            <w:tcW w:w="0" w:type="dxa"/>
            <w:vAlign w:val="bottom"/>
          </w:tcPr>
          <w:p>
            <w:pPr>
              <w:spacing w:after="0"/>
              <w:rPr>
                <w:sz w:val="1"/>
                <w:szCs w:val="1"/>
                <w:color w:val="auto"/>
              </w:rPr>
            </w:pPr>
          </w:p>
        </w:tc>
      </w:tr>
      <w:tr>
        <w:trPr>
          <w:trHeight w:val="213"/>
        </w:trPr>
        <w:tc>
          <w:tcPr>
            <w:tcW w:w="5960" w:type="dxa"/>
            <w:vAlign w:val="bottom"/>
          </w:tcPr>
          <w:p>
            <w:pPr>
              <w:ind w:left="940"/>
              <w:spacing w:after="0"/>
              <w:rPr>
                <w:sz w:val="20"/>
                <w:szCs w:val="20"/>
                <w:color w:val="auto"/>
              </w:rPr>
            </w:pPr>
            <w:r>
              <w:rPr>
                <w:rFonts w:ascii="Arial" w:cs="Arial" w:eastAsia="Arial" w:hAnsi="Arial"/>
                <w:sz w:val="16"/>
                <w:szCs w:val="16"/>
                <w:color w:val="auto"/>
              </w:rPr>
              <w:t>Accrued interest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19"/>
        </w:trPr>
        <w:tc>
          <w:tcPr>
            <w:tcW w:w="5960" w:type="dxa"/>
            <w:vAlign w:val="bottom"/>
            <w:shd w:val="clear" w:color="auto" w:fill="BFBFBF"/>
          </w:tcPr>
          <w:p>
            <w:pPr>
              <w:ind w:left="940"/>
              <w:spacing w:after="0"/>
              <w:rPr>
                <w:sz w:val="20"/>
                <w:szCs w:val="20"/>
                <w:color w:val="auto"/>
              </w:rPr>
            </w:pPr>
            <w:r>
              <w:rPr>
                <w:rFonts w:ascii="Arial" w:cs="Arial" w:eastAsia="Arial" w:hAnsi="Arial"/>
                <w:sz w:val="16"/>
                <w:szCs w:val="16"/>
                <w:color w:val="auto"/>
              </w:rPr>
              <w:t>Accrued and other liabilities</w:t>
            </w:r>
          </w:p>
        </w:tc>
        <w:tc>
          <w:tcPr>
            <w:tcW w:w="420" w:type="dxa"/>
            <w:vAlign w:val="bottom"/>
            <w:shd w:val="clear" w:color="auto" w:fill="BFBFBF"/>
          </w:tcPr>
          <w:p>
            <w:pPr>
              <w:spacing w:after="0"/>
              <w:rPr>
                <w:sz w:val="19"/>
                <w:szCs w:val="19"/>
                <w:color w:val="auto"/>
              </w:rPr>
            </w:pP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9,846</w:t>
            </w:r>
          </w:p>
        </w:tc>
        <w:tc>
          <w:tcPr>
            <w:tcW w:w="0" w:type="dxa"/>
            <w:vAlign w:val="bottom"/>
          </w:tcPr>
          <w:p>
            <w:pPr>
              <w:spacing w:after="0"/>
              <w:rPr>
                <w:sz w:val="1"/>
                <w:szCs w:val="1"/>
                <w:color w:val="auto"/>
              </w:rPr>
            </w:pPr>
          </w:p>
        </w:tc>
      </w:tr>
      <w:tr>
        <w:trPr>
          <w:trHeight w:val="210"/>
        </w:trPr>
        <w:tc>
          <w:tcPr>
            <w:tcW w:w="5960" w:type="dxa"/>
            <w:vAlign w:val="bottom"/>
          </w:tcPr>
          <w:p>
            <w:pPr>
              <w:ind w:left="940"/>
              <w:spacing w:after="0"/>
              <w:rPr>
                <w:sz w:val="20"/>
                <w:szCs w:val="20"/>
                <w:color w:val="auto"/>
              </w:rPr>
            </w:pPr>
            <w:r>
              <w:rPr>
                <w:rFonts w:ascii="Arial" w:cs="Arial" w:eastAsia="Arial" w:hAnsi="Arial"/>
                <w:sz w:val="16"/>
                <w:szCs w:val="16"/>
                <w:color w:val="auto"/>
              </w:rPr>
              <w:t>Current portion of long-term debt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BFBFB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BFBFBF"/>
          </w:tcPr>
          <w:p>
            <w:pPr>
              <w:ind w:left="1420"/>
              <w:spacing w:after="0"/>
              <w:rPr>
                <w:sz w:val="20"/>
                <w:szCs w:val="20"/>
                <w:color w:val="auto"/>
              </w:rPr>
            </w:pPr>
            <w:r>
              <w:rPr>
                <w:rFonts w:ascii="Arial" w:cs="Arial" w:eastAsia="Arial" w:hAnsi="Arial"/>
                <w:sz w:val="16"/>
                <w:szCs w:val="16"/>
                <w:color w:val="auto"/>
              </w:rPr>
              <w:t>Total current liabilities</w:t>
            </w:r>
          </w:p>
        </w:tc>
        <w:tc>
          <w:tcPr>
            <w:tcW w:w="420" w:type="dxa"/>
            <w:vAlign w:val="bottom"/>
            <w:shd w:val="clear" w:color="auto" w:fill="BFBFBF"/>
          </w:tcPr>
          <w:p>
            <w:pPr>
              <w:spacing w:after="0"/>
              <w:rPr>
                <w:sz w:val="17"/>
                <w:szCs w:val="17"/>
                <w:color w:val="auto"/>
              </w:rPr>
            </w:pP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19,429</w:t>
            </w:r>
          </w:p>
        </w:tc>
        <w:tc>
          <w:tcPr>
            <w:tcW w:w="0" w:type="dxa"/>
            <w:vAlign w:val="bottom"/>
          </w:tcPr>
          <w:p>
            <w:pPr>
              <w:spacing w:after="0"/>
              <w:rPr>
                <w:sz w:val="1"/>
                <w:szCs w:val="1"/>
                <w:color w:val="auto"/>
              </w:rPr>
            </w:pPr>
          </w:p>
        </w:tc>
      </w:tr>
      <w:tr>
        <w:trPr>
          <w:trHeight w:val="213"/>
        </w:trPr>
        <w:tc>
          <w:tcPr>
            <w:tcW w:w="5960" w:type="dxa"/>
            <w:vAlign w:val="bottom"/>
          </w:tcPr>
          <w:p>
            <w:pPr>
              <w:ind w:left="280"/>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75,500</w:t>
            </w:r>
          </w:p>
        </w:tc>
        <w:tc>
          <w:tcPr>
            <w:tcW w:w="0" w:type="dxa"/>
            <w:vAlign w:val="bottom"/>
          </w:tcPr>
          <w:p>
            <w:pPr>
              <w:spacing w:after="0"/>
              <w:rPr>
                <w:sz w:val="1"/>
                <w:szCs w:val="1"/>
                <w:color w:val="auto"/>
              </w:rPr>
            </w:pPr>
          </w:p>
        </w:tc>
      </w:tr>
      <w:tr>
        <w:trPr>
          <w:trHeight w:val="219"/>
        </w:trPr>
        <w:tc>
          <w:tcPr>
            <w:tcW w:w="5960" w:type="dxa"/>
            <w:vAlign w:val="bottom"/>
            <w:shd w:val="clear" w:color="auto" w:fill="BFBFBF"/>
          </w:tcPr>
          <w:p>
            <w:pPr>
              <w:ind w:left="280"/>
              <w:spacing w:after="0"/>
              <w:rPr>
                <w:sz w:val="20"/>
                <w:szCs w:val="20"/>
                <w:color w:val="auto"/>
              </w:rPr>
            </w:pPr>
            <w:r>
              <w:rPr>
                <w:rFonts w:ascii="Arial" w:cs="Arial" w:eastAsia="Arial" w:hAnsi="Arial"/>
                <w:sz w:val="16"/>
                <w:szCs w:val="16"/>
                <w:color w:val="auto"/>
              </w:rPr>
              <w:t>MEMBER NOTES, NET</w:t>
            </w:r>
          </w:p>
        </w:tc>
        <w:tc>
          <w:tcPr>
            <w:tcW w:w="420" w:type="dxa"/>
            <w:vAlign w:val="bottom"/>
            <w:shd w:val="clear" w:color="auto" w:fill="BFBFBF"/>
          </w:tcPr>
          <w:p>
            <w:pPr>
              <w:spacing w:after="0"/>
              <w:rPr>
                <w:sz w:val="19"/>
                <w:szCs w:val="19"/>
                <w:color w:val="auto"/>
              </w:rPr>
            </w:pP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11,467</w:t>
            </w:r>
          </w:p>
        </w:tc>
        <w:tc>
          <w:tcPr>
            <w:tcW w:w="0" w:type="dxa"/>
            <w:vAlign w:val="bottom"/>
          </w:tcPr>
          <w:p>
            <w:pPr>
              <w:spacing w:after="0"/>
              <w:rPr>
                <w:sz w:val="1"/>
                <w:szCs w:val="1"/>
                <w:color w:val="auto"/>
              </w:rPr>
            </w:pPr>
          </w:p>
        </w:tc>
      </w:tr>
      <w:tr>
        <w:trPr>
          <w:trHeight w:val="203"/>
        </w:trPr>
        <w:tc>
          <w:tcPr>
            <w:tcW w:w="5960" w:type="dxa"/>
            <w:vAlign w:val="bottom"/>
            <w:vMerge w:val="restart"/>
          </w:tcPr>
          <w:p>
            <w:pPr>
              <w:ind w:left="14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106,396</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FBFBF"/>
          </w:tcPr>
          <w:p>
            <w:pPr>
              <w:ind w:left="280"/>
              <w:spacing w:after="0"/>
              <w:rPr>
                <w:sz w:val="20"/>
                <w:szCs w:val="20"/>
                <w:color w:val="auto"/>
              </w:rPr>
            </w:pPr>
            <w:r>
              <w:rPr>
                <w:rFonts w:ascii="Arial" w:cs="Arial" w:eastAsia="Arial" w:hAnsi="Arial"/>
                <w:sz w:val="16"/>
                <w:szCs w:val="16"/>
                <w:color w:val="auto"/>
              </w:rPr>
              <w:t>COMMITMENTS AND CONTINGENCIES (Note 9)</w:t>
            </w:r>
          </w:p>
        </w:tc>
        <w:tc>
          <w:tcPr>
            <w:tcW w:w="42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126,734</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BFBFB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Borders>
              <w:bottom w:val="single" w:sz="8" w:color="BFBFBF"/>
            </w:tcBorders>
            <w:shd w:val="clear" w:color="auto" w:fill="BFBFBF"/>
          </w:tcPr>
          <w:p>
            <w:pPr>
              <w:ind w:left="1420"/>
              <w:spacing w:after="0"/>
              <w:rPr>
                <w:sz w:val="20"/>
                <w:szCs w:val="20"/>
                <w:color w:val="auto"/>
              </w:rPr>
            </w:pPr>
            <w:r>
              <w:rPr>
                <w:rFonts w:ascii="Arial" w:cs="Arial" w:eastAsia="Arial" w:hAnsi="Arial"/>
                <w:sz w:val="16"/>
                <w:szCs w:val="16"/>
                <w:color w:val="auto"/>
              </w:rPr>
              <w:t>Total Liabilities and Members’ Equity</w:t>
            </w:r>
          </w:p>
        </w:tc>
        <w:tc>
          <w:tcPr>
            <w:tcW w:w="420" w:type="dxa"/>
            <w:vAlign w:val="bottom"/>
            <w:tcBorders>
              <w:bottom w:val="single" w:sz="8" w:color="auto"/>
            </w:tcBorders>
            <w:shd w:val="clear" w:color="auto" w:fill="BFBFBF"/>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BFBFBF"/>
          </w:tcPr>
          <w:p>
            <w:pPr>
              <w:jc w:val="right"/>
              <w:ind w:right="159"/>
              <w:spacing w:after="0"/>
              <w:rPr>
                <w:sz w:val="20"/>
                <w:szCs w:val="20"/>
                <w:color w:val="auto"/>
              </w:rPr>
            </w:pPr>
            <w:r>
              <w:rPr>
                <w:rFonts w:ascii="Arial" w:cs="Arial" w:eastAsia="Arial" w:hAnsi="Arial"/>
                <w:sz w:val="16"/>
                <w:szCs w:val="16"/>
                <w:color w:val="auto"/>
              </w:rPr>
              <w:t>233,130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260985</wp:posOffset>
            </wp:positionV>
            <wp:extent cx="554863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(doing business as Silver Legacy Resort Casino)</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980" w:type="dxa"/>
            <w:vAlign w:val="bottom"/>
            <w:gridSpan w:val="3"/>
          </w:tcPr>
          <w:p>
            <w:pPr>
              <w:jc w:val="right"/>
              <w:ind w:right="719"/>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65"/>
        </w:trPr>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January 1, 2015 to</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7"/>
              </w:rPr>
              <w:t>November 23, 2015</w:t>
            </w:r>
          </w:p>
        </w:tc>
        <w:tc>
          <w:tcPr>
            <w:tcW w:w="0" w:type="dxa"/>
            <w:vAlign w:val="bottom"/>
          </w:tcPr>
          <w:p>
            <w:pPr>
              <w:spacing w:after="0"/>
              <w:rPr>
                <w:sz w:val="1"/>
                <w:szCs w:val="1"/>
                <w:color w:val="auto"/>
              </w:rPr>
            </w:pPr>
          </w:p>
        </w:tc>
      </w:tr>
      <w:tr>
        <w:trPr>
          <w:trHeight w:val="199"/>
        </w:trPr>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0C0C0"/>
          </w:tcPr>
          <w:p>
            <w:pPr>
              <w:ind w:left="280"/>
              <w:spacing w:after="0"/>
              <w:rPr>
                <w:sz w:val="20"/>
                <w:szCs w:val="20"/>
                <w:color w:val="auto"/>
              </w:rPr>
            </w:pPr>
            <w:r>
              <w:rPr>
                <w:rFonts w:ascii="Arial" w:cs="Arial" w:eastAsia="Arial" w:hAnsi="Arial"/>
                <w:sz w:val="16"/>
                <w:szCs w:val="16"/>
                <w:color w:val="auto"/>
              </w:rPr>
              <w:t>OPERATING REVENUES:</w:t>
            </w:r>
          </w:p>
        </w:tc>
        <w:tc>
          <w:tcPr>
            <w:tcW w:w="42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940"/>
              <w:spacing w:after="0"/>
              <w:rPr>
                <w:sz w:val="20"/>
                <w:szCs w:val="20"/>
                <w:color w:val="auto"/>
              </w:rPr>
            </w:pPr>
            <w:r>
              <w:rPr>
                <w:rFonts w:ascii="Arial" w:cs="Arial" w:eastAsia="Arial" w:hAnsi="Arial"/>
                <w:sz w:val="16"/>
                <w:szCs w:val="16"/>
                <w:color w:val="auto"/>
              </w:rPr>
              <w:t>Casino</w:t>
            </w:r>
          </w:p>
        </w:tc>
        <w:tc>
          <w:tcPr>
            <w:tcW w:w="8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68,123</w:t>
            </w:r>
          </w:p>
        </w:tc>
        <w:tc>
          <w:tcPr>
            <w:tcW w:w="0" w:type="dxa"/>
            <w:vAlign w:val="bottom"/>
          </w:tcPr>
          <w:p>
            <w:pPr>
              <w:spacing w:after="0"/>
              <w:rPr>
                <w:sz w:val="1"/>
                <w:szCs w:val="1"/>
                <w:color w:val="auto"/>
              </w:rPr>
            </w:pPr>
          </w:p>
        </w:tc>
      </w:tr>
      <w:tr>
        <w:trPr>
          <w:trHeight w:val="219"/>
        </w:trPr>
        <w:tc>
          <w:tcPr>
            <w:tcW w:w="3640" w:type="dxa"/>
            <w:vAlign w:val="bottom"/>
            <w:shd w:val="clear" w:color="auto" w:fill="C0C0C0"/>
          </w:tcPr>
          <w:p>
            <w:pPr>
              <w:ind w:left="940"/>
              <w:spacing w:after="0"/>
              <w:rPr>
                <w:sz w:val="20"/>
                <w:szCs w:val="20"/>
                <w:color w:val="auto"/>
              </w:rPr>
            </w:pPr>
            <w:r>
              <w:rPr>
                <w:rFonts w:ascii="Arial" w:cs="Arial" w:eastAsia="Arial" w:hAnsi="Arial"/>
                <w:sz w:val="16"/>
                <w:szCs w:val="16"/>
                <w:color w:val="auto"/>
              </w:rPr>
              <w:t>Rooms</w:t>
            </w:r>
          </w:p>
        </w:tc>
        <w:tc>
          <w:tcPr>
            <w:tcW w:w="4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180" w:type="dxa"/>
            <w:vAlign w:val="bottom"/>
            <w:shd w:val="clear" w:color="auto" w:fill="C0C0C0"/>
          </w:tcPr>
          <w:p>
            <w:pPr>
              <w:jc w:val="right"/>
              <w:ind w:right="379"/>
              <w:spacing w:after="0"/>
              <w:rPr>
                <w:sz w:val="20"/>
                <w:szCs w:val="20"/>
                <w:color w:val="auto"/>
              </w:rPr>
            </w:pPr>
            <w:r>
              <w:rPr>
                <w:rFonts w:ascii="Arial" w:cs="Arial" w:eastAsia="Arial" w:hAnsi="Arial"/>
                <w:sz w:val="16"/>
                <w:szCs w:val="16"/>
                <w:color w:val="auto"/>
              </w:rPr>
              <w:t>30,615</w:t>
            </w:r>
          </w:p>
        </w:tc>
        <w:tc>
          <w:tcPr>
            <w:tcW w:w="0" w:type="dxa"/>
            <w:vAlign w:val="bottom"/>
          </w:tcPr>
          <w:p>
            <w:pPr>
              <w:spacing w:after="0"/>
              <w:rPr>
                <w:sz w:val="1"/>
                <w:szCs w:val="1"/>
                <w:color w:val="auto"/>
              </w:rPr>
            </w:pPr>
          </w:p>
        </w:tc>
      </w:tr>
      <w:tr>
        <w:trPr>
          <w:trHeight w:val="213"/>
        </w:trPr>
        <w:tc>
          <w:tcPr>
            <w:tcW w:w="3640" w:type="dxa"/>
            <w:vAlign w:val="bottom"/>
          </w:tcPr>
          <w:p>
            <w:pPr>
              <w:ind w:left="940"/>
              <w:spacing w:after="0"/>
              <w:rPr>
                <w:sz w:val="20"/>
                <w:szCs w:val="20"/>
                <w:color w:val="auto"/>
              </w:rPr>
            </w:pPr>
            <w:r>
              <w:rPr>
                <w:rFonts w:ascii="Arial" w:cs="Arial" w:eastAsia="Arial" w:hAnsi="Arial"/>
                <w:sz w:val="16"/>
                <w:szCs w:val="16"/>
                <w:color w:val="auto"/>
              </w:rPr>
              <w:t>Food and beverage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30,366</w:t>
            </w:r>
          </w:p>
        </w:tc>
        <w:tc>
          <w:tcPr>
            <w:tcW w:w="0" w:type="dxa"/>
            <w:vAlign w:val="bottom"/>
          </w:tcPr>
          <w:p>
            <w:pPr>
              <w:spacing w:after="0"/>
              <w:rPr>
                <w:sz w:val="1"/>
                <w:szCs w:val="1"/>
                <w:color w:val="auto"/>
              </w:rPr>
            </w:pPr>
          </w:p>
        </w:tc>
      </w:tr>
      <w:tr>
        <w:trPr>
          <w:trHeight w:val="219"/>
        </w:trPr>
        <w:tc>
          <w:tcPr>
            <w:tcW w:w="3640" w:type="dxa"/>
            <w:vAlign w:val="bottom"/>
            <w:shd w:val="clear" w:color="auto" w:fill="C0C0C0"/>
          </w:tcPr>
          <w:p>
            <w:pPr>
              <w:ind w:left="94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1180" w:type="dxa"/>
            <w:vAlign w:val="bottom"/>
            <w:shd w:val="clear" w:color="auto" w:fill="C0C0C0"/>
          </w:tcPr>
          <w:p>
            <w:pPr>
              <w:jc w:val="right"/>
              <w:ind w:right="379"/>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136,930</w:t>
            </w:r>
          </w:p>
        </w:tc>
        <w:tc>
          <w:tcPr>
            <w:tcW w:w="0" w:type="dxa"/>
            <w:vAlign w:val="bottom"/>
          </w:tcPr>
          <w:p>
            <w:pPr>
              <w:spacing w:after="0"/>
              <w:rPr>
                <w:sz w:val="1"/>
                <w:szCs w:val="1"/>
                <w:color w:val="auto"/>
              </w:rPr>
            </w:pPr>
          </w:p>
        </w:tc>
      </w:tr>
      <w:tr>
        <w:trPr>
          <w:trHeight w:val="216"/>
        </w:trPr>
        <w:tc>
          <w:tcPr>
            <w:tcW w:w="3640" w:type="dxa"/>
            <w:vAlign w:val="bottom"/>
            <w:shd w:val="clear" w:color="auto" w:fill="BFBFBF"/>
          </w:tcPr>
          <w:p>
            <w:pPr>
              <w:ind w:left="940"/>
              <w:spacing w:after="0"/>
              <w:rPr>
                <w:sz w:val="20"/>
                <w:szCs w:val="20"/>
                <w:color w:val="auto"/>
              </w:rPr>
            </w:pPr>
            <w:r>
              <w:rPr>
                <w:rFonts w:ascii="Arial" w:cs="Arial" w:eastAsia="Arial" w:hAnsi="Arial"/>
                <w:sz w:val="16"/>
                <w:szCs w:val="16"/>
                <w:color w:val="auto"/>
              </w:rPr>
              <w:t>Less: promotional allowances</w:t>
            </w:r>
          </w:p>
        </w:tc>
        <w:tc>
          <w:tcPr>
            <w:tcW w:w="420" w:type="dxa"/>
            <w:vAlign w:val="bottom"/>
            <w:shd w:val="clear" w:color="auto" w:fill="BFBFBF"/>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118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(19,820)</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1420"/>
              <w:spacing w:after="0"/>
              <w:rPr>
                <w:sz w:val="20"/>
                <w:szCs w:val="20"/>
                <w:color w:val="auto"/>
              </w:rPr>
            </w:pPr>
            <w:r>
              <w:rPr>
                <w:rFonts w:ascii="Arial" w:cs="Arial" w:eastAsia="Arial" w:hAnsi="Arial"/>
                <w:sz w:val="16"/>
                <w:szCs w:val="16"/>
                <w:color w:val="auto"/>
              </w:rPr>
              <w:t>Net operating revenues</w:t>
            </w: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BFBFBF"/>
          </w:tcPr>
          <w:p>
            <w:pPr>
              <w:ind w:left="280"/>
              <w:spacing w:after="0"/>
              <w:rPr>
                <w:sz w:val="20"/>
                <w:szCs w:val="20"/>
                <w:color w:val="auto"/>
              </w:rPr>
            </w:pPr>
            <w:r>
              <w:rPr>
                <w:rFonts w:ascii="Arial" w:cs="Arial" w:eastAsia="Arial" w:hAnsi="Arial"/>
                <w:sz w:val="16"/>
                <w:szCs w:val="16"/>
                <w:color w:val="auto"/>
              </w:rPr>
              <w:t>OPERATING EXPENSES:</w:t>
            </w:r>
          </w:p>
        </w:tc>
        <w:tc>
          <w:tcPr>
            <w:tcW w:w="420" w:type="dxa"/>
            <w:vAlign w:val="bottom"/>
            <w:shd w:val="clear" w:color="auto" w:fill="BFBFBF"/>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11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940"/>
              <w:spacing w:after="0"/>
              <w:rPr>
                <w:sz w:val="20"/>
                <w:szCs w:val="20"/>
                <w:color w:val="auto"/>
              </w:rPr>
            </w:pPr>
            <w:r>
              <w:rPr>
                <w:rFonts w:ascii="Arial" w:cs="Arial" w:eastAsia="Arial" w:hAnsi="Arial"/>
                <w:sz w:val="16"/>
                <w:szCs w:val="16"/>
                <w:color w:val="auto"/>
              </w:rPr>
              <w:t>Casino</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35,082</w:t>
            </w:r>
          </w:p>
        </w:tc>
        <w:tc>
          <w:tcPr>
            <w:tcW w:w="0" w:type="dxa"/>
            <w:vAlign w:val="bottom"/>
          </w:tcPr>
          <w:p>
            <w:pPr>
              <w:spacing w:after="0"/>
              <w:rPr>
                <w:sz w:val="1"/>
                <w:szCs w:val="1"/>
                <w:color w:val="auto"/>
              </w:rPr>
            </w:pPr>
          </w:p>
        </w:tc>
      </w:tr>
      <w:tr>
        <w:trPr>
          <w:trHeight w:val="219"/>
        </w:trPr>
        <w:tc>
          <w:tcPr>
            <w:tcW w:w="3640" w:type="dxa"/>
            <w:vAlign w:val="bottom"/>
            <w:shd w:val="clear" w:color="auto" w:fill="BFBFBF"/>
          </w:tcPr>
          <w:p>
            <w:pPr>
              <w:ind w:left="940"/>
              <w:spacing w:after="0"/>
              <w:rPr>
                <w:sz w:val="20"/>
                <w:szCs w:val="20"/>
                <w:color w:val="auto"/>
              </w:rPr>
            </w:pPr>
            <w:r>
              <w:rPr>
                <w:rFonts w:ascii="Arial" w:cs="Arial" w:eastAsia="Arial" w:hAnsi="Arial"/>
                <w:sz w:val="16"/>
                <w:szCs w:val="16"/>
                <w:color w:val="auto"/>
              </w:rPr>
              <w:t>Rooms</w:t>
            </w:r>
          </w:p>
        </w:tc>
        <w:tc>
          <w:tcPr>
            <w:tcW w:w="42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1180" w:type="dxa"/>
            <w:vAlign w:val="bottom"/>
            <w:shd w:val="clear" w:color="auto" w:fill="BFBFBF"/>
          </w:tcPr>
          <w:p>
            <w:pPr>
              <w:jc w:val="right"/>
              <w:ind w:right="379"/>
              <w:spacing w:after="0"/>
              <w:rPr>
                <w:sz w:val="20"/>
                <w:szCs w:val="20"/>
                <w:color w:val="auto"/>
              </w:rPr>
            </w:pPr>
            <w:r>
              <w:rPr>
                <w:rFonts w:ascii="Arial" w:cs="Arial" w:eastAsia="Arial" w:hAnsi="Arial"/>
                <w:sz w:val="16"/>
                <w:szCs w:val="16"/>
                <w:color w:val="auto"/>
              </w:rPr>
              <w:t>8,462</w:t>
            </w:r>
          </w:p>
        </w:tc>
        <w:tc>
          <w:tcPr>
            <w:tcW w:w="0" w:type="dxa"/>
            <w:vAlign w:val="bottom"/>
          </w:tcPr>
          <w:p>
            <w:pPr>
              <w:spacing w:after="0"/>
              <w:rPr>
                <w:sz w:val="1"/>
                <w:szCs w:val="1"/>
                <w:color w:val="auto"/>
              </w:rPr>
            </w:pPr>
          </w:p>
        </w:tc>
      </w:tr>
      <w:tr>
        <w:trPr>
          <w:trHeight w:val="213"/>
        </w:trPr>
        <w:tc>
          <w:tcPr>
            <w:tcW w:w="3640" w:type="dxa"/>
            <w:vAlign w:val="bottom"/>
          </w:tcPr>
          <w:p>
            <w:pPr>
              <w:ind w:left="940"/>
              <w:spacing w:after="0"/>
              <w:rPr>
                <w:sz w:val="20"/>
                <w:szCs w:val="20"/>
                <w:color w:val="auto"/>
              </w:rPr>
            </w:pPr>
            <w:r>
              <w:rPr>
                <w:rFonts w:ascii="Arial" w:cs="Arial" w:eastAsia="Arial" w:hAnsi="Arial"/>
                <w:sz w:val="16"/>
                <w:szCs w:val="16"/>
                <w:color w:val="auto"/>
              </w:rPr>
              <w:t>Food and beverage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18,076</w:t>
            </w:r>
          </w:p>
        </w:tc>
        <w:tc>
          <w:tcPr>
            <w:tcW w:w="0" w:type="dxa"/>
            <w:vAlign w:val="bottom"/>
          </w:tcPr>
          <w:p>
            <w:pPr>
              <w:spacing w:after="0"/>
              <w:rPr>
                <w:sz w:val="1"/>
                <w:szCs w:val="1"/>
                <w:color w:val="auto"/>
              </w:rPr>
            </w:pPr>
          </w:p>
        </w:tc>
      </w:tr>
      <w:tr>
        <w:trPr>
          <w:trHeight w:val="219"/>
        </w:trPr>
        <w:tc>
          <w:tcPr>
            <w:tcW w:w="3640" w:type="dxa"/>
            <w:vAlign w:val="bottom"/>
            <w:shd w:val="clear" w:color="auto" w:fill="BFBFBF"/>
          </w:tcPr>
          <w:p>
            <w:pPr>
              <w:ind w:left="94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1180" w:type="dxa"/>
            <w:vAlign w:val="bottom"/>
            <w:shd w:val="clear" w:color="auto" w:fill="BFBFBF"/>
          </w:tcPr>
          <w:p>
            <w:pPr>
              <w:jc w:val="right"/>
              <w:ind w:right="379"/>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213"/>
        </w:trPr>
        <w:tc>
          <w:tcPr>
            <w:tcW w:w="3640" w:type="dxa"/>
            <w:vAlign w:val="bottom"/>
          </w:tcPr>
          <w:p>
            <w:pPr>
              <w:ind w:left="94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24,601</w:t>
            </w:r>
          </w:p>
        </w:tc>
        <w:tc>
          <w:tcPr>
            <w:tcW w:w="0" w:type="dxa"/>
            <w:vAlign w:val="bottom"/>
          </w:tcPr>
          <w:p>
            <w:pPr>
              <w:spacing w:after="0"/>
              <w:rPr>
                <w:sz w:val="1"/>
                <w:szCs w:val="1"/>
                <w:color w:val="auto"/>
              </w:rPr>
            </w:pPr>
          </w:p>
        </w:tc>
      </w:tr>
      <w:tr>
        <w:trPr>
          <w:trHeight w:val="219"/>
        </w:trPr>
        <w:tc>
          <w:tcPr>
            <w:tcW w:w="3640" w:type="dxa"/>
            <w:vAlign w:val="bottom"/>
            <w:shd w:val="clear" w:color="auto" w:fill="BFBFBF"/>
          </w:tcPr>
          <w:p>
            <w:pPr>
              <w:ind w:left="940"/>
              <w:spacing w:after="0"/>
              <w:rPr>
                <w:sz w:val="20"/>
                <w:szCs w:val="20"/>
                <w:color w:val="auto"/>
              </w:rPr>
            </w:pPr>
            <w:r>
              <w:rPr>
                <w:rFonts w:ascii="Arial" w:cs="Arial" w:eastAsia="Arial" w:hAnsi="Arial"/>
                <w:sz w:val="16"/>
                <w:szCs w:val="16"/>
                <w:color w:val="auto"/>
              </w:rPr>
              <w:t>Depreciation</w:t>
            </w:r>
          </w:p>
        </w:tc>
        <w:tc>
          <w:tcPr>
            <w:tcW w:w="42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1180" w:type="dxa"/>
            <w:vAlign w:val="bottom"/>
            <w:shd w:val="clear" w:color="auto" w:fill="BFBFBF"/>
          </w:tcPr>
          <w:p>
            <w:pPr>
              <w:jc w:val="right"/>
              <w:ind w:right="379"/>
              <w:spacing w:after="0"/>
              <w:rPr>
                <w:sz w:val="20"/>
                <w:szCs w:val="20"/>
                <w:color w:val="auto"/>
              </w:rPr>
            </w:pPr>
            <w:r>
              <w:rPr>
                <w:rFonts w:ascii="Arial" w:cs="Arial" w:eastAsia="Arial" w:hAnsi="Arial"/>
                <w:sz w:val="16"/>
                <w:szCs w:val="16"/>
                <w:color w:val="auto"/>
              </w:rPr>
              <w:t>9,299</w:t>
            </w:r>
          </w:p>
        </w:tc>
        <w:tc>
          <w:tcPr>
            <w:tcW w:w="0" w:type="dxa"/>
            <w:vAlign w:val="bottom"/>
          </w:tcPr>
          <w:p>
            <w:pPr>
              <w:spacing w:after="0"/>
              <w:rPr>
                <w:sz w:val="1"/>
                <w:szCs w:val="1"/>
                <w:color w:val="auto"/>
              </w:rPr>
            </w:pPr>
          </w:p>
        </w:tc>
      </w:tr>
      <w:tr>
        <w:trPr>
          <w:trHeight w:val="224"/>
        </w:trPr>
        <w:tc>
          <w:tcPr>
            <w:tcW w:w="3640" w:type="dxa"/>
            <w:vAlign w:val="bottom"/>
          </w:tcPr>
          <w:p>
            <w:pPr>
              <w:ind w:left="940"/>
              <w:spacing w:after="0"/>
              <w:rPr>
                <w:sz w:val="20"/>
                <w:szCs w:val="20"/>
                <w:color w:val="auto"/>
              </w:rPr>
            </w:pPr>
            <w:r>
              <w:rPr>
                <w:rFonts w:ascii="Arial" w:cs="Arial" w:eastAsia="Arial" w:hAnsi="Arial"/>
                <w:sz w:val="16"/>
                <w:szCs w:val="16"/>
                <w:color w:val="auto"/>
              </w:rPr>
              <w:t>Change in fair value of supplemental</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40" w:type="dxa"/>
            <w:vAlign w:val="bottom"/>
          </w:tcPr>
          <w:p>
            <w:pPr>
              <w:ind w:left="1260"/>
              <w:spacing w:after="0"/>
              <w:rPr>
                <w:sz w:val="20"/>
                <w:szCs w:val="20"/>
                <w:color w:val="auto"/>
              </w:rPr>
            </w:pPr>
            <w:r>
              <w:rPr>
                <w:rFonts w:ascii="Arial" w:cs="Arial" w:eastAsia="Arial" w:hAnsi="Arial"/>
                <w:sz w:val="16"/>
                <w:szCs w:val="16"/>
                <w:color w:val="auto"/>
              </w:rPr>
              <w:t>executive retirement plan assets</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40" w:type="dxa"/>
            <w:vAlign w:val="bottom"/>
            <w:shd w:val="clear" w:color="auto" w:fill="BFBFBF"/>
          </w:tcPr>
          <w:p>
            <w:pPr>
              <w:ind w:left="940"/>
              <w:spacing w:after="0"/>
              <w:rPr>
                <w:sz w:val="20"/>
                <w:szCs w:val="20"/>
                <w:color w:val="auto"/>
              </w:rPr>
            </w:pPr>
            <w:r>
              <w:rPr>
                <w:rFonts w:ascii="Arial" w:cs="Arial" w:eastAsia="Arial" w:hAnsi="Arial"/>
                <w:sz w:val="16"/>
                <w:szCs w:val="16"/>
                <w:color w:val="auto"/>
              </w:rPr>
              <w:t>Loss on disposition of assets</w:t>
            </w:r>
          </w:p>
        </w:tc>
        <w:tc>
          <w:tcPr>
            <w:tcW w:w="42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1180" w:type="dxa"/>
            <w:vAlign w:val="bottom"/>
            <w:shd w:val="clear" w:color="auto" w:fill="BFBFBF"/>
          </w:tcPr>
          <w:p>
            <w:pPr>
              <w:jc w:val="right"/>
              <w:ind w:right="3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1420"/>
              <w:spacing w:after="0"/>
              <w:rPr>
                <w:sz w:val="20"/>
                <w:szCs w:val="20"/>
                <w:color w:val="auto"/>
              </w:rPr>
            </w:pPr>
            <w:r>
              <w:rPr>
                <w:rFonts w:ascii="Arial" w:cs="Arial" w:eastAsia="Arial" w:hAnsi="Arial"/>
                <w:sz w:val="16"/>
                <w:szCs w:val="16"/>
                <w:color w:val="auto"/>
              </w:rPr>
              <w:t>Total operating expenses</w:t>
            </w: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99,989</w:t>
            </w:r>
          </w:p>
        </w:tc>
        <w:tc>
          <w:tcPr>
            <w:tcW w:w="0" w:type="dxa"/>
            <w:vAlign w:val="bottom"/>
          </w:tcPr>
          <w:p>
            <w:pPr>
              <w:spacing w:after="0"/>
              <w:rPr>
                <w:sz w:val="1"/>
                <w:szCs w:val="1"/>
                <w:color w:val="auto"/>
              </w:rPr>
            </w:pPr>
          </w:p>
        </w:tc>
      </w:tr>
      <w:tr>
        <w:trPr>
          <w:trHeight w:val="199"/>
        </w:trPr>
        <w:tc>
          <w:tcPr>
            <w:tcW w:w="3640" w:type="dxa"/>
            <w:vAlign w:val="bottom"/>
            <w:tcBorders>
              <w:bottom w:val="single" w:sz="8" w:color="BFBFBF"/>
            </w:tcBorders>
          </w:tcPr>
          <w:p>
            <w:pPr>
              <w:spacing w:after="0"/>
              <w:rPr>
                <w:sz w:val="17"/>
                <w:szCs w:val="17"/>
                <w:color w:val="auto"/>
              </w:rPr>
            </w:pPr>
          </w:p>
        </w:tc>
        <w:tc>
          <w:tcPr>
            <w:tcW w:w="420" w:type="dxa"/>
            <w:vAlign w:val="bottom"/>
            <w:tcBorders>
              <w:bottom w:val="single" w:sz="8" w:color="BFBFB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BFBFBF"/>
          </w:tcPr>
          <w:p>
            <w:pPr>
              <w:ind w:left="28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BFBFBF"/>
          </w:tcPr>
          <w:p>
            <w:pPr>
              <w:spacing w:after="0"/>
              <w:rPr>
                <w:sz w:val="17"/>
                <w:szCs w:val="17"/>
                <w:color w:val="auto"/>
              </w:rPr>
            </w:pPr>
          </w:p>
        </w:tc>
        <w:tc>
          <w:tcPr>
            <w:tcW w:w="380" w:type="dxa"/>
            <w:vAlign w:val="bottom"/>
            <w:shd w:val="clear" w:color="auto" w:fill="BFBFBF"/>
          </w:tcPr>
          <w:p>
            <w:pPr>
              <w:spacing w:after="0"/>
              <w:rPr>
                <w:sz w:val="17"/>
                <w:szCs w:val="17"/>
                <w:color w:val="auto"/>
              </w:rPr>
            </w:pPr>
          </w:p>
        </w:tc>
        <w:tc>
          <w:tcPr>
            <w:tcW w:w="1180" w:type="dxa"/>
            <w:vAlign w:val="bottom"/>
            <w:shd w:val="clear" w:color="auto" w:fill="BFBFBF"/>
          </w:tcPr>
          <w:p>
            <w:pPr>
              <w:jc w:val="right"/>
              <w:ind w:right="379"/>
              <w:spacing w:after="0"/>
              <w:rPr>
                <w:sz w:val="20"/>
                <w:szCs w:val="20"/>
                <w:color w:val="auto"/>
              </w:rPr>
            </w:pPr>
            <w:r>
              <w:rPr>
                <w:rFonts w:ascii="Arial" w:cs="Arial" w:eastAsia="Arial" w:hAnsi="Arial"/>
                <w:sz w:val="16"/>
                <w:szCs w:val="16"/>
                <w:color w:val="auto"/>
              </w:rPr>
              <w:t>17,121</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280"/>
              <w:spacing w:after="0"/>
              <w:rPr>
                <w:sz w:val="20"/>
                <w:szCs w:val="20"/>
                <w:color w:val="auto"/>
              </w:rPr>
            </w:pPr>
            <w:r>
              <w:rPr>
                <w:rFonts w:ascii="Arial" w:cs="Arial" w:eastAsia="Arial" w:hAnsi="Arial"/>
                <w:sz w:val="16"/>
                <w:szCs w:val="16"/>
                <w:color w:val="auto"/>
              </w:rPr>
              <w:t>OTHER EXPENSE:</w:t>
            </w: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BFBFBF"/>
          </w:tcPr>
          <w:p>
            <w:pPr>
              <w:ind w:left="940"/>
              <w:spacing w:after="0"/>
              <w:rPr>
                <w:sz w:val="20"/>
                <w:szCs w:val="20"/>
                <w:color w:val="auto"/>
              </w:rPr>
            </w:pPr>
            <w:r>
              <w:rPr>
                <w:rFonts w:ascii="Arial" w:cs="Arial" w:eastAsia="Arial" w:hAnsi="Arial"/>
                <w:sz w:val="16"/>
                <w:szCs w:val="16"/>
                <w:color w:val="auto"/>
              </w:rPr>
              <w:t>Interest expense</w:t>
            </w:r>
          </w:p>
        </w:tc>
        <w:tc>
          <w:tcPr>
            <w:tcW w:w="42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1180" w:type="dxa"/>
            <w:vAlign w:val="bottom"/>
            <w:shd w:val="clear" w:color="auto" w:fill="BFBFBF"/>
          </w:tcPr>
          <w:p>
            <w:pPr>
              <w:jc w:val="right"/>
              <w:ind w:right="379"/>
              <w:spacing w:after="0"/>
              <w:rPr>
                <w:sz w:val="20"/>
                <w:szCs w:val="20"/>
                <w:color w:val="auto"/>
              </w:rPr>
            </w:pPr>
            <w:r>
              <w:rPr>
                <w:rFonts w:ascii="Arial" w:cs="Arial" w:eastAsia="Arial" w:hAnsi="Arial"/>
                <w:sz w:val="16"/>
                <w:szCs w:val="16"/>
                <w:color w:val="auto"/>
              </w:rPr>
              <w:t>9,925</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1260"/>
              <w:spacing w:after="0"/>
              <w:rPr>
                <w:sz w:val="20"/>
                <w:szCs w:val="20"/>
                <w:color w:val="auto"/>
              </w:rPr>
            </w:pPr>
            <w:r>
              <w:rPr>
                <w:rFonts w:ascii="Arial" w:cs="Arial" w:eastAsia="Arial" w:hAnsi="Arial"/>
                <w:sz w:val="16"/>
                <w:szCs w:val="16"/>
                <w:color w:val="auto"/>
              </w:rPr>
              <w:t>Total other income</w:t>
            </w:r>
          </w:p>
        </w:tc>
        <w:tc>
          <w:tcPr>
            <w:tcW w:w="4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9,925</w:t>
            </w:r>
          </w:p>
        </w:tc>
        <w:tc>
          <w:tcPr>
            <w:tcW w:w="0" w:type="dxa"/>
            <w:vAlign w:val="bottom"/>
          </w:tcPr>
          <w:p>
            <w:pPr>
              <w:spacing w:after="0"/>
              <w:rPr>
                <w:sz w:val="1"/>
                <w:szCs w:val="1"/>
                <w:color w:val="auto"/>
              </w:rPr>
            </w:pPr>
          </w:p>
        </w:tc>
      </w:tr>
      <w:tr>
        <w:trPr>
          <w:trHeight w:val="199"/>
        </w:trPr>
        <w:tc>
          <w:tcPr>
            <w:tcW w:w="3640" w:type="dxa"/>
            <w:vAlign w:val="bottom"/>
            <w:tcBorders>
              <w:bottom w:val="single" w:sz="8" w:color="BFBFBF"/>
            </w:tcBorders>
          </w:tcPr>
          <w:p>
            <w:pPr>
              <w:spacing w:after="0"/>
              <w:rPr>
                <w:sz w:val="17"/>
                <w:szCs w:val="17"/>
                <w:color w:val="auto"/>
              </w:rPr>
            </w:pPr>
          </w:p>
        </w:tc>
        <w:tc>
          <w:tcPr>
            <w:tcW w:w="420" w:type="dxa"/>
            <w:vAlign w:val="bottom"/>
            <w:tcBorders>
              <w:bottom w:val="single" w:sz="8" w:color="BFBFB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BFBFBF"/>
            </w:tcBorders>
            <w:shd w:val="clear" w:color="auto" w:fill="BFBFBF"/>
          </w:tcPr>
          <w:p>
            <w:pPr>
              <w:ind w:left="28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BFBFBF"/>
            </w:tcBorders>
            <w:shd w:val="clear" w:color="auto" w:fill="BFBFBF"/>
          </w:tcPr>
          <w:p>
            <w:pPr>
              <w:spacing w:after="0"/>
              <w:rPr>
                <w:sz w:val="17"/>
                <w:szCs w:val="17"/>
                <w:color w:val="auto"/>
              </w:rPr>
            </w:pPr>
          </w:p>
        </w:tc>
        <w:tc>
          <w:tcPr>
            <w:tcW w:w="380" w:type="dxa"/>
            <w:vAlign w:val="bottom"/>
            <w:tcBorders>
              <w:bottom w:val="single" w:sz="8" w:color="auto"/>
            </w:tcBorders>
            <w:shd w:val="clear" w:color="auto" w:fill="BFBFBF"/>
          </w:tcPr>
          <w:p>
            <w:pPr>
              <w:spacing w:after="0"/>
              <w:rPr>
                <w:sz w:val="17"/>
                <w:szCs w:val="17"/>
                <w:color w:val="auto"/>
              </w:rPr>
            </w:pPr>
          </w:p>
        </w:tc>
        <w:tc>
          <w:tcPr>
            <w:tcW w:w="1180" w:type="dxa"/>
            <w:vAlign w:val="bottom"/>
            <w:tcBorders>
              <w:bottom w:val="single" w:sz="8" w:color="auto"/>
            </w:tcBorders>
            <w:shd w:val="clear" w:color="auto" w:fill="BFBFBF"/>
          </w:tcPr>
          <w:p>
            <w:pPr>
              <w:jc w:val="right"/>
              <w:ind w:right="379"/>
              <w:spacing w:after="0"/>
              <w:rPr>
                <w:sz w:val="20"/>
                <w:szCs w:val="20"/>
                <w:color w:val="auto"/>
              </w:rPr>
            </w:pPr>
            <w:r>
              <w:rPr>
                <w:rFonts w:ascii="Arial" w:cs="Arial" w:eastAsia="Arial" w:hAnsi="Arial"/>
                <w:sz w:val="16"/>
                <w:szCs w:val="16"/>
                <w:color w:val="auto"/>
              </w:rPr>
              <w:t>7,196</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260985</wp:posOffset>
            </wp:positionV>
            <wp:extent cx="554863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(doing business as Silver Legacy Resort Casino)</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COMPREHENSIVE INCOME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56"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1, 2015 to</w:t>
            </w:r>
          </w:p>
        </w:tc>
      </w:tr>
      <w:tr>
        <w:trPr>
          <w:trHeight w:val="213"/>
        </w:trPr>
        <w:tc>
          <w:tcPr>
            <w:tcW w:w="4040" w:type="dxa"/>
            <w:vAlign w:val="bottom"/>
          </w:tcPr>
          <w:p>
            <w:pPr>
              <w:spacing w:after="0"/>
              <w:rPr>
                <w:sz w:val="18"/>
                <w:szCs w:val="18"/>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7"/>
              </w:rPr>
              <w:t>November 23, 2015</w:t>
            </w:r>
          </w:p>
        </w:tc>
      </w:tr>
      <w:tr>
        <w:trPr>
          <w:trHeight w:val="199"/>
        </w:trPr>
        <w:tc>
          <w:tcPr>
            <w:tcW w:w="4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4040" w:type="dxa"/>
            <w:vAlign w:val="bottom"/>
            <w:shd w:val="clear" w:color="auto" w:fill="BFBFBF"/>
          </w:tcPr>
          <w:p>
            <w:pPr>
              <w:ind w:left="28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auto"/>
            </w:tcBorders>
            <w:shd w:val="clear" w:color="auto" w:fill="BFBFBF"/>
          </w:tcPr>
          <w:p>
            <w:pPr>
              <w:ind w:lef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BFBFBF"/>
          </w:tcPr>
          <w:p>
            <w:pPr>
              <w:jc w:val="right"/>
              <w:ind w:right="399"/>
              <w:spacing w:after="0"/>
              <w:rPr>
                <w:sz w:val="20"/>
                <w:szCs w:val="20"/>
                <w:color w:val="auto"/>
              </w:rPr>
            </w:pPr>
            <w:r>
              <w:rPr>
                <w:rFonts w:ascii="Arial" w:cs="Arial" w:eastAsia="Arial" w:hAnsi="Arial"/>
                <w:sz w:val="16"/>
                <w:szCs w:val="16"/>
                <w:color w:val="auto"/>
              </w:rPr>
              <w:t>7,196</w:t>
            </w:r>
          </w:p>
        </w:tc>
      </w:tr>
      <w:tr>
        <w:trPr>
          <w:trHeight w:val="203"/>
        </w:trPr>
        <w:tc>
          <w:tcPr>
            <w:tcW w:w="4040" w:type="dxa"/>
            <w:vAlign w:val="bottom"/>
          </w:tcPr>
          <w:p>
            <w:pPr>
              <w:ind w:left="280"/>
              <w:spacing w:after="0"/>
              <w:rPr>
                <w:sz w:val="20"/>
                <w:szCs w:val="20"/>
                <w:color w:val="auto"/>
              </w:rPr>
            </w:pPr>
            <w:r>
              <w:rPr>
                <w:rFonts w:ascii="Arial" w:cs="Arial" w:eastAsia="Arial" w:hAnsi="Arial"/>
                <w:sz w:val="16"/>
                <w:szCs w:val="16"/>
                <w:color w:val="auto"/>
              </w:rPr>
              <w:t>Comprehensive income</w:t>
            </w: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7,196</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578485</wp:posOffset>
            </wp:positionV>
            <wp:extent cx="554863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8" w:name="page159"/>
    <w:bookmarkEnd w:id="158"/>
    <w:p>
      <w:pPr>
        <w:jc w:val="center"/>
        <w:ind w:right="26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(doing business as Silver Legacy Resort Casino)</w:t>
      </w:r>
    </w:p>
    <w:p>
      <w:pPr>
        <w:spacing w:after="0" w:line="15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UNAUDITED CONSOLIDATED STATEMENT OF MEMBERS’ EQUITY</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January 1, 2015 to November 23, 2015</w:t>
      </w: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Eldorado</w:t>
            </w:r>
          </w:p>
        </w:tc>
        <w:tc>
          <w:tcPr>
            <w:tcW w:w="9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Galleon,</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Resorts,</w:t>
            </w:r>
          </w:p>
        </w:tc>
        <w:tc>
          <w:tcPr>
            <w:tcW w:w="96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Inc.</w:t>
            </w:r>
          </w:p>
        </w:tc>
        <w:tc>
          <w:tcPr>
            <w:tcW w:w="10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Eldorado, LLC</w:t>
            </w:r>
          </w:p>
        </w:tc>
        <w:tc>
          <w:tcPr>
            <w:tcW w:w="14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LLC</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60" w:type="dxa"/>
            <w:vAlign w:val="bottom"/>
            <w:tcBorders>
              <w:top w:val="single" w:sz="8" w:color="BFBFBF"/>
            </w:tcBorders>
            <w:shd w:val="clear" w:color="auto" w:fill="BFBFBF"/>
          </w:tcPr>
          <w:p>
            <w:pPr>
              <w:ind w:left="300"/>
              <w:spacing w:after="0"/>
              <w:rPr>
                <w:sz w:val="20"/>
                <w:szCs w:val="20"/>
                <w:color w:val="auto"/>
              </w:rPr>
            </w:pPr>
            <w:r>
              <w:rPr>
                <w:rFonts w:ascii="Arial" w:cs="Arial" w:eastAsia="Arial" w:hAnsi="Arial"/>
                <w:sz w:val="18"/>
                <w:szCs w:val="18"/>
                <w:color w:val="auto"/>
              </w:rPr>
              <w:t>Balance, January 1, 2015</w:t>
            </w:r>
          </w:p>
        </w:tc>
        <w:tc>
          <w:tcPr>
            <w:tcW w:w="180" w:type="dxa"/>
            <w:vAlign w:val="bottom"/>
            <w:tcBorders>
              <w:top w:val="single" w:sz="8" w:color="BFBFBF"/>
              <w:bottom w:val="single" w:sz="8" w:color="auto"/>
            </w:tcBorders>
            <w:shd w:val="clear" w:color="auto" w:fill="BFBFBF"/>
          </w:tcPr>
          <w:p>
            <w:pPr>
              <w:spacing w:after="0"/>
              <w:rPr>
                <w:sz w:val="18"/>
                <w:szCs w:val="18"/>
                <w:color w:val="auto"/>
              </w:rPr>
            </w:pPr>
          </w:p>
        </w:tc>
        <w:tc>
          <w:tcPr>
            <w:tcW w:w="980" w:type="dxa"/>
            <w:vAlign w:val="bottom"/>
            <w:tcBorders>
              <w:top w:val="single" w:sz="8" w:color="BFBFBF"/>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54,769</w:t>
            </w:r>
          </w:p>
        </w:tc>
        <w:tc>
          <w:tcPr>
            <w:tcW w:w="300" w:type="dxa"/>
            <w:vAlign w:val="bottom"/>
            <w:tcBorders>
              <w:top w:val="single" w:sz="8" w:color="BFBFBF"/>
            </w:tcBorders>
            <w:shd w:val="clear" w:color="auto" w:fill="BFBFBF"/>
          </w:tcPr>
          <w:p>
            <w:pPr>
              <w:spacing w:after="0"/>
              <w:rPr>
                <w:sz w:val="18"/>
                <w:szCs w:val="18"/>
                <w:color w:val="auto"/>
              </w:rPr>
            </w:pPr>
          </w:p>
        </w:tc>
        <w:tc>
          <w:tcPr>
            <w:tcW w:w="100" w:type="dxa"/>
            <w:vAlign w:val="bottom"/>
            <w:tcBorders>
              <w:top w:val="single" w:sz="8" w:color="auto"/>
              <w:bottom w:val="single" w:sz="8" w:color="auto"/>
            </w:tcBorders>
            <w:shd w:val="clear" w:color="auto" w:fill="BFBFBF"/>
          </w:tcPr>
          <w:p>
            <w:pPr>
              <w:spacing w:after="0"/>
              <w:rPr>
                <w:sz w:val="18"/>
                <w:szCs w:val="18"/>
                <w:color w:val="auto"/>
              </w:rPr>
            </w:pPr>
          </w:p>
        </w:tc>
        <w:tc>
          <w:tcPr>
            <w:tcW w:w="1360" w:type="dxa"/>
            <w:vAlign w:val="bottom"/>
            <w:tcBorders>
              <w:top w:val="single" w:sz="8" w:color="auto"/>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64,902</w:t>
            </w:r>
          </w:p>
        </w:tc>
        <w:tc>
          <w:tcPr>
            <w:tcW w:w="280" w:type="dxa"/>
            <w:vAlign w:val="bottom"/>
            <w:tcBorders>
              <w:top w:val="single" w:sz="8" w:color="BFBFBF"/>
            </w:tcBorders>
            <w:shd w:val="clear" w:color="auto" w:fill="BFBFBF"/>
          </w:tcPr>
          <w:p>
            <w:pPr>
              <w:spacing w:after="0"/>
              <w:rPr>
                <w:sz w:val="18"/>
                <w:szCs w:val="18"/>
                <w:color w:val="auto"/>
              </w:rPr>
            </w:pPr>
          </w:p>
        </w:tc>
        <w:tc>
          <w:tcPr>
            <w:tcW w:w="140" w:type="dxa"/>
            <w:vAlign w:val="bottom"/>
            <w:tcBorders>
              <w:top w:val="single" w:sz="8" w:color="auto"/>
              <w:bottom w:val="single" w:sz="8" w:color="auto"/>
            </w:tcBorders>
            <w:shd w:val="clear" w:color="auto" w:fill="BFBFBF"/>
          </w:tcPr>
          <w:p>
            <w:pPr>
              <w:spacing w:after="0"/>
              <w:rPr>
                <w:sz w:val="18"/>
                <w:szCs w:val="18"/>
                <w:color w:val="auto"/>
              </w:rPr>
            </w:pPr>
          </w:p>
        </w:tc>
        <w:tc>
          <w:tcPr>
            <w:tcW w:w="900" w:type="dxa"/>
            <w:vAlign w:val="bottom"/>
            <w:tcBorders>
              <w:top w:val="single" w:sz="8" w:color="auto"/>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top w:val="single" w:sz="8" w:color="BFBFBF"/>
            </w:tcBorders>
            <w:shd w:val="clear" w:color="auto" w:fill="BFBFBF"/>
          </w:tcPr>
          <w:p>
            <w:pPr>
              <w:spacing w:after="0"/>
              <w:rPr>
                <w:sz w:val="18"/>
                <w:szCs w:val="18"/>
                <w:color w:val="auto"/>
              </w:rPr>
            </w:pPr>
          </w:p>
        </w:tc>
        <w:tc>
          <w:tcPr>
            <w:tcW w:w="960" w:type="dxa"/>
            <w:vAlign w:val="bottom"/>
            <w:tcBorders>
              <w:top w:val="single" w:sz="8" w:color="auto"/>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119,538</w:t>
            </w:r>
          </w:p>
        </w:tc>
      </w:tr>
      <w:tr>
        <w:trPr>
          <w:trHeight w:val="210"/>
        </w:trPr>
        <w:tc>
          <w:tcPr>
            <w:tcW w:w="3660" w:type="dxa"/>
            <w:vAlign w:val="bottom"/>
            <w:tcBorders>
              <w:bottom w:val="single" w:sz="8" w:color="BFBFBF"/>
            </w:tcBorders>
          </w:tcPr>
          <w:p>
            <w:pPr>
              <w:ind w:left="10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300" w:type="dxa"/>
            <w:vAlign w:val="bottom"/>
            <w:tcBorders>
              <w:bottom w:val="single" w:sz="8" w:color="BFBFB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BFBFB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80" w:type="dxa"/>
            <w:vAlign w:val="bottom"/>
            <w:tcBorders>
              <w:bottom w:val="single" w:sz="8" w:color="BFBFB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w:t>
            </w:r>
          </w:p>
        </w:tc>
      </w:tr>
      <w:tr>
        <w:trPr>
          <w:trHeight w:val="217"/>
        </w:trPr>
        <w:tc>
          <w:tcPr>
            <w:tcW w:w="3660" w:type="dxa"/>
            <w:vAlign w:val="bottom"/>
            <w:tcBorders>
              <w:bottom w:val="single" w:sz="8" w:color="BFBFBF"/>
            </w:tcBorders>
            <w:shd w:val="clear" w:color="auto" w:fill="BFBFBF"/>
          </w:tcPr>
          <w:p>
            <w:pPr>
              <w:ind w:left="300"/>
              <w:spacing w:after="0"/>
              <w:rPr>
                <w:sz w:val="20"/>
                <w:szCs w:val="20"/>
                <w:color w:val="auto"/>
              </w:rPr>
            </w:pPr>
            <w:r>
              <w:rPr>
                <w:rFonts w:ascii="Arial" w:cs="Arial" w:eastAsia="Arial" w:hAnsi="Arial"/>
                <w:sz w:val="18"/>
                <w:szCs w:val="18"/>
                <w:color w:val="auto"/>
              </w:rPr>
              <w:t>Balance, November 23, 2015</w:t>
            </w:r>
          </w:p>
        </w:tc>
        <w:tc>
          <w:tcPr>
            <w:tcW w:w="1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58,367</w:t>
            </w:r>
          </w:p>
        </w:tc>
        <w:tc>
          <w:tcPr>
            <w:tcW w:w="300" w:type="dxa"/>
            <w:vAlign w:val="bottom"/>
            <w:tcBorders>
              <w:bottom w:val="single" w:sz="8" w:color="BFBFBF"/>
            </w:tcBorders>
            <w:shd w:val="clear" w:color="auto" w:fill="BFBFBF"/>
          </w:tcPr>
          <w:p>
            <w:pPr>
              <w:spacing w:after="0"/>
              <w:rPr>
                <w:sz w:val="18"/>
                <w:szCs w:val="18"/>
                <w:color w:val="auto"/>
              </w:rPr>
            </w:pPr>
          </w:p>
        </w:tc>
        <w:tc>
          <w:tcPr>
            <w:tcW w:w="1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65,040</w:t>
            </w:r>
          </w:p>
        </w:tc>
        <w:tc>
          <w:tcPr>
            <w:tcW w:w="280" w:type="dxa"/>
            <w:vAlign w:val="bottom"/>
            <w:tcBorders>
              <w:bottom w:val="single" w:sz="8" w:color="BFBFBF"/>
            </w:tcBorders>
            <w:shd w:val="clear" w:color="auto" w:fill="BFBFBF"/>
          </w:tcPr>
          <w:p>
            <w:pPr>
              <w:spacing w:after="0"/>
              <w:rPr>
                <w:sz w:val="18"/>
                <w:szCs w:val="18"/>
                <w:color w:val="auto"/>
              </w:rPr>
            </w:pPr>
          </w:p>
        </w:tc>
        <w:tc>
          <w:tcPr>
            <w:tcW w:w="1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3,327</w:t>
            </w:r>
          </w:p>
        </w:tc>
        <w:tc>
          <w:tcPr>
            <w:tcW w:w="280" w:type="dxa"/>
            <w:vAlign w:val="bottom"/>
            <w:tcBorders>
              <w:bottom w:val="single" w:sz="8" w:color="BFBFBF"/>
            </w:tcBorders>
            <w:shd w:val="clear" w:color="auto" w:fill="BFBFBF"/>
          </w:tcPr>
          <w:p>
            <w:pPr>
              <w:spacing w:after="0"/>
              <w:rPr>
                <w:sz w:val="18"/>
                <w:szCs w:val="18"/>
                <w:color w:val="auto"/>
              </w:rPr>
            </w:pPr>
          </w:p>
        </w:tc>
        <w:tc>
          <w:tcPr>
            <w:tcW w:w="9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w w:val="99"/>
              </w:rPr>
              <w:t>$   126,734</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152400</wp:posOffset>
            </wp:positionV>
            <wp:extent cx="554863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280"/>
          </w:cols>
          <w:pgMar w:left="1440" w:top="338" w:right="1179" w:bottom="144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(doing business as Silver Legacy Resort Casino)</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CASH FLOWS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820" w:type="dxa"/>
            <w:vAlign w:val="bottom"/>
            <w:gridSpan w:val="2"/>
          </w:tcPr>
          <w:p>
            <w:pPr>
              <w:ind w:left="3920"/>
              <w:spacing w:after="0"/>
              <w:rPr>
                <w:sz w:val="20"/>
                <w:szCs w:val="20"/>
                <w:color w:val="auto"/>
              </w:rPr>
            </w:pPr>
            <w:r>
              <w:rPr>
                <w:rFonts w:ascii="Arial" w:cs="Arial" w:eastAsia="Arial" w:hAnsi="Arial"/>
                <w:sz w:val="14"/>
                <w:szCs w:val="14"/>
                <w:b w:val="1"/>
                <w:bCs w:val="1"/>
                <w:color w:val="auto"/>
                <w:w w:val="91"/>
              </w:rPr>
              <w:t>(In thousands)</w:t>
            </w:r>
          </w:p>
        </w:tc>
        <w:tc>
          <w:tcPr>
            <w:tcW w:w="1500" w:type="dxa"/>
            <w:vAlign w:val="bottom"/>
          </w:tcPr>
          <w:p>
            <w:pPr>
              <w:spacing w:after="0"/>
              <w:rPr>
                <w:sz w:val="16"/>
                <w:szCs w:val="16"/>
                <w:color w:val="auto"/>
              </w:rPr>
            </w:pPr>
          </w:p>
        </w:tc>
      </w:tr>
      <w:tr>
        <w:trPr>
          <w:trHeight w:val="557"/>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248"/>
              <w:spacing w:after="0"/>
              <w:rPr>
                <w:sz w:val="20"/>
                <w:szCs w:val="20"/>
                <w:color w:val="auto"/>
              </w:rPr>
            </w:pPr>
            <w:r>
              <w:rPr>
                <w:rFonts w:ascii="Arial" w:cs="Arial" w:eastAsia="Arial" w:hAnsi="Arial"/>
                <w:sz w:val="14"/>
                <w:szCs w:val="14"/>
                <w:b w:val="1"/>
                <w:bCs w:val="1"/>
                <w:color w:val="auto"/>
                <w:w w:val="95"/>
              </w:rPr>
              <w:t>January 1, 2015 to</w:t>
            </w:r>
          </w:p>
        </w:tc>
      </w:tr>
      <w:tr>
        <w:trPr>
          <w:trHeight w:val="171"/>
        </w:trPr>
        <w:tc>
          <w:tcPr>
            <w:tcW w:w="4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2"/>
              </w:rPr>
              <w:t>November 23, 2015</w:t>
            </w:r>
          </w:p>
        </w:tc>
      </w:tr>
      <w:tr>
        <w:trPr>
          <w:trHeight w:val="196"/>
        </w:trPr>
        <w:tc>
          <w:tcPr>
            <w:tcW w:w="4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4520" w:type="dxa"/>
            <w:vAlign w:val="bottom"/>
            <w:shd w:val="clear" w:color="auto" w:fill="C0C0C0"/>
          </w:tcPr>
          <w:p>
            <w:pPr>
              <w:ind w:left="28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0C0C0"/>
          </w:tcPr>
          <w:p>
            <w:pPr>
              <w:spacing w:after="0"/>
              <w:rPr>
                <w:sz w:val="18"/>
                <w:szCs w:val="18"/>
                <w:color w:val="auto"/>
              </w:rPr>
            </w:pPr>
          </w:p>
        </w:tc>
        <w:tc>
          <w:tcPr>
            <w:tcW w:w="1500" w:type="dxa"/>
            <w:vAlign w:val="bottom"/>
            <w:shd w:val="clear" w:color="auto" w:fill="C0C0C0"/>
          </w:tcPr>
          <w:p>
            <w:pPr>
              <w:spacing w:after="0"/>
              <w:rPr>
                <w:sz w:val="18"/>
                <w:szCs w:val="18"/>
                <w:color w:val="auto"/>
              </w:rPr>
            </w:pPr>
          </w:p>
        </w:tc>
      </w:tr>
      <w:tr>
        <w:trPr>
          <w:trHeight w:val="216"/>
        </w:trPr>
        <w:tc>
          <w:tcPr>
            <w:tcW w:w="4520" w:type="dxa"/>
            <w:vAlign w:val="bottom"/>
          </w:tcPr>
          <w:p>
            <w:pPr>
              <w:ind w:left="8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7,196</w:t>
            </w:r>
          </w:p>
        </w:tc>
      </w:tr>
      <w:tr>
        <w:trPr>
          <w:trHeight w:val="230"/>
        </w:trPr>
        <w:tc>
          <w:tcPr>
            <w:tcW w:w="4520" w:type="dxa"/>
            <w:vAlign w:val="bottom"/>
            <w:shd w:val="clear" w:color="auto" w:fill="C0C0C0"/>
          </w:tcPr>
          <w:p>
            <w:pPr>
              <w:ind w:left="840"/>
              <w:spacing w:after="0"/>
              <w:rPr>
                <w:sz w:val="20"/>
                <w:szCs w:val="20"/>
                <w:color w:val="auto"/>
              </w:rPr>
            </w:pPr>
            <w:r>
              <w:rPr>
                <w:rFonts w:ascii="Arial" w:cs="Arial" w:eastAsia="Arial" w:hAnsi="Arial"/>
                <w:sz w:val="14"/>
                <w:szCs w:val="14"/>
                <w:color w:val="auto"/>
              </w:rPr>
              <w:t>Adjustments to reconcile net income to net cash</w:t>
            </w:r>
          </w:p>
        </w:tc>
        <w:tc>
          <w:tcPr>
            <w:tcW w:w="300" w:type="dxa"/>
            <w:vAlign w:val="bottom"/>
            <w:shd w:val="clear" w:color="auto" w:fill="C0C0C0"/>
          </w:tcPr>
          <w:p>
            <w:pPr>
              <w:spacing w:after="0"/>
              <w:rPr>
                <w:sz w:val="19"/>
                <w:szCs w:val="19"/>
                <w:color w:val="auto"/>
              </w:rPr>
            </w:pPr>
          </w:p>
        </w:tc>
        <w:tc>
          <w:tcPr>
            <w:tcW w:w="1500" w:type="dxa"/>
            <w:vAlign w:val="bottom"/>
            <w:shd w:val="clear" w:color="auto" w:fill="C0C0C0"/>
          </w:tcPr>
          <w:p>
            <w:pPr>
              <w:spacing w:after="0"/>
              <w:rPr>
                <w:sz w:val="19"/>
                <w:szCs w:val="19"/>
                <w:color w:val="auto"/>
              </w:rPr>
            </w:pPr>
          </w:p>
        </w:tc>
      </w:tr>
      <w:tr>
        <w:trPr>
          <w:trHeight w:val="216"/>
        </w:trPr>
        <w:tc>
          <w:tcPr>
            <w:tcW w:w="4520" w:type="dxa"/>
            <w:vAlign w:val="bottom"/>
            <w:shd w:val="clear" w:color="auto" w:fill="C0C0C0"/>
          </w:tcPr>
          <w:p>
            <w:pPr>
              <w:jc w:val="right"/>
              <w:ind w:right="1588"/>
              <w:spacing w:after="0"/>
              <w:rPr>
                <w:sz w:val="20"/>
                <w:szCs w:val="20"/>
                <w:color w:val="auto"/>
              </w:rPr>
            </w:pPr>
            <w:r>
              <w:rPr>
                <w:rFonts w:ascii="Arial" w:cs="Arial" w:eastAsia="Arial" w:hAnsi="Arial"/>
                <w:sz w:val="14"/>
                <w:szCs w:val="14"/>
                <w:color w:val="auto"/>
              </w:rPr>
              <w:t>provided by operating activities:</w:t>
            </w:r>
          </w:p>
        </w:tc>
        <w:tc>
          <w:tcPr>
            <w:tcW w:w="300" w:type="dxa"/>
            <w:vAlign w:val="bottom"/>
            <w:shd w:val="clear" w:color="auto" w:fill="C0C0C0"/>
          </w:tcPr>
          <w:p>
            <w:pPr>
              <w:spacing w:after="0"/>
              <w:rPr>
                <w:sz w:val="18"/>
                <w:szCs w:val="18"/>
                <w:color w:val="auto"/>
              </w:rPr>
            </w:pPr>
          </w:p>
        </w:tc>
        <w:tc>
          <w:tcPr>
            <w:tcW w:w="1500" w:type="dxa"/>
            <w:vAlign w:val="bottom"/>
            <w:shd w:val="clear" w:color="auto" w:fill="C0C0C0"/>
          </w:tcPr>
          <w:p>
            <w:pPr>
              <w:spacing w:after="0"/>
              <w:rPr>
                <w:sz w:val="18"/>
                <w:szCs w:val="18"/>
                <w:color w:val="auto"/>
              </w:rPr>
            </w:pPr>
          </w:p>
        </w:tc>
      </w:tr>
      <w:tr>
        <w:trPr>
          <w:trHeight w:val="216"/>
        </w:trPr>
        <w:tc>
          <w:tcPr>
            <w:tcW w:w="4520" w:type="dxa"/>
            <w:vAlign w:val="bottom"/>
          </w:tcPr>
          <w:p>
            <w:pPr>
              <w:ind w:left="128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9,299</w:t>
            </w:r>
          </w:p>
        </w:tc>
      </w:tr>
      <w:tr>
        <w:trPr>
          <w:trHeight w:val="216"/>
        </w:trPr>
        <w:tc>
          <w:tcPr>
            <w:tcW w:w="4520" w:type="dxa"/>
            <w:vAlign w:val="bottom"/>
            <w:shd w:val="clear" w:color="auto" w:fill="C0C0C0"/>
          </w:tcPr>
          <w:p>
            <w:pPr>
              <w:ind w:left="1280"/>
              <w:spacing w:after="0"/>
              <w:rPr>
                <w:sz w:val="20"/>
                <w:szCs w:val="20"/>
                <w:color w:val="auto"/>
              </w:rPr>
            </w:pPr>
            <w:r>
              <w:rPr>
                <w:rFonts w:ascii="Arial" w:cs="Arial" w:eastAsia="Arial" w:hAnsi="Arial"/>
                <w:sz w:val="14"/>
                <w:szCs w:val="14"/>
                <w:color w:val="auto"/>
              </w:rPr>
              <w:t>Amortization of debt discounts and issuance costs</w:t>
            </w:r>
          </w:p>
        </w:tc>
        <w:tc>
          <w:tcPr>
            <w:tcW w:w="300" w:type="dxa"/>
            <w:vAlign w:val="bottom"/>
            <w:shd w:val="clear" w:color="auto" w:fill="C0C0C0"/>
          </w:tcPr>
          <w:p>
            <w:pPr>
              <w:spacing w:after="0"/>
              <w:rPr>
                <w:sz w:val="18"/>
                <w:szCs w:val="18"/>
                <w:color w:val="auto"/>
              </w:rPr>
            </w:pPr>
          </w:p>
        </w:tc>
        <w:tc>
          <w:tcPr>
            <w:tcW w:w="15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3,051</w:t>
            </w:r>
          </w:p>
        </w:tc>
      </w:tr>
      <w:tr>
        <w:trPr>
          <w:trHeight w:val="216"/>
        </w:trPr>
        <w:tc>
          <w:tcPr>
            <w:tcW w:w="4520" w:type="dxa"/>
            <w:vAlign w:val="bottom"/>
          </w:tcPr>
          <w:p>
            <w:pPr>
              <w:ind w:left="1280"/>
              <w:spacing w:after="0"/>
              <w:rPr>
                <w:sz w:val="20"/>
                <w:szCs w:val="20"/>
                <w:color w:val="auto"/>
              </w:rPr>
            </w:pPr>
            <w:r>
              <w:rPr>
                <w:rFonts w:ascii="Arial" w:cs="Arial" w:eastAsia="Arial" w:hAnsi="Arial"/>
                <w:sz w:val="14"/>
                <w:szCs w:val="14"/>
                <w:color w:val="auto"/>
              </w:rPr>
              <w:t>Pay-in-kind interest on Member Notes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756</w:t>
            </w:r>
          </w:p>
        </w:tc>
      </w:tr>
      <w:tr>
        <w:trPr>
          <w:trHeight w:val="216"/>
        </w:trPr>
        <w:tc>
          <w:tcPr>
            <w:tcW w:w="4520" w:type="dxa"/>
            <w:vAlign w:val="bottom"/>
            <w:shd w:val="clear" w:color="auto" w:fill="BFBFBF"/>
          </w:tcPr>
          <w:p>
            <w:pPr>
              <w:ind w:left="1280"/>
              <w:spacing w:after="0"/>
              <w:rPr>
                <w:sz w:val="20"/>
                <w:szCs w:val="20"/>
                <w:color w:val="auto"/>
              </w:rPr>
            </w:pPr>
            <w:r>
              <w:rPr>
                <w:rFonts w:ascii="Arial" w:cs="Arial" w:eastAsia="Arial" w:hAnsi="Arial"/>
                <w:sz w:val="14"/>
                <w:szCs w:val="14"/>
                <w:color w:val="auto"/>
              </w:rPr>
              <w:t>Loss on disposition of assets</w:t>
            </w:r>
          </w:p>
        </w:tc>
        <w:tc>
          <w:tcPr>
            <w:tcW w:w="300" w:type="dxa"/>
            <w:vAlign w:val="bottom"/>
            <w:shd w:val="clear" w:color="auto" w:fill="BFBFBF"/>
          </w:tcPr>
          <w:p>
            <w:pPr>
              <w:spacing w:after="0"/>
              <w:rPr>
                <w:sz w:val="18"/>
                <w:szCs w:val="18"/>
                <w:color w:val="auto"/>
              </w:rPr>
            </w:pPr>
          </w:p>
        </w:tc>
        <w:tc>
          <w:tcPr>
            <w:tcW w:w="15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4520" w:type="dxa"/>
            <w:vAlign w:val="bottom"/>
          </w:tcPr>
          <w:p>
            <w:pPr>
              <w:ind w:left="1280"/>
              <w:spacing w:after="0"/>
              <w:rPr>
                <w:sz w:val="20"/>
                <w:szCs w:val="20"/>
                <w:color w:val="auto"/>
              </w:rPr>
            </w:pPr>
            <w:r>
              <w:rPr>
                <w:rFonts w:ascii="Arial" w:cs="Arial" w:eastAsia="Arial" w:hAnsi="Arial"/>
                <w:sz w:val="14"/>
                <w:szCs w:val="14"/>
                <w:color w:val="auto"/>
              </w:rPr>
              <w:t>Provision for doubtful accounts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16"/>
        </w:trPr>
        <w:tc>
          <w:tcPr>
            <w:tcW w:w="4520" w:type="dxa"/>
            <w:vAlign w:val="bottom"/>
            <w:shd w:val="clear" w:color="auto" w:fill="BFBFBF"/>
          </w:tcPr>
          <w:p>
            <w:pPr>
              <w:ind w:left="840"/>
              <w:spacing w:after="0"/>
              <w:rPr>
                <w:sz w:val="20"/>
                <w:szCs w:val="20"/>
                <w:color w:val="auto"/>
              </w:rPr>
            </w:pPr>
            <w:r>
              <w:rPr>
                <w:rFonts w:ascii="Arial" w:cs="Arial" w:eastAsia="Arial" w:hAnsi="Arial"/>
                <w:sz w:val="14"/>
                <w:szCs w:val="14"/>
                <w:color w:val="auto"/>
              </w:rPr>
              <w:t>Changes in current assets and current liabilities:</w:t>
            </w:r>
          </w:p>
        </w:tc>
        <w:tc>
          <w:tcPr>
            <w:tcW w:w="300" w:type="dxa"/>
            <w:vAlign w:val="bottom"/>
            <w:shd w:val="clear" w:color="auto" w:fill="BFBFBF"/>
          </w:tcPr>
          <w:p>
            <w:pPr>
              <w:spacing w:after="0"/>
              <w:rPr>
                <w:sz w:val="18"/>
                <w:szCs w:val="18"/>
                <w:color w:val="auto"/>
              </w:rPr>
            </w:pPr>
          </w:p>
        </w:tc>
        <w:tc>
          <w:tcPr>
            <w:tcW w:w="1500" w:type="dxa"/>
            <w:vAlign w:val="bottom"/>
            <w:shd w:val="clear" w:color="auto" w:fill="BFBFBF"/>
          </w:tcPr>
          <w:p>
            <w:pPr>
              <w:spacing w:after="0"/>
              <w:rPr>
                <w:sz w:val="18"/>
                <w:szCs w:val="18"/>
                <w:color w:val="auto"/>
              </w:rPr>
            </w:pPr>
          </w:p>
        </w:tc>
      </w:tr>
      <w:tr>
        <w:trPr>
          <w:trHeight w:val="216"/>
        </w:trPr>
        <w:tc>
          <w:tcPr>
            <w:tcW w:w="4520" w:type="dxa"/>
            <w:vAlign w:val="bottom"/>
          </w:tcPr>
          <w:p>
            <w:pPr>
              <w:ind w:left="128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(1,413)</w:t>
            </w:r>
          </w:p>
        </w:tc>
      </w:tr>
      <w:tr>
        <w:trPr>
          <w:trHeight w:val="216"/>
        </w:trPr>
        <w:tc>
          <w:tcPr>
            <w:tcW w:w="4520" w:type="dxa"/>
            <w:vAlign w:val="bottom"/>
            <w:shd w:val="clear" w:color="auto" w:fill="BFBFBF"/>
          </w:tcPr>
          <w:p>
            <w:pPr>
              <w:ind w:left="12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BFBFBF"/>
          </w:tcPr>
          <w:p>
            <w:pPr>
              <w:spacing w:after="0"/>
              <w:rPr>
                <w:sz w:val="18"/>
                <w:szCs w:val="18"/>
                <w:color w:val="auto"/>
              </w:rPr>
            </w:pPr>
          </w:p>
        </w:tc>
        <w:tc>
          <w:tcPr>
            <w:tcW w:w="15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49</w:t>
            </w:r>
          </w:p>
        </w:tc>
      </w:tr>
      <w:tr>
        <w:trPr>
          <w:trHeight w:val="216"/>
        </w:trPr>
        <w:tc>
          <w:tcPr>
            <w:tcW w:w="4520" w:type="dxa"/>
            <w:vAlign w:val="bottom"/>
          </w:tcPr>
          <w:p>
            <w:pPr>
              <w:ind w:left="1280"/>
              <w:spacing w:after="0"/>
              <w:rPr>
                <w:sz w:val="20"/>
                <w:szCs w:val="20"/>
                <w:color w:val="auto"/>
              </w:rPr>
            </w:pPr>
            <w:r>
              <w:rPr>
                <w:rFonts w:ascii="Arial" w:cs="Arial" w:eastAsia="Arial" w:hAnsi="Arial"/>
                <w:sz w:val="14"/>
                <w:szCs w:val="14"/>
                <w:color w:val="auto"/>
              </w:rPr>
              <w:t>Prepaid expenses and other</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(739)</w:t>
            </w:r>
          </w:p>
        </w:tc>
      </w:tr>
      <w:tr>
        <w:trPr>
          <w:trHeight w:val="216"/>
        </w:trPr>
        <w:tc>
          <w:tcPr>
            <w:tcW w:w="4520" w:type="dxa"/>
            <w:vAlign w:val="bottom"/>
            <w:shd w:val="clear" w:color="auto" w:fill="BFBFBF"/>
          </w:tcPr>
          <w:p>
            <w:pPr>
              <w:ind w:left="12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BFBFBF"/>
          </w:tcPr>
          <w:p>
            <w:pPr>
              <w:spacing w:after="0"/>
              <w:rPr>
                <w:sz w:val="18"/>
                <w:szCs w:val="18"/>
                <w:color w:val="auto"/>
              </w:rPr>
            </w:pPr>
          </w:p>
        </w:tc>
        <w:tc>
          <w:tcPr>
            <w:tcW w:w="15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(812)</w:t>
            </w:r>
          </w:p>
        </w:tc>
      </w:tr>
      <w:tr>
        <w:trPr>
          <w:trHeight w:val="216"/>
        </w:trPr>
        <w:tc>
          <w:tcPr>
            <w:tcW w:w="4520" w:type="dxa"/>
            <w:vAlign w:val="bottom"/>
          </w:tcPr>
          <w:p>
            <w:pPr>
              <w:ind w:left="1280"/>
              <w:spacing w:after="0"/>
              <w:rPr>
                <w:sz w:val="20"/>
                <w:szCs w:val="20"/>
                <w:color w:val="auto"/>
              </w:rPr>
            </w:pPr>
            <w:r>
              <w:rPr>
                <w:rFonts w:ascii="Arial" w:cs="Arial" w:eastAsia="Arial" w:hAnsi="Arial"/>
                <w:sz w:val="14"/>
                <w:szCs w:val="14"/>
                <w:color w:val="auto"/>
              </w:rPr>
              <w:t>Accrued interest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958</w:t>
            </w:r>
          </w:p>
        </w:tc>
      </w:tr>
      <w:tr>
        <w:trPr>
          <w:trHeight w:val="216"/>
        </w:trPr>
        <w:tc>
          <w:tcPr>
            <w:tcW w:w="4520" w:type="dxa"/>
            <w:vAlign w:val="bottom"/>
            <w:shd w:val="clear" w:color="auto" w:fill="BFBFBF"/>
          </w:tcPr>
          <w:p>
            <w:pPr>
              <w:ind w:left="1280"/>
              <w:spacing w:after="0"/>
              <w:rPr>
                <w:sz w:val="20"/>
                <w:szCs w:val="20"/>
                <w:color w:val="auto"/>
              </w:rPr>
            </w:pPr>
            <w:r>
              <w:rPr>
                <w:rFonts w:ascii="Arial" w:cs="Arial" w:eastAsia="Arial" w:hAnsi="Arial"/>
                <w:sz w:val="14"/>
                <w:szCs w:val="14"/>
                <w:color w:val="auto"/>
              </w:rPr>
              <w:t>Accrued and other liabilities</w:t>
            </w:r>
          </w:p>
        </w:tc>
        <w:tc>
          <w:tcPr>
            <w:tcW w:w="300" w:type="dxa"/>
            <w:vAlign w:val="bottom"/>
            <w:tcBorders>
              <w:bottom w:val="single" w:sz="8" w:color="auto"/>
            </w:tcBorders>
            <w:shd w:val="clear" w:color="auto" w:fill="BFBFBF"/>
          </w:tcPr>
          <w:p>
            <w:pPr>
              <w:spacing w:after="0"/>
              <w:rPr>
                <w:sz w:val="18"/>
                <w:szCs w:val="18"/>
                <w:color w:val="auto"/>
              </w:rPr>
            </w:pP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314</w:t>
            </w:r>
          </w:p>
        </w:tc>
      </w:tr>
      <w:tr>
        <w:trPr>
          <w:trHeight w:val="196"/>
        </w:trPr>
        <w:tc>
          <w:tcPr>
            <w:tcW w:w="4520" w:type="dxa"/>
            <w:vAlign w:val="bottom"/>
            <w:tcBorders>
              <w:bottom w:val="single" w:sz="8" w:color="BFBFBF"/>
            </w:tcBorders>
          </w:tcPr>
          <w:p>
            <w:pPr>
              <w:ind w:left="156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18,844</w:t>
            </w:r>
          </w:p>
        </w:tc>
      </w:tr>
      <w:tr>
        <w:trPr>
          <w:trHeight w:val="196"/>
        </w:trPr>
        <w:tc>
          <w:tcPr>
            <w:tcW w:w="4520" w:type="dxa"/>
            <w:vAlign w:val="bottom"/>
            <w:shd w:val="clear" w:color="auto" w:fill="BFBFBF"/>
          </w:tcPr>
          <w:p>
            <w:pPr>
              <w:ind w:left="28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r>
      <w:tr>
        <w:trPr>
          <w:trHeight w:val="216"/>
        </w:trPr>
        <w:tc>
          <w:tcPr>
            <w:tcW w:w="4520" w:type="dxa"/>
            <w:vAlign w:val="bottom"/>
          </w:tcPr>
          <w:p>
            <w:pPr>
              <w:ind w:left="840"/>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6"/>
        </w:trPr>
        <w:tc>
          <w:tcPr>
            <w:tcW w:w="4520" w:type="dxa"/>
            <w:vAlign w:val="bottom"/>
            <w:shd w:val="clear" w:color="auto" w:fill="BFBFBF"/>
          </w:tcPr>
          <w:p>
            <w:pPr>
              <w:ind w:left="840"/>
              <w:spacing w:after="0"/>
              <w:rPr>
                <w:sz w:val="20"/>
                <w:szCs w:val="20"/>
                <w:color w:val="auto"/>
              </w:rPr>
            </w:pPr>
            <w:r>
              <w:rPr>
                <w:rFonts w:ascii="Arial" w:cs="Arial" w:eastAsia="Arial" w:hAnsi="Arial"/>
                <w:sz w:val="14"/>
                <w:szCs w:val="14"/>
                <w:color w:val="auto"/>
              </w:rPr>
              <w:t>Increase in other assets</w:t>
            </w:r>
          </w:p>
        </w:tc>
        <w:tc>
          <w:tcPr>
            <w:tcW w:w="300" w:type="dxa"/>
            <w:vAlign w:val="bottom"/>
            <w:shd w:val="clear" w:color="auto" w:fill="BFBFBF"/>
          </w:tcPr>
          <w:p>
            <w:pPr>
              <w:spacing w:after="0"/>
              <w:rPr>
                <w:sz w:val="18"/>
                <w:szCs w:val="18"/>
                <w:color w:val="auto"/>
              </w:rPr>
            </w:pPr>
          </w:p>
        </w:tc>
        <w:tc>
          <w:tcPr>
            <w:tcW w:w="15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67</w:t>
            </w:r>
          </w:p>
        </w:tc>
      </w:tr>
      <w:tr>
        <w:trPr>
          <w:trHeight w:val="216"/>
        </w:trPr>
        <w:tc>
          <w:tcPr>
            <w:tcW w:w="4520" w:type="dxa"/>
            <w:vAlign w:val="bottom"/>
          </w:tcPr>
          <w:p>
            <w:pPr>
              <w:ind w:left="840"/>
              <w:spacing w:after="0"/>
              <w:rPr>
                <w:sz w:val="20"/>
                <w:szCs w:val="20"/>
                <w:color w:val="auto"/>
              </w:rPr>
            </w:pPr>
            <w:r>
              <w:rPr>
                <w:rFonts w:ascii="Arial" w:cs="Arial" w:eastAsia="Arial" w:hAnsi="Arial"/>
                <w:sz w:val="14"/>
                <w:szCs w:val="14"/>
                <w:color w:val="auto"/>
              </w:rPr>
              <w:t>Increase in restricted cash due to credit support deposit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16"/>
        </w:trPr>
        <w:tc>
          <w:tcPr>
            <w:tcW w:w="4520" w:type="dxa"/>
            <w:vAlign w:val="bottom"/>
            <w:shd w:val="clear" w:color="auto" w:fill="BFBFBF"/>
          </w:tcPr>
          <w:p>
            <w:pPr>
              <w:ind w:left="840"/>
              <w:spacing w:after="0"/>
              <w:rPr>
                <w:sz w:val="20"/>
                <w:szCs w:val="20"/>
                <w:color w:val="auto"/>
              </w:rPr>
            </w:pPr>
            <w:r>
              <w:rPr>
                <w:rFonts w:ascii="Arial" w:cs="Arial" w:eastAsia="Arial" w:hAnsi="Arial"/>
                <w:sz w:val="14"/>
                <w:szCs w:val="14"/>
                <w:color w:val="auto"/>
              </w:rPr>
              <w:t>Purchase of property and equipment</w:t>
            </w:r>
          </w:p>
        </w:tc>
        <w:tc>
          <w:tcPr>
            <w:tcW w:w="300" w:type="dxa"/>
            <w:vAlign w:val="bottom"/>
            <w:tcBorders>
              <w:bottom w:val="single" w:sz="8" w:color="auto"/>
            </w:tcBorders>
            <w:shd w:val="clear" w:color="auto" w:fill="BFBFBF"/>
          </w:tcPr>
          <w:p>
            <w:pPr>
              <w:spacing w:after="0"/>
              <w:rPr>
                <w:sz w:val="18"/>
                <w:szCs w:val="18"/>
                <w:color w:val="auto"/>
              </w:rPr>
            </w:pP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(2,884)</w:t>
            </w:r>
          </w:p>
        </w:tc>
      </w:tr>
      <w:tr>
        <w:trPr>
          <w:trHeight w:val="196"/>
        </w:trPr>
        <w:tc>
          <w:tcPr>
            <w:tcW w:w="4520" w:type="dxa"/>
            <w:vAlign w:val="bottom"/>
            <w:tcBorders>
              <w:bottom w:val="single" w:sz="8" w:color="BFBFBF"/>
            </w:tcBorders>
          </w:tcPr>
          <w:p>
            <w:pPr>
              <w:ind w:left="156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(7,789)</w:t>
            </w:r>
          </w:p>
        </w:tc>
      </w:tr>
      <w:tr>
        <w:trPr>
          <w:trHeight w:val="196"/>
        </w:trPr>
        <w:tc>
          <w:tcPr>
            <w:tcW w:w="4520" w:type="dxa"/>
            <w:vAlign w:val="bottom"/>
            <w:shd w:val="clear" w:color="auto" w:fill="BFBFBF"/>
          </w:tcPr>
          <w:p>
            <w:pPr>
              <w:ind w:left="28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BFBFBF"/>
          </w:tcPr>
          <w:p>
            <w:pPr>
              <w:spacing w:after="0"/>
              <w:rPr>
                <w:sz w:val="17"/>
                <w:szCs w:val="17"/>
                <w:color w:val="auto"/>
              </w:rPr>
            </w:pPr>
          </w:p>
        </w:tc>
        <w:tc>
          <w:tcPr>
            <w:tcW w:w="1500" w:type="dxa"/>
            <w:vAlign w:val="bottom"/>
            <w:shd w:val="clear" w:color="auto" w:fill="BFBFBF"/>
          </w:tcPr>
          <w:p>
            <w:pPr>
              <w:spacing w:after="0"/>
              <w:rPr>
                <w:sz w:val="17"/>
                <w:szCs w:val="17"/>
                <w:color w:val="auto"/>
              </w:rPr>
            </w:pPr>
          </w:p>
        </w:tc>
      </w:tr>
      <w:tr>
        <w:trPr>
          <w:trHeight w:val="216"/>
        </w:trPr>
        <w:tc>
          <w:tcPr>
            <w:tcW w:w="4520" w:type="dxa"/>
            <w:vAlign w:val="bottom"/>
            <w:tcBorders>
              <w:bottom w:val="single" w:sz="8" w:color="BFBFBF"/>
            </w:tcBorders>
          </w:tcPr>
          <w:p>
            <w:pPr>
              <w:jc w:val="right"/>
              <w:ind w:right="1588"/>
              <w:spacing w:after="0"/>
              <w:rPr>
                <w:sz w:val="20"/>
                <w:szCs w:val="20"/>
                <w:color w:val="auto"/>
              </w:rPr>
            </w:pPr>
            <w:r>
              <w:rPr>
                <w:rFonts w:ascii="Arial" w:cs="Arial" w:eastAsia="Arial" w:hAnsi="Arial"/>
                <w:sz w:val="14"/>
                <w:szCs w:val="14"/>
                <w:color w:val="auto"/>
              </w:rPr>
              <w:t>Payments on New Credit Facility</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r>
      <w:tr>
        <w:trPr>
          <w:trHeight w:val="196"/>
        </w:trPr>
        <w:tc>
          <w:tcPr>
            <w:tcW w:w="4520" w:type="dxa"/>
            <w:vAlign w:val="bottom"/>
            <w:shd w:val="clear" w:color="auto" w:fill="BFBFBF"/>
          </w:tcPr>
          <w:p>
            <w:pPr>
              <w:ind w:left="160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shd w:val="clear" w:color="auto" w:fill="BFBFBF"/>
          </w:tcPr>
          <w:p>
            <w:pPr>
              <w:spacing w:after="0"/>
              <w:rPr>
                <w:sz w:val="17"/>
                <w:szCs w:val="17"/>
                <w:color w:val="auto"/>
              </w:rPr>
            </w:pP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(4,000)</w:t>
            </w:r>
          </w:p>
        </w:tc>
      </w:tr>
      <w:tr>
        <w:trPr>
          <w:trHeight w:val="196"/>
        </w:trPr>
        <w:tc>
          <w:tcPr>
            <w:tcW w:w="452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4520" w:type="dxa"/>
            <w:vAlign w:val="bottom"/>
            <w:shd w:val="clear" w:color="auto" w:fill="BFBFBF"/>
          </w:tcPr>
          <w:p>
            <w:pPr>
              <w:ind w:left="840"/>
              <w:spacing w:after="0"/>
              <w:rPr>
                <w:sz w:val="20"/>
                <w:szCs w:val="20"/>
                <w:color w:val="auto"/>
              </w:rPr>
            </w:pPr>
            <w:r>
              <w:rPr>
                <w:rFonts w:ascii="Arial" w:cs="Arial" w:eastAsia="Arial" w:hAnsi="Arial"/>
                <w:sz w:val="14"/>
                <w:szCs w:val="14"/>
                <w:color w:val="auto"/>
              </w:rPr>
              <w:t>Net increase for the year</w:t>
            </w:r>
          </w:p>
        </w:tc>
        <w:tc>
          <w:tcPr>
            <w:tcW w:w="300" w:type="dxa"/>
            <w:vAlign w:val="bottom"/>
            <w:shd w:val="clear" w:color="auto" w:fill="BFBFBF"/>
          </w:tcPr>
          <w:p>
            <w:pPr>
              <w:spacing w:after="0"/>
              <w:rPr>
                <w:sz w:val="18"/>
                <w:szCs w:val="18"/>
                <w:color w:val="auto"/>
              </w:rPr>
            </w:pPr>
          </w:p>
        </w:tc>
        <w:tc>
          <w:tcPr>
            <w:tcW w:w="1500" w:type="dxa"/>
            <w:vAlign w:val="bottom"/>
            <w:shd w:val="clear" w:color="auto" w:fill="BFBFBF"/>
          </w:tcPr>
          <w:p>
            <w:pPr>
              <w:jc w:val="right"/>
              <w:spacing w:after="0"/>
              <w:rPr>
                <w:sz w:val="20"/>
                <w:szCs w:val="20"/>
                <w:color w:val="auto"/>
              </w:rPr>
            </w:pPr>
            <w:r>
              <w:rPr>
                <w:rFonts w:ascii="Arial" w:cs="Arial" w:eastAsia="Arial" w:hAnsi="Arial"/>
                <w:sz w:val="14"/>
                <w:szCs w:val="14"/>
                <w:color w:val="auto"/>
              </w:rPr>
              <w:t>7,055</w:t>
            </w:r>
          </w:p>
        </w:tc>
      </w:tr>
      <w:tr>
        <w:trPr>
          <w:trHeight w:val="216"/>
        </w:trPr>
        <w:tc>
          <w:tcPr>
            <w:tcW w:w="4520" w:type="dxa"/>
            <w:vAlign w:val="bottom"/>
            <w:tcBorders>
              <w:bottom w:val="single" w:sz="8" w:color="BFBFBF"/>
            </w:tcBorders>
          </w:tcPr>
          <w:p>
            <w:pPr>
              <w:ind w:left="840"/>
              <w:spacing w:after="0"/>
              <w:rPr>
                <w:sz w:val="20"/>
                <w:szCs w:val="20"/>
                <w:color w:val="auto"/>
              </w:rPr>
            </w:pPr>
            <w:r>
              <w:rPr>
                <w:rFonts w:ascii="Arial" w:cs="Arial" w:eastAsia="Arial" w:hAnsi="Arial"/>
                <w:sz w:val="14"/>
                <w:szCs w:val="14"/>
                <w:color w:val="auto"/>
              </w:rPr>
              <w:t>Balance, beginning of year</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17,454</w:t>
            </w:r>
          </w:p>
        </w:tc>
      </w:tr>
      <w:tr>
        <w:trPr>
          <w:trHeight w:val="216"/>
        </w:trPr>
        <w:tc>
          <w:tcPr>
            <w:tcW w:w="4520" w:type="dxa"/>
            <w:vAlign w:val="bottom"/>
            <w:tcBorders>
              <w:bottom w:val="single" w:sz="8" w:color="BFBFBF"/>
            </w:tcBorders>
            <w:shd w:val="clear" w:color="auto" w:fill="BFBFBF"/>
          </w:tcPr>
          <w:p>
            <w:pPr>
              <w:ind w:left="840"/>
              <w:spacing w:after="0"/>
              <w:rPr>
                <w:sz w:val="20"/>
                <w:szCs w:val="20"/>
                <w:color w:val="auto"/>
              </w:rPr>
            </w:pPr>
            <w:r>
              <w:rPr>
                <w:rFonts w:ascii="Arial" w:cs="Arial" w:eastAsia="Arial" w:hAnsi="Arial"/>
                <w:sz w:val="14"/>
                <w:szCs w:val="14"/>
                <w:color w:val="auto"/>
              </w:rPr>
              <w:t>Balance, end of year</w:t>
            </w:r>
          </w:p>
        </w:tc>
        <w:tc>
          <w:tcPr>
            <w:tcW w:w="300" w:type="dxa"/>
            <w:vAlign w:val="bottom"/>
            <w:tcBorders>
              <w:bottom w:val="single" w:sz="8" w:color="auto"/>
            </w:tcBorders>
            <w:shd w:val="clear" w:color="auto" w:fill="BFBFBF"/>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24,509</w:t>
            </w:r>
          </w:p>
        </w:tc>
      </w:tr>
      <w:tr>
        <w:trPr>
          <w:trHeight w:val="203"/>
        </w:trPr>
        <w:tc>
          <w:tcPr>
            <w:tcW w:w="4520" w:type="dxa"/>
            <w:vAlign w:val="bottom"/>
          </w:tcPr>
          <w:p>
            <w:pPr>
              <w:ind w:left="280"/>
              <w:spacing w:after="0"/>
              <w:rPr>
                <w:sz w:val="20"/>
                <w:szCs w:val="20"/>
                <w:color w:val="auto"/>
              </w:rPr>
            </w:pPr>
            <w:r>
              <w:rPr>
                <w:rFonts w:ascii="Arial" w:cs="Arial" w:eastAsia="Arial" w:hAnsi="Arial"/>
                <w:sz w:val="14"/>
                <w:szCs w:val="14"/>
                <w:color w:val="auto"/>
              </w:rPr>
              <w:t>SUPPLEMENTAL CASH FLOW INFORMATION:</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6"/>
        </w:trPr>
        <w:tc>
          <w:tcPr>
            <w:tcW w:w="4520" w:type="dxa"/>
            <w:vAlign w:val="bottom"/>
            <w:tcBorders>
              <w:bottom w:val="single" w:sz="8" w:color="BFBFBF"/>
            </w:tcBorders>
            <w:shd w:val="clear" w:color="auto" w:fill="BFBFBF"/>
          </w:tcPr>
          <w:p>
            <w:pPr>
              <w:ind w:left="840"/>
              <w:spacing w:after="0"/>
              <w:rPr>
                <w:sz w:val="20"/>
                <w:szCs w:val="20"/>
                <w:color w:val="auto"/>
              </w:rPr>
            </w:pPr>
            <w:r>
              <w:rPr>
                <w:rFonts w:ascii="Arial" w:cs="Arial" w:eastAsia="Arial" w:hAnsi="Arial"/>
                <w:sz w:val="14"/>
                <w:szCs w:val="14"/>
                <w:color w:val="auto"/>
              </w:rPr>
              <w:t>Cash paid during period for interest</w:t>
            </w:r>
          </w:p>
        </w:tc>
        <w:tc>
          <w:tcPr>
            <w:tcW w:w="300" w:type="dxa"/>
            <w:vAlign w:val="bottom"/>
            <w:tcBorders>
              <w:bottom w:val="single" w:sz="8" w:color="auto"/>
            </w:tcBorders>
            <w:shd w:val="clear" w:color="auto" w:fill="BFBFBF"/>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5,159</w:t>
            </w:r>
          </w:p>
        </w:tc>
      </w:tr>
      <w:tr>
        <w:trPr>
          <w:trHeight w:val="103"/>
        </w:trPr>
        <w:tc>
          <w:tcPr>
            <w:tcW w:w="4520" w:type="dxa"/>
            <w:vAlign w:val="bottom"/>
          </w:tcPr>
          <w:p>
            <w:pPr>
              <w:ind w:left="280"/>
              <w:spacing w:after="0" w:line="104" w:lineRule="exact"/>
              <w:rPr>
                <w:sz w:val="20"/>
                <w:szCs w:val="20"/>
                <w:color w:val="auto"/>
              </w:rPr>
            </w:pPr>
            <w:r>
              <w:rPr>
                <w:rFonts w:ascii="Arial" w:cs="Arial" w:eastAsia="Arial" w:hAnsi="Arial"/>
                <w:sz w:val="11"/>
                <w:szCs w:val="11"/>
                <w:color w:val="auto"/>
              </w:rPr>
              <w:t>SUPPLEMENTAL SCHEDULE OF NON-CASH INVESTING</w:t>
            </w:r>
          </w:p>
        </w:tc>
        <w:tc>
          <w:tcPr>
            <w:tcW w:w="3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7"/>
        </w:trPr>
        <w:tc>
          <w:tcPr>
            <w:tcW w:w="45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23"/>
        </w:trPr>
        <w:tc>
          <w:tcPr>
            <w:tcW w:w="4520" w:type="dxa"/>
            <w:vAlign w:val="bottom"/>
            <w:tcBorders>
              <w:bottom w:val="single" w:sz="8" w:color="BFBFBF"/>
            </w:tcBorders>
            <w:shd w:val="clear" w:color="auto" w:fill="BFBFBF"/>
          </w:tcPr>
          <w:p>
            <w:pPr>
              <w:ind w:left="840"/>
              <w:spacing w:after="0"/>
              <w:rPr>
                <w:sz w:val="20"/>
                <w:szCs w:val="20"/>
                <w:color w:val="auto"/>
              </w:rPr>
            </w:pPr>
            <w:r>
              <w:rPr>
                <w:rFonts w:ascii="Arial" w:cs="Arial" w:eastAsia="Arial" w:hAnsi="Arial"/>
                <w:sz w:val="14"/>
                <w:szCs w:val="14"/>
                <w:color w:val="auto"/>
              </w:rPr>
              <w:t>Payables for purchase of property and equipment</w:t>
            </w:r>
          </w:p>
        </w:tc>
        <w:tc>
          <w:tcPr>
            <w:tcW w:w="300" w:type="dxa"/>
            <w:vAlign w:val="bottom"/>
            <w:tcBorders>
              <w:bottom w:val="single" w:sz="8" w:color="auto"/>
            </w:tcBorders>
            <w:shd w:val="clear" w:color="auto" w:fill="BFBFBF"/>
          </w:tcPr>
          <w:p>
            <w:pPr>
              <w:jc w:val="right"/>
              <w:ind w:right="1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4"/>
                <w:szCs w:val="14"/>
                <w:color w:val="auto"/>
              </w:rPr>
              <w:t>32</w:t>
            </w: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167005</wp:posOffset>
            </wp:positionV>
            <wp:extent cx="554863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8"/>
          <w:szCs w:val="18"/>
          <w:b w:val="1"/>
          <w:bCs w:val="1"/>
          <w:color w:val="auto"/>
        </w:rPr>
        <w:t>CIRCUS AND ELDORADO JOINT VENTURE,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(doing business as Silver Legacy Resort Casino)</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Note 1. Organization, Basis of Presentation and Summary of Significant Accounting Policies</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Principles of Consolidation and Operations</w:t>
      </w:r>
    </w:p>
    <w:p>
      <w:pPr>
        <w:spacing w:after="0" w:line="233" w:lineRule="exact"/>
        <w:rPr>
          <w:sz w:val="20"/>
          <w:szCs w:val="20"/>
          <w:color w:val="auto"/>
        </w:rPr>
      </w:pPr>
    </w:p>
    <w:p>
      <w:pPr>
        <w:ind w:left="160" w:right="179" w:firstLine="648"/>
        <w:spacing w:after="0" w:line="271" w:lineRule="auto"/>
        <w:rPr>
          <w:sz w:val="20"/>
          <w:szCs w:val="20"/>
          <w:color w:val="auto"/>
        </w:rPr>
      </w:pPr>
      <w:r>
        <w:rPr>
          <w:rFonts w:ascii="Arial" w:cs="Arial" w:eastAsia="Arial" w:hAnsi="Arial"/>
          <w:sz w:val="19"/>
          <w:szCs w:val="19"/>
          <w:color w:val="auto"/>
        </w:rPr>
        <w:t>Effective March 1, 1994, Eldorado Limited Liability Company (“ELLC”), a Nevada limited liability company owned and controlled by Eldorado Resorts, LLC (“Resorts”) and Galleon, Inc. (a Nevada corporation owned and controlled by MGM Resorts International and previously owned and controlled by Mandalay Resort Group) (“Galleon” and, collectively with ELLC, the “Partners” and subsequent to the LLC conversion, “Members”), entered into a joint venture agreement to establish Circus and Eldorado Joint Venture, a Nevada general partnership. In connection with the reorganization of the Partnership in bankruptcy, on July 1, 2013, the Partnership was converted into a Nevada limited liability company known as Circus and Eldorado Joint Venture, LLC. As used herein, the “Partnership” refers to Circus and Eldorado Joint Venture prior to the conversion date and Circus and Eldorado Joint Venture, LLC after the date of the conversion. The Partnership owns and operates a casino and hotel located in Reno, Nevada (“Silver Legacy”), which began operations on July 28, 1995. ELLC contributed land to the Partnership with a fair value of $25.0 million and cash of $26.9 million for a total equity investment of $51.9 million. Galleon contributed cash to the Partnership of $51.9 million to comprise their total equity investment. At that time, each Member had a 50% interest in the Partnership.</w:t>
      </w:r>
    </w:p>
    <w:p>
      <w:pPr>
        <w:spacing w:after="0" w:line="200" w:lineRule="exact"/>
        <w:rPr>
          <w:sz w:val="20"/>
          <w:szCs w:val="20"/>
          <w:color w:val="auto"/>
        </w:rPr>
      </w:pPr>
    </w:p>
    <w:p>
      <w:pPr>
        <w:spacing w:after="0" w:line="236" w:lineRule="exact"/>
        <w:rPr>
          <w:sz w:val="20"/>
          <w:szCs w:val="20"/>
          <w:color w:val="auto"/>
        </w:rPr>
      </w:pPr>
    </w:p>
    <w:p>
      <w:pPr>
        <w:ind w:left="160" w:right="199" w:firstLine="648"/>
        <w:spacing w:after="0" w:line="273" w:lineRule="auto"/>
        <w:rPr>
          <w:sz w:val="20"/>
          <w:szCs w:val="20"/>
          <w:color w:val="auto"/>
        </w:rPr>
      </w:pPr>
      <w:r>
        <w:rPr>
          <w:rFonts w:ascii="Arial" w:cs="Arial" w:eastAsia="Arial" w:hAnsi="Arial"/>
          <w:sz w:val="19"/>
          <w:szCs w:val="19"/>
          <w:color w:val="auto"/>
        </w:rPr>
        <w:t>On September 19, 2014, Resorts entered into a merger agreement with MTR Gaming Group, Inc., a Delaware corporation incorporated in March 1988 (“MTR Gaming”). Prior to the merger with MTR Gaming, Resorts owned a 48.1% interest in the Partnership via its 96.2% interest in ELLC, which owned a 50% interest in the Partnership. Subsequent to the merger, Resorts owns a direct 48.1% interest in Silver Legacy. The remaining 1.9% interest is owned by ELLC which is now wholly-owned by entities controlled solely by Recreational Enterprises, Inc. and Hotel Casino Management, Inc. The indirect wholly owned parent of Resorts, Eldorado Resorts, Inc. (“ERI”) owns and operates the Eldorado Hotel &amp; Casino, one of the two hotel casinos connected to the Silver Legacy, and Galleon is a wholly owned subsidiary of MGM Resorts International, which owns Circus Circus Hotel and Casino, the other hotel casino which is connected to Silver Legacy.</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Acquisition</w:t>
      </w:r>
    </w:p>
    <w:p>
      <w:pPr>
        <w:spacing w:after="0" w:line="240" w:lineRule="exact"/>
        <w:rPr>
          <w:sz w:val="20"/>
          <w:szCs w:val="20"/>
          <w:color w:val="auto"/>
        </w:rPr>
      </w:pPr>
    </w:p>
    <w:p>
      <w:pPr>
        <w:ind w:left="160" w:right="159" w:firstLine="648"/>
        <w:spacing w:after="0" w:line="218" w:lineRule="exact"/>
        <w:rPr>
          <w:sz w:val="20"/>
          <w:szCs w:val="20"/>
          <w:color w:val="auto"/>
        </w:rPr>
      </w:pPr>
      <w:r>
        <w:rPr>
          <w:rFonts w:ascii="Arial" w:cs="Arial" w:eastAsia="Arial" w:hAnsi="Arial"/>
          <w:sz w:val="17"/>
          <w:szCs w:val="17"/>
          <w:color w:val="auto"/>
        </w:rPr>
        <w:t>On November 24, 2015 (the “Acquisition Date”), Resorts consummated the acquisition of all of the assets and properties of Circus Circus Reno (“Circus Reno”) and the 50% membership interest in the Silver Legacy Joint Venture owned by Galleon, Inc. (collectively, the “Circus Reno/Silver Legacy Purchase” or the “Acquisition”) pursuant to a Purchase and Sale Agreement, dated as of July 7, 2015, entered into with Circus Circus Casinos, Inc. and Galleon, Inc., each an affiliate of MGM Resorts International, with respect to the acquisition. On the Acquisition Date, Eldorado Resorts LLC also exercised its right to acquire the 3.8% interest in Eldorado Limited Liability Company (“ELLC”) held by certain affiliates of the Company. As a result of these transactions, ELLC became a wholly-owned subsidiary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225" w:lineRule="exact"/>
        <w:rPr>
          <w:sz w:val="20"/>
          <w:szCs w:val="20"/>
          <w:color w:val="auto"/>
        </w:rPr>
      </w:pPr>
    </w:p>
    <w:p>
      <w:pPr>
        <w:ind w:left="160" w:right="659" w:firstLine="648"/>
        <w:spacing w:after="0" w:line="251" w:lineRule="auto"/>
        <w:rPr>
          <w:sz w:val="20"/>
          <w:szCs w:val="20"/>
          <w:color w:val="auto"/>
        </w:rPr>
      </w:pPr>
      <w:r>
        <w:rPr>
          <w:rFonts w:ascii="Arial" w:cs="Arial" w:eastAsia="Arial" w:hAnsi="Arial"/>
          <w:sz w:val="22"/>
          <w:szCs w:val="22"/>
          <w:color w:val="auto"/>
        </w:rPr>
        <w:t>All intercompany accounts and transactions have been eliminated in consolidation. The Partnership operates as one segment.</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Use of Estimates</w:t>
      </w:r>
    </w:p>
    <w:p>
      <w:pPr>
        <w:spacing w:after="0" w:line="233" w:lineRule="exact"/>
        <w:rPr>
          <w:sz w:val="20"/>
          <w:szCs w:val="20"/>
          <w:color w:val="auto"/>
        </w:rPr>
      </w:pPr>
    </w:p>
    <w:p>
      <w:pPr>
        <w:ind w:left="160" w:right="139" w:firstLine="648"/>
        <w:spacing w:after="0" w:line="279" w:lineRule="auto"/>
        <w:rPr>
          <w:sz w:val="20"/>
          <w:szCs w:val="20"/>
          <w:color w:val="auto"/>
        </w:rPr>
      </w:pPr>
      <w:r>
        <w:rPr>
          <w:rFonts w:ascii="Arial" w:cs="Arial" w:eastAsia="Arial" w:hAnsi="Arial"/>
          <w:sz w:val="19"/>
          <w:szCs w:val="19"/>
          <w:color w:val="auto"/>
        </w:rPr>
        <w:t>The unaudited consolidated financial statements have been prepared in conformity with accounting principles generally accepted in the United States of America. Those principles require the Partnership’s management to make estimates and assumptions that affect the reported amounts of assets and liabilities and disclosure of contingent assets and liabilities at the date of the unaudited consolidated financial statements and the reported amounts of revenues and expenses for the reporting period. Actual results could differ from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263525</wp:posOffset>
            </wp:positionV>
            <wp:extent cx="554863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1" w:name="page162"/>
    <w:bookmarkEnd w:id="161"/>
    <w:p>
      <w:pPr>
        <w:ind w:left="160"/>
        <w:spacing w:after="0"/>
        <w:rPr>
          <w:sz w:val="20"/>
          <w:szCs w:val="20"/>
          <w:color w:val="auto"/>
        </w:rPr>
      </w:pPr>
      <w:r>
        <w:rPr>
          <w:rFonts w:ascii="Arial" w:cs="Arial" w:eastAsia="Arial" w:hAnsi="Arial"/>
          <w:sz w:val="22"/>
          <w:szCs w:val="22"/>
          <w:i w:val="1"/>
          <w:iCs w:val="1"/>
          <w:color w:val="auto"/>
        </w:rPr>
        <w:t>Certain Concentrations of Risk</w:t>
      </w:r>
    </w:p>
    <w:p>
      <w:pPr>
        <w:spacing w:after="0" w:line="234" w:lineRule="exact"/>
        <w:rPr>
          <w:sz w:val="20"/>
          <w:szCs w:val="20"/>
          <w:color w:val="auto"/>
        </w:rPr>
      </w:pPr>
    </w:p>
    <w:p>
      <w:pPr>
        <w:ind w:left="160" w:right="199" w:firstLine="648"/>
        <w:spacing w:after="0" w:line="249" w:lineRule="auto"/>
        <w:rPr>
          <w:sz w:val="20"/>
          <w:szCs w:val="20"/>
          <w:color w:val="auto"/>
        </w:rPr>
      </w:pPr>
      <w:r>
        <w:rPr>
          <w:rFonts w:ascii="Arial" w:cs="Arial" w:eastAsia="Arial" w:hAnsi="Arial"/>
          <w:sz w:val="21"/>
          <w:szCs w:val="21"/>
          <w:color w:val="auto"/>
        </w:rPr>
        <w:t>The Partnership’s sole operations are in Reno, Nevada. Therefore, the Partnership is subject to risks inherent within the Reno market. To the extent that new casinos enter into the market or hotel room capacity is expanded, competition will increase. The Partnership may also be affected by economic conditions in the United States and globally affecting the Reno market or trends in visitation or spending in the Reno market.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Outstanding Chips and Tokens</w:t>
      </w:r>
    </w:p>
    <w:p>
      <w:pPr>
        <w:spacing w:after="0" w:line="233" w:lineRule="exact"/>
        <w:rPr>
          <w:sz w:val="20"/>
          <w:szCs w:val="20"/>
          <w:color w:val="auto"/>
        </w:rPr>
      </w:pPr>
    </w:p>
    <w:p>
      <w:pPr>
        <w:ind w:left="160" w:right="159" w:firstLine="648"/>
        <w:spacing w:after="0" w:line="275" w:lineRule="auto"/>
        <w:rPr>
          <w:sz w:val="20"/>
          <w:szCs w:val="20"/>
          <w:color w:val="auto"/>
        </w:rPr>
      </w:pPr>
      <w:r>
        <w:rPr>
          <w:rFonts w:ascii="Arial" w:cs="Arial" w:eastAsia="Arial" w:hAnsi="Arial"/>
          <w:sz w:val="19"/>
          <w:szCs w:val="19"/>
          <w:color w:val="auto"/>
        </w:rPr>
        <w:t>The Partnership recognizes the impact on gaming revenues on an annual basis to reflect an estimate of the change in the value of outstanding chips and tokens that are not expected to be redeemed. This estimate is determined by measuring the difference between the total value of chips and tokens placed in service less the value of chips and tokens in the inventory of chips and tokens under our control. This measurement is performed on an annual basis utilizing methodology in which a consistent formula is applied to estimate the percentage value of chips and tokens not in custody that are not expected to be redeemed. In addition to the formula, certain judgments are made with regard to various denominations and souvenir chips and tokens.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Cash and Cash Equivalents</w:t>
      </w:r>
    </w:p>
    <w:p>
      <w:pPr>
        <w:spacing w:after="0" w:line="233" w:lineRule="exact"/>
        <w:rPr>
          <w:sz w:val="20"/>
          <w:szCs w:val="20"/>
          <w:color w:val="auto"/>
        </w:rPr>
      </w:pPr>
    </w:p>
    <w:p>
      <w:pPr>
        <w:ind w:left="160" w:right="159" w:firstLine="648"/>
        <w:spacing w:after="0" w:line="258" w:lineRule="auto"/>
        <w:rPr>
          <w:sz w:val="20"/>
          <w:szCs w:val="20"/>
          <w:color w:val="auto"/>
        </w:rPr>
      </w:pPr>
      <w:r>
        <w:rPr>
          <w:rFonts w:ascii="Arial" w:cs="Arial" w:eastAsia="Arial" w:hAnsi="Arial"/>
          <w:sz w:val="21"/>
          <w:szCs w:val="21"/>
          <w:color w:val="auto"/>
        </w:rPr>
        <w:t>Cash and cash equivalents include cash on hand, as well as investments purchased with maturities of three months or less at the date of acquisition. The carrying values of these investments approximate their fair values due to their short-term maturities.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Restricted Cash</w:t>
      </w:r>
    </w:p>
    <w:p>
      <w:pPr>
        <w:spacing w:after="0" w:line="240" w:lineRule="exact"/>
        <w:rPr>
          <w:sz w:val="20"/>
          <w:szCs w:val="20"/>
          <w:color w:val="auto"/>
        </w:rPr>
      </w:pPr>
    </w:p>
    <w:p>
      <w:pPr>
        <w:ind w:left="160" w:right="159" w:firstLine="648"/>
        <w:spacing w:after="0" w:line="257" w:lineRule="auto"/>
        <w:rPr>
          <w:sz w:val="20"/>
          <w:szCs w:val="20"/>
          <w:color w:val="auto"/>
        </w:rPr>
      </w:pPr>
      <w:r>
        <w:rPr>
          <w:rFonts w:ascii="Arial" w:cs="Arial" w:eastAsia="Arial" w:hAnsi="Arial"/>
          <w:sz w:val="18"/>
          <w:szCs w:val="18"/>
          <w:color w:val="auto"/>
        </w:rPr>
        <w:t>Under the Circus and Eldorado Joint Venture credit agreement, the members were required to deposit $10.0 million of cash into a bank account as collateral in favor of the lender. In 2014, the Partnership deposited $5.0 million of cash into a sponsor support replacement account which relieved the members a portion of their obligation. In August, 2015, the Partnership deposited an additional $5.0 million of cash into a sponsor support replacement account which relieved the members of their remaining obligation (see Note 6).</w:t>
      </w:r>
    </w:p>
    <w:p>
      <w:pPr>
        <w:spacing w:after="0" w:line="134" w:lineRule="exact"/>
        <w:rPr>
          <w:sz w:val="20"/>
          <w:szCs w:val="20"/>
          <w:color w:val="auto"/>
        </w:rPr>
      </w:pPr>
    </w:p>
    <w:p>
      <w:pPr>
        <w:ind w:left="160" w:right="439" w:firstLine="648"/>
        <w:spacing w:after="0" w:line="277" w:lineRule="auto"/>
        <w:rPr>
          <w:sz w:val="20"/>
          <w:szCs w:val="20"/>
          <w:color w:val="auto"/>
        </w:rPr>
      </w:pPr>
      <w:r>
        <w:rPr>
          <w:rFonts w:ascii="Arial" w:cs="Arial" w:eastAsia="Arial" w:hAnsi="Arial"/>
          <w:sz w:val="18"/>
          <w:szCs w:val="18"/>
          <w:color w:val="auto"/>
        </w:rPr>
        <w:t>The $10.0 million collateral deposit is included as restricted cash in the accompanying consolidated balance sheet as of November 23, 2015.</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Accounts Receivable and Credit Risk</w:t>
      </w:r>
    </w:p>
    <w:p>
      <w:pPr>
        <w:spacing w:after="0" w:line="233" w:lineRule="exact"/>
        <w:rPr>
          <w:sz w:val="20"/>
          <w:szCs w:val="20"/>
          <w:color w:val="auto"/>
        </w:rPr>
      </w:pPr>
    </w:p>
    <w:p>
      <w:pPr>
        <w:ind w:left="160" w:right="199" w:firstLine="648"/>
        <w:spacing w:after="0" w:line="287" w:lineRule="auto"/>
        <w:rPr>
          <w:sz w:val="20"/>
          <w:szCs w:val="20"/>
          <w:color w:val="auto"/>
        </w:rPr>
      </w:pPr>
      <w:r>
        <w:rPr>
          <w:rFonts w:ascii="Arial" w:cs="Arial" w:eastAsia="Arial" w:hAnsi="Arial"/>
          <w:sz w:val="19"/>
          <w:szCs w:val="19"/>
          <w:color w:val="auto"/>
        </w:rPr>
        <w:t>Financial instruments that potentially subject the Partnership to concentrations of credit risk consist principally of casino accounts receivable. The Partnership issues markers to approved casino customers following background checks and assessments of creditworthiness. Trade receivables, including casino and hotel receivables, are typically non-interest bearing.</w:t>
      </w:r>
    </w:p>
    <w:p>
      <w:pPr>
        <w:spacing w:after="0" w:line="170" w:lineRule="exact"/>
        <w:rPr>
          <w:sz w:val="20"/>
          <w:szCs w:val="20"/>
          <w:color w:val="auto"/>
        </w:rPr>
      </w:pPr>
    </w:p>
    <w:p>
      <w:pPr>
        <w:ind w:left="160" w:right="159" w:firstLine="648"/>
        <w:spacing w:after="0" w:line="234" w:lineRule="auto"/>
        <w:rPr>
          <w:sz w:val="20"/>
          <w:szCs w:val="20"/>
          <w:color w:val="auto"/>
        </w:rPr>
      </w:pPr>
      <w:r>
        <w:rPr>
          <w:rFonts w:ascii="Arial" w:cs="Arial" w:eastAsia="Arial" w:hAnsi="Arial"/>
          <w:sz w:val="22"/>
          <w:szCs w:val="22"/>
          <w:color w:val="auto"/>
        </w:rPr>
        <w:t>Accounts are written off when management deems the account to be uncollectible. Recoveries of accounts previously written off are recorded when received. An estimated allowance for doubtful accounts is maintained to reduce the Partnership’s receivables to their carrying amount, which approximates fair value. The allowance is estimated based on specific review of customer accounts as well as historical collection experience and current economic and business conditions. Management believes as of November 23, 2015, there are no significant concentrations of credit risk (see Note 2).</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Inventories</w:t>
      </w:r>
    </w:p>
    <w:p>
      <w:pPr>
        <w:spacing w:after="0" w:line="233" w:lineRule="exact"/>
        <w:rPr>
          <w:sz w:val="20"/>
          <w:szCs w:val="20"/>
          <w:color w:val="auto"/>
        </w:rPr>
      </w:pPr>
    </w:p>
    <w:p>
      <w:pPr>
        <w:ind w:left="160" w:right="279" w:firstLine="648"/>
        <w:spacing w:after="0" w:line="238" w:lineRule="auto"/>
        <w:rPr>
          <w:sz w:val="20"/>
          <w:szCs w:val="20"/>
          <w:color w:val="auto"/>
        </w:rPr>
      </w:pPr>
      <w:r>
        <w:rPr>
          <w:rFonts w:ascii="Arial" w:cs="Arial" w:eastAsia="Arial" w:hAnsi="Arial"/>
          <w:sz w:val="22"/>
          <w:szCs w:val="22"/>
          <w:color w:val="auto"/>
        </w:rPr>
        <w:t>Inventories consist of food and beverage, retail merchandise and operating supplies, and are stated at the lower of cost or market. Cost is determined primarily by the average cost method for food and beverage and operating supplies or the specific identification method for retail merchandise.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285750</wp:posOffset>
            </wp:positionV>
            <wp:extent cx="554863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2" w:name="page163"/>
    <w:bookmarkEnd w:id="162"/>
    <w:p>
      <w:pPr>
        <w:ind w:left="160"/>
        <w:spacing w:after="0"/>
        <w:rPr>
          <w:sz w:val="20"/>
          <w:szCs w:val="20"/>
          <w:color w:val="auto"/>
        </w:rPr>
      </w:pPr>
      <w:r>
        <w:rPr>
          <w:rFonts w:ascii="Arial" w:cs="Arial" w:eastAsia="Arial" w:hAnsi="Arial"/>
          <w:sz w:val="22"/>
          <w:szCs w:val="22"/>
          <w:i w:val="1"/>
          <w:iCs w:val="1"/>
          <w:color w:val="auto"/>
        </w:rPr>
        <w:t>Property and Equipment</w:t>
      </w:r>
    </w:p>
    <w:p>
      <w:pPr>
        <w:spacing w:after="0" w:line="234" w:lineRule="exact"/>
        <w:rPr>
          <w:sz w:val="20"/>
          <w:szCs w:val="20"/>
          <w:color w:val="auto"/>
        </w:rPr>
      </w:pPr>
    </w:p>
    <w:p>
      <w:pPr>
        <w:ind w:left="160" w:right="239" w:firstLine="648"/>
        <w:spacing w:after="0"/>
        <w:rPr>
          <w:sz w:val="20"/>
          <w:szCs w:val="20"/>
          <w:color w:val="auto"/>
        </w:rPr>
      </w:pPr>
      <w:r>
        <w:rPr>
          <w:rFonts w:ascii="Arial" w:cs="Arial" w:eastAsia="Arial" w:hAnsi="Arial"/>
          <w:sz w:val="22"/>
          <w:szCs w:val="22"/>
          <w:color w:val="auto"/>
        </w:rPr>
        <w:t>Property and equipment and other long-lived assets are stated at cost. Depreciation is computed using the straight-line method, which approximates the effective interest method over the estimated useful life of the asset as follows:</w:t>
      </w:r>
    </w:p>
    <w:p>
      <w:pPr>
        <w:spacing w:after="0" w:line="200" w:lineRule="exact"/>
        <w:rPr>
          <w:sz w:val="20"/>
          <w:szCs w:val="20"/>
          <w:color w:val="auto"/>
        </w:rPr>
      </w:pP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Estimated Service Life</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98"/>
        </w:trPr>
        <w:tc>
          <w:tcPr>
            <w:tcW w:w="3080" w:type="dxa"/>
            <w:vAlign w:val="bottom"/>
          </w:tcPr>
          <w:p>
            <w:pPr>
              <w:spacing w:after="0"/>
              <w:rPr>
                <w:sz w:val="20"/>
                <w:szCs w:val="20"/>
                <w:color w:val="auto"/>
              </w:rPr>
            </w:pPr>
            <w:r>
              <w:rPr>
                <w:rFonts w:ascii="Arial" w:cs="Arial" w:eastAsia="Arial" w:hAnsi="Arial"/>
                <w:sz w:val="18"/>
                <w:szCs w:val="18"/>
                <w:color w:val="auto"/>
              </w:rPr>
              <w:t>Building and other improvements</w:t>
            </w:r>
          </w:p>
        </w:tc>
        <w:tc>
          <w:tcPr>
            <w:tcW w:w="1900" w:type="dxa"/>
            <w:vAlign w:val="bottom"/>
            <w:vMerge w:val="restart"/>
          </w:tcPr>
          <w:p>
            <w:pPr>
              <w:jc w:val="right"/>
              <w:ind w:right="661"/>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0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900" w:type="dxa"/>
            <w:vAlign w:val="bottom"/>
            <w:vMerge w:val="restart"/>
          </w:tcPr>
          <w:p>
            <w:pPr>
              <w:jc w:val="right"/>
              <w:ind w:right="70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60" w:right="219" w:firstLine="648"/>
        <w:spacing w:after="0" w:line="238" w:lineRule="auto"/>
        <w:rPr>
          <w:sz w:val="20"/>
          <w:szCs w:val="20"/>
          <w:color w:val="auto"/>
        </w:rPr>
      </w:pPr>
      <w:r>
        <w:rPr>
          <w:rFonts w:ascii="Arial" w:cs="Arial" w:eastAsia="Arial" w:hAnsi="Arial"/>
          <w:sz w:val="22"/>
          <w:szCs w:val="22"/>
          <w:color w:val="auto"/>
        </w:rPr>
        <w:t>Costs of major improvements are capitalized, while costs of normal repairs and maintenance that neither materially add to the value of the property nor appreciably prolong its life are expensed as incurred. Gains or losses on dispositions of property and equipment are included in the determination of operating income.</w:t>
      </w:r>
    </w:p>
    <w:p>
      <w:pPr>
        <w:spacing w:after="0" w:line="212" w:lineRule="exact"/>
        <w:rPr>
          <w:sz w:val="20"/>
          <w:szCs w:val="20"/>
          <w:color w:val="auto"/>
        </w:rPr>
      </w:pPr>
    </w:p>
    <w:p>
      <w:pPr>
        <w:ind w:left="160" w:right="159" w:firstLine="648"/>
        <w:spacing w:after="0" w:line="271" w:lineRule="auto"/>
        <w:rPr>
          <w:sz w:val="20"/>
          <w:szCs w:val="20"/>
          <w:color w:val="auto"/>
        </w:rPr>
      </w:pPr>
      <w:r>
        <w:rPr>
          <w:rFonts w:ascii="Arial" w:cs="Arial" w:eastAsia="Arial" w:hAnsi="Arial"/>
          <w:sz w:val="19"/>
          <w:szCs w:val="19"/>
          <w:color w:val="auto"/>
        </w:rPr>
        <w:t>The Partnership reviews its property and equipment and its long-lived assets for impairment whenever events or changes in circumstances indicate that the carrying amount of an asset may not be recoverable. The Partnership then compares the estimated future cash flows of the asset, on an undiscounted basis, to the carrying amount of the asset. If the undiscounted cash flows exceed the carrying value, no impairment is indicated. If the undiscounted cash flows do not exceed the carrying amount then an impairment is recorded based on the fair value of the asset, typically measured using a discounted cash flow model. If the asset is still under development, future cash flows include remaining construction costs. An estimate of undiscounted future cash flows produced by the asset is compared to the carrying value to determine whether an impairment exists. If it is determined the asset is impaired based on expected undiscounted future cash flows, a loss, measured by the amount by which the carrying amount of the asset exceeds the fair value of the asset, would be recognized. For assets to be disposed of, the Partnership recognizes the asset at the lower of carrying value or fair market value, less cost of disposal, as estimated based on comparable asset sales or solicited offers. As of November 23, 2015, no events or changes in circumstances indicated that the carrying values of our long-lived assets may not be recoverable.</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Revenue Recognition and Promotional Allowances</w:t>
      </w:r>
    </w:p>
    <w:p>
      <w:pPr>
        <w:spacing w:after="0" w:line="233" w:lineRule="exact"/>
        <w:rPr>
          <w:sz w:val="20"/>
          <w:szCs w:val="20"/>
          <w:color w:val="auto"/>
        </w:rPr>
      </w:pPr>
    </w:p>
    <w:p>
      <w:pPr>
        <w:ind w:left="160" w:right="159" w:firstLine="648"/>
        <w:spacing w:after="0" w:line="269" w:lineRule="auto"/>
        <w:rPr>
          <w:sz w:val="20"/>
          <w:szCs w:val="20"/>
          <w:color w:val="auto"/>
        </w:rPr>
      </w:pPr>
      <w:r>
        <w:rPr>
          <w:rFonts w:ascii="Arial" w:cs="Arial" w:eastAsia="Arial" w:hAnsi="Arial"/>
          <w:sz w:val="19"/>
          <w:szCs w:val="19"/>
          <w:color w:val="auto"/>
        </w:rPr>
        <w:t>The Partnership recognizes as casino revenue the net win from gaming activities, which is the difference between gaming wins and losses. Hotel, food and beverage, and other operating revenues are recognized as services are performed. Advance deposits on rooms and advance ticket sales are recorded as accrued liabilities until services are provided to the customer. Gaming revenues are recognized net of certain cash sales incentives and free play. The retail value of food, beverage, rooms and other services furnished to customers on a complimentary basis is included in gross revenues and then deducted as promotional allowances. The Partnership rewards customers, through the use of loyalty programs, with complimentaries based on amounts wagered or won that can be redeemed for a specified time period. The retail value of complimentaries is recorded as revenue and then is deducted as promotional allowances as follows (in thousands):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Food and beverage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-99695</wp:posOffset>
            </wp:positionV>
            <wp:extent cx="329311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93110" cy="146050"/>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Rooms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293110"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9311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Arial" w:cs="Arial" w:eastAsia="Arial" w:hAnsi="Arial"/>
          <w:sz w:val="18"/>
          <w:szCs w:val="18"/>
          <w:b w:val="1"/>
          <w:bCs w:val="1"/>
          <w:color w:val="auto"/>
        </w:rPr>
        <w:t>January 1, 2015</w:t>
      </w:r>
    </w:p>
    <w:p>
      <w:pPr>
        <w:spacing w:after="0" w:line="7" w:lineRule="exact"/>
        <w:rPr>
          <w:sz w:val="20"/>
          <w:szCs w:val="20"/>
          <w:color w:val="auto"/>
        </w:rPr>
      </w:pPr>
    </w:p>
    <w:p>
      <w:pPr>
        <w:jc w:val="center"/>
        <w:ind w:right="3679"/>
        <w:spacing w:after="0"/>
        <w:rPr>
          <w:sz w:val="20"/>
          <w:szCs w:val="20"/>
          <w:color w:val="auto"/>
        </w:rPr>
      </w:pPr>
      <w:r>
        <w:rPr>
          <w:rFonts w:ascii="Arial" w:cs="Arial" w:eastAsia="Arial" w:hAnsi="Arial"/>
          <w:sz w:val="18"/>
          <w:szCs w:val="18"/>
          <w:b w:val="1"/>
          <w:bCs w:val="1"/>
          <w:color w:val="auto"/>
        </w:rPr>
        <w:t>to November</w:t>
      </w:r>
    </w:p>
    <w:p>
      <w:pPr>
        <w:spacing w:after="0" w:line="9" w:lineRule="exact"/>
        <w:rPr>
          <w:sz w:val="20"/>
          <w:szCs w:val="20"/>
          <w:color w:val="auto"/>
        </w:rPr>
      </w:pPr>
    </w:p>
    <w:p>
      <w:pPr>
        <w:jc w:val="center"/>
        <w:ind w:right="3679"/>
        <w:spacing w:after="0"/>
        <w:rPr>
          <w:sz w:val="20"/>
          <w:szCs w:val="20"/>
          <w:color w:val="auto"/>
        </w:rPr>
      </w:pPr>
      <w:r>
        <w:rPr>
          <w:rFonts w:ascii="Arial" w:cs="Arial" w:eastAsia="Arial" w:hAnsi="Arial"/>
          <w:sz w:val="18"/>
          <w:szCs w:val="18"/>
          <w:b w:val="1"/>
          <w:bCs w:val="1"/>
          <w:color w:val="auto"/>
        </w:rPr>
        <w:t>23, 2015</w:t>
      </w:r>
    </w:p>
    <w:p>
      <w:pPr>
        <w:spacing w:after="0" w:line="9" w:lineRule="exact"/>
        <w:rPr>
          <w:sz w:val="20"/>
          <w:szCs w:val="20"/>
          <w:color w:val="auto"/>
        </w:rPr>
      </w:pPr>
    </w:p>
    <w:p>
      <w:pPr>
        <w:ind w:left="940" w:hanging="935"/>
        <w:spacing w:after="0"/>
        <w:tabs>
          <w:tab w:leader="none" w:pos="9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10,015</w:t>
      </w:r>
    </w:p>
    <w:p>
      <w:pPr>
        <w:spacing w:after="0" w:line="45"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7,444</w:t>
      </w:r>
    </w:p>
    <w:p>
      <w:pPr>
        <w:spacing w:after="0" w:line="46" w:lineRule="exact"/>
        <w:rPr>
          <w:sz w:val="20"/>
          <w:szCs w:val="20"/>
          <w:color w:val="auto"/>
        </w:rPr>
      </w:pPr>
    </w:p>
    <w:p>
      <w:pPr>
        <w:jc w:val="right"/>
        <w:ind w:right="3719"/>
        <w:spacing w:after="0"/>
        <w:rPr>
          <w:sz w:val="20"/>
          <w:szCs w:val="20"/>
          <w:color w:val="auto"/>
        </w:rPr>
      </w:pPr>
      <w:r>
        <w:rPr>
          <w:rFonts w:ascii="Arial" w:cs="Arial" w:eastAsia="Arial" w:hAnsi="Arial"/>
          <w:sz w:val="18"/>
          <w:szCs w:val="18"/>
          <w:color w:val="auto"/>
        </w:rPr>
        <w:t>2,361</w:t>
      </w:r>
    </w:p>
    <w:p>
      <w:pPr>
        <w:spacing w:after="0" w:line="23" w:lineRule="exact"/>
        <w:rPr>
          <w:sz w:val="20"/>
          <w:szCs w:val="20"/>
          <w:color w:val="auto"/>
        </w:rPr>
      </w:pPr>
    </w:p>
    <w:p>
      <w:pPr>
        <w:ind w:left="940" w:hanging="935"/>
        <w:spacing w:after="0"/>
        <w:tabs>
          <w:tab w:leader="none" w:pos="9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19,820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9347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47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9347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483235</wp:posOffset>
            </wp:positionV>
            <wp:extent cx="554863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2">
            <w:col w:w="3140" w:space="720"/>
            <w:col w:w="5159"/>
          </w:cols>
          <w:pgMar w:left="1440" w:top="118" w:right="1440" w:bottom="1440" w:gutter="0" w:footer="0" w:header="0"/>
          <w:type w:val="continuous"/>
        </w:sectPr>
      </w:pPr>
    </w:p>
    <w:bookmarkStart w:id="163" w:name="page164"/>
    <w:bookmarkEnd w:id="163"/>
    <w:p>
      <w:pPr>
        <w:ind w:left="160" w:right="859" w:firstLine="648"/>
        <w:spacing w:after="0" w:line="245" w:lineRule="auto"/>
        <w:rPr>
          <w:sz w:val="20"/>
          <w:szCs w:val="20"/>
          <w:color w:val="auto"/>
        </w:rPr>
      </w:pPr>
      <w:r>
        <w:rPr>
          <w:rFonts w:ascii="Arial" w:cs="Arial" w:eastAsia="Arial" w:hAnsi="Arial"/>
          <w:sz w:val="22"/>
          <w:szCs w:val="22"/>
          <w:color w:val="auto"/>
        </w:rPr>
        <w:t>The estimated costs of providing such promotional allowances are included in casino expenses and consist of the following (in thousands):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Food and beverage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-99695</wp:posOffset>
            </wp:positionV>
            <wp:extent cx="3293110"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93110" cy="146050"/>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Rooms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29311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9311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677"/>
        <w:spacing w:after="0"/>
        <w:rPr>
          <w:sz w:val="20"/>
          <w:szCs w:val="20"/>
          <w:color w:val="auto"/>
        </w:rPr>
      </w:pPr>
      <w:r>
        <w:rPr>
          <w:rFonts w:ascii="Arial" w:cs="Arial" w:eastAsia="Arial" w:hAnsi="Arial"/>
          <w:sz w:val="18"/>
          <w:szCs w:val="18"/>
          <w:b w:val="1"/>
          <w:bCs w:val="1"/>
          <w:color w:val="auto"/>
        </w:rPr>
        <w:t>January 1, 2015</w:t>
      </w:r>
    </w:p>
    <w:p>
      <w:pPr>
        <w:spacing w:after="0" w:line="13" w:lineRule="exact"/>
        <w:rPr>
          <w:sz w:val="20"/>
          <w:szCs w:val="20"/>
          <w:color w:val="auto"/>
        </w:rPr>
      </w:pPr>
    </w:p>
    <w:p>
      <w:pPr>
        <w:jc w:val="center"/>
        <w:ind w:right="3677"/>
        <w:spacing w:after="0"/>
        <w:rPr>
          <w:sz w:val="20"/>
          <w:szCs w:val="20"/>
          <w:color w:val="auto"/>
        </w:rPr>
      </w:pPr>
      <w:r>
        <w:rPr>
          <w:rFonts w:ascii="Arial" w:cs="Arial" w:eastAsia="Arial" w:hAnsi="Arial"/>
          <w:sz w:val="18"/>
          <w:szCs w:val="18"/>
          <w:b w:val="1"/>
          <w:bCs w:val="1"/>
          <w:color w:val="auto"/>
        </w:rPr>
        <w:t>to November 23,</w:t>
      </w:r>
    </w:p>
    <w:p>
      <w:pPr>
        <w:spacing w:after="0" w:line="9" w:lineRule="exact"/>
        <w:rPr>
          <w:sz w:val="20"/>
          <w:szCs w:val="20"/>
          <w:color w:val="auto"/>
        </w:rPr>
      </w:pPr>
    </w:p>
    <w:p>
      <w:pPr>
        <w:jc w:val="center"/>
        <w:ind w:right="3677"/>
        <w:spacing w:after="0"/>
        <w:rPr>
          <w:sz w:val="20"/>
          <w:szCs w:val="20"/>
          <w:color w:val="auto"/>
        </w:rPr>
      </w:pPr>
      <w:r>
        <w:rPr>
          <w:rFonts w:ascii="Arial" w:cs="Arial" w:eastAsia="Arial" w:hAnsi="Arial"/>
          <w:sz w:val="18"/>
          <w:szCs w:val="18"/>
          <w:b w:val="1"/>
          <w:bCs w:val="1"/>
          <w:color w:val="auto"/>
        </w:rPr>
        <w:t>2015</w:t>
      </w:r>
    </w:p>
    <w:p>
      <w:pPr>
        <w:spacing w:after="0" w:line="9" w:lineRule="exact"/>
        <w:rPr>
          <w:sz w:val="20"/>
          <w:szCs w:val="20"/>
          <w:color w:val="auto"/>
        </w:rPr>
      </w:pPr>
    </w:p>
    <w:p>
      <w:pPr>
        <w:ind w:left="1042" w:hanging="1042"/>
        <w:spacing w:after="0"/>
        <w:tabs>
          <w:tab w:leader="none" w:pos="1042" w:val="left"/>
        </w:tabs>
        <w:numPr>
          <w:ilvl w:val="0"/>
          <w:numId w:val="84"/>
        </w:numPr>
        <w:rPr>
          <w:rFonts w:ascii="Arial" w:cs="Arial" w:eastAsia="Arial" w:hAnsi="Arial"/>
          <w:sz w:val="16"/>
          <w:szCs w:val="16"/>
          <w:color w:val="auto"/>
        </w:rPr>
      </w:pPr>
      <w:r>
        <w:rPr>
          <w:rFonts w:ascii="Arial" w:cs="Arial" w:eastAsia="Arial" w:hAnsi="Arial"/>
          <w:sz w:val="16"/>
          <w:szCs w:val="16"/>
          <w:color w:val="auto"/>
        </w:rPr>
        <w:t>6,792</w:t>
      </w:r>
    </w:p>
    <w:p>
      <w:pPr>
        <w:spacing w:after="0" w:line="45" w:lineRule="exact"/>
        <w:rPr>
          <w:rFonts w:ascii="Arial" w:cs="Arial" w:eastAsia="Arial" w:hAnsi="Arial"/>
          <w:sz w:val="16"/>
          <w:szCs w:val="16"/>
          <w:color w:val="auto"/>
        </w:rPr>
      </w:pPr>
    </w:p>
    <w:p>
      <w:pPr>
        <w:ind w:left="1042"/>
        <w:spacing w:after="0"/>
        <w:rPr>
          <w:rFonts w:ascii="Arial" w:cs="Arial" w:eastAsia="Arial" w:hAnsi="Arial"/>
          <w:sz w:val="16"/>
          <w:szCs w:val="16"/>
          <w:color w:val="auto"/>
        </w:rPr>
      </w:pPr>
      <w:r>
        <w:rPr>
          <w:rFonts w:ascii="Arial" w:cs="Arial" w:eastAsia="Arial" w:hAnsi="Arial"/>
          <w:sz w:val="16"/>
          <w:szCs w:val="16"/>
          <w:color w:val="auto"/>
        </w:rPr>
        <w:t>2,167</w:t>
      </w:r>
    </w:p>
    <w:p>
      <w:pPr>
        <w:spacing w:after="0" w:line="45" w:lineRule="exact"/>
        <w:rPr>
          <w:rFonts w:ascii="Arial" w:cs="Arial" w:eastAsia="Arial" w:hAnsi="Arial"/>
          <w:sz w:val="16"/>
          <w:szCs w:val="16"/>
          <w:color w:val="auto"/>
        </w:rPr>
      </w:pPr>
    </w:p>
    <w:p>
      <w:pPr>
        <w:ind w:left="1042"/>
        <w:spacing w:after="0"/>
        <w:rPr>
          <w:rFonts w:ascii="Arial" w:cs="Arial" w:eastAsia="Arial" w:hAnsi="Arial"/>
          <w:sz w:val="16"/>
          <w:szCs w:val="16"/>
          <w:color w:val="auto"/>
        </w:rPr>
      </w:pPr>
      <w:r>
        <w:rPr>
          <w:rFonts w:ascii="Arial" w:cs="Arial" w:eastAsia="Arial" w:hAnsi="Arial"/>
          <w:sz w:val="16"/>
          <w:szCs w:val="16"/>
          <w:color w:val="auto"/>
        </w:rPr>
        <w:t>1,738</w:t>
      </w:r>
    </w:p>
    <w:p>
      <w:pPr>
        <w:spacing w:after="0" w:line="46" w:lineRule="exact"/>
        <w:rPr>
          <w:sz w:val="20"/>
          <w:szCs w:val="20"/>
          <w:color w:val="auto"/>
        </w:rPr>
      </w:pPr>
    </w:p>
    <w:p>
      <w:pPr>
        <w:ind w:left="962" w:hanging="962"/>
        <w:spacing w:after="0"/>
        <w:tabs>
          <w:tab w:leader="none" w:pos="9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10,697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9518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5186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9518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18" w:space="720"/>
            <w:col w:w="5182"/>
          </w:cols>
          <w:pgMar w:left="1440" w:top="118" w:right="1440" w:bottom="1440" w:gutter="0" w:footer="0" w:header="0"/>
          <w:type w:val="continuous"/>
        </w:sectPr>
      </w:pPr>
    </w:p>
    <w:p>
      <w:pPr>
        <w:spacing w:after="0" w:line="94"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Advertising</w:t>
      </w:r>
    </w:p>
    <w:p>
      <w:pPr>
        <w:spacing w:after="0" w:line="233" w:lineRule="exact"/>
        <w:rPr>
          <w:sz w:val="20"/>
          <w:szCs w:val="20"/>
          <w:color w:val="auto"/>
        </w:rPr>
      </w:pPr>
    </w:p>
    <w:p>
      <w:pPr>
        <w:ind w:left="160" w:right="199" w:firstLine="648"/>
        <w:spacing w:after="0"/>
        <w:rPr>
          <w:sz w:val="20"/>
          <w:szCs w:val="20"/>
          <w:color w:val="auto"/>
        </w:rPr>
      </w:pPr>
      <w:r>
        <w:rPr>
          <w:rFonts w:ascii="Arial" w:cs="Arial" w:eastAsia="Arial" w:hAnsi="Arial"/>
          <w:sz w:val="22"/>
          <w:szCs w:val="22"/>
          <w:color w:val="auto"/>
        </w:rPr>
        <w:t>Advertising costs are expensed in the period the advertising initially takes place. Advertising costs included in selling, general and administrative expenses were $5.5 million for the period January 1, 2015 to November 23, 2015.</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Federal Income Taxes</w:t>
      </w:r>
    </w:p>
    <w:p>
      <w:pPr>
        <w:spacing w:after="0" w:line="233" w:lineRule="exact"/>
        <w:rPr>
          <w:sz w:val="20"/>
          <w:szCs w:val="20"/>
          <w:color w:val="auto"/>
        </w:rPr>
      </w:pPr>
    </w:p>
    <w:p>
      <w:pPr>
        <w:ind w:left="160" w:right="219" w:firstLine="648"/>
        <w:spacing w:after="0" w:line="234" w:lineRule="auto"/>
        <w:rPr>
          <w:sz w:val="20"/>
          <w:szCs w:val="20"/>
          <w:color w:val="auto"/>
        </w:rPr>
      </w:pPr>
      <w:r>
        <w:rPr>
          <w:rFonts w:ascii="Arial" w:cs="Arial" w:eastAsia="Arial" w:hAnsi="Arial"/>
          <w:sz w:val="22"/>
          <w:szCs w:val="22"/>
          <w:color w:val="auto"/>
        </w:rPr>
        <w:t>The Partnership is not subject to income taxes; therefore, no provision for income taxes has been made, as the Members include their respective share of the Partnership income (loss) in their income tax returns. The Partnership limited liability company agreement provides for the Partnership to make distributions to the Members in an amount equal to the maximum marginal federal income tax rate applicable to any Member multiplied by the income (loss) of the Partnership for the applicable period (see Note 11). No tax distributions were made during January 1, 2015 to November 23, 2015.</w:t>
      </w:r>
    </w:p>
    <w:p>
      <w:pPr>
        <w:spacing w:after="0" w:line="218" w:lineRule="exact"/>
        <w:rPr>
          <w:sz w:val="20"/>
          <w:szCs w:val="20"/>
          <w:color w:val="auto"/>
        </w:rPr>
      </w:pPr>
    </w:p>
    <w:p>
      <w:pPr>
        <w:ind w:left="160" w:right="139" w:firstLine="648"/>
        <w:spacing w:after="0" w:line="245" w:lineRule="auto"/>
        <w:rPr>
          <w:sz w:val="20"/>
          <w:szCs w:val="20"/>
          <w:color w:val="auto"/>
        </w:rPr>
      </w:pPr>
      <w:r>
        <w:rPr>
          <w:rFonts w:ascii="Arial" w:cs="Arial" w:eastAsia="Arial" w:hAnsi="Arial"/>
          <w:sz w:val="21"/>
          <w:szCs w:val="21"/>
          <w:color w:val="auto"/>
        </w:rPr>
        <w:t>Under the applicable accounting standards, the Partnership may recognize the tax benefit from an uncertain tax position only if it is more-likely-than-not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de-recognition, classification, interest and penalties on income taxes, accounting in interim periods and disclosure requirements for uncertain tax positions. The Partnership had recorded no liability associated with uncertain tax positions as of November 23, 2015.</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Debt Issuance Costs</w:t>
      </w:r>
    </w:p>
    <w:p>
      <w:pPr>
        <w:spacing w:after="0" w:line="233" w:lineRule="exact"/>
        <w:rPr>
          <w:sz w:val="20"/>
          <w:szCs w:val="20"/>
          <w:color w:val="auto"/>
        </w:rPr>
      </w:pPr>
    </w:p>
    <w:p>
      <w:pPr>
        <w:jc w:val="both"/>
        <w:ind w:left="160" w:right="479" w:firstLine="648"/>
        <w:spacing w:after="0" w:line="297" w:lineRule="auto"/>
        <w:rPr>
          <w:sz w:val="20"/>
          <w:szCs w:val="20"/>
          <w:color w:val="auto"/>
        </w:rPr>
      </w:pPr>
      <w:r>
        <w:rPr>
          <w:rFonts w:ascii="Arial" w:cs="Arial" w:eastAsia="Arial" w:hAnsi="Arial"/>
          <w:sz w:val="19"/>
          <w:szCs w:val="19"/>
          <w:color w:val="auto"/>
        </w:rPr>
        <w:t>The Partnership capitalizes debt issuance costs, which include legal and other direct costs related to the issuance of debt. The capitalized costs are amortized into interest expense over the contracted term of the debt using methods which approximate the effective interest method.</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Fair Value of Financial Instruments</w:t>
      </w:r>
    </w:p>
    <w:p>
      <w:pPr>
        <w:spacing w:after="0" w:line="233" w:lineRule="exact"/>
        <w:rPr>
          <w:sz w:val="20"/>
          <w:szCs w:val="20"/>
          <w:color w:val="auto"/>
        </w:rPr>
      </w:pPr>
    </w:p>
    <w:p>
      <w:pPr>
        <w:ind w:left="160" w:right="219" w:firstLine="648"/>
        <w:spacing w:after="0" w:line="235" w:lineRule="auto"/>
        <w:rPr>
          <w:sz w:val="20"/>
          <w:szCs w:val="20"/>
          <w:color w:val="auto"/>
        </w:rPr>
      </w:pPr>
      <w:r>
        <w:rPr>
          <w:rFonts w:ascii="Arial" w:cs="Arial" w:eastAsia="Arial" w:hAnsi="Arial"/>
          <w:sz w:val="22"/>
          <w:szCs w:val="22"/>
          <w:color w:val="auto"/>
        </w:rPr>
        <w:t>Fair value is an exit price, representing the amount that would be received to sell an asset or paid to transfer a liability in an orderly transaction between market participants. Accordingly, fair value is a market-based measurement that is determined based on assumptions that market participants would use in pricing an asset or liability. As a basis for considering such assumptions, there is a three-tier fair value hierarchy, which prioritizes the inputs used in measuring fair values as follows:</w:t>
      </w:r>
    </w:p>
    <w:p>
      <w:pPr>
        <w:spacing w:after="0" w:line="215" w:lineRule="exact"/>
        <w:rPr>
          <w:sz w:val="20"/>
          <w:szCs w:val="20"/>
          <w:color w:val="auto"/>
        </w:rPr>
      </w:pPr>
    </w:p>
    <w:p>
      <w:pPr>
        <w:jc w:val="both"/>
        <w:ind w:left="2100" w:right="399"/>
        <w:spacing w:after="0"/>
        <w:rPr>
          <w:sz w:val="20"/>
          <w:szCs w:val="20"/>
          <w:color w:val="auto"/>
        </w:rPr>
      </w:pPr>
      <w:r>
        <w:rPr>
          <w:rFonts w:ascii="Arial" w:cs="Arial" w:eastAsia="Arial" w:hAnsi="Arial"/>
          <w:sz w:val="22"/>
          <w:szCs w:val="22"/>
          <w:i w:val="1"/>
          <w:iCs w:val="1"/>
          <w:color w:val="auto"/>
        </w:rPr>
        <w:t>Level 1</w:t>
      </w:r>
      <w:r>
        <w:rPr>
          <w:rFonts w:ascii="Arial" w:cs="Arial" w:eastAsia="Arial" w:hAnsi="Arial"/>
          <w:sz w:val="22"/>
          <w:szCs w:val="22"/>
          <w:color w:val="auto"/>
        </w:rPr>
        <w:t>: Inputs are based upon quoted prices (unadjusted) in active markets</w:t>
      </w:r>
      <w:r>
        <w:rPr>
          <w:rFonts w:ascii="Arial" w:cs="Arial" w:eastAsia="Arial" w:hAnsi="Arial"/>
          <w:sz w:val="22"/>
          <w:szCs w:val="22"/>
          <w:i w:val="1"/>
          <w:iCs w:val="1"/>
          <w:color w:val="auto"/>
        </w:rPr>
        <w:t xml:space="preserve"> </w:t>
      </w:r>
      <w:r>
        <w:rPr>
          <w:rFonts w:ascii="Arial" w:cs="Arial" w:eastAsia="Arial" w:hAnsi="Arial"/>
          <w:sz w:val="22"/>
          <w:szCs w:val="22"/>
          <w:color w:val="auto"/>
        </w:rPr>
        <w:t>for identical assets or liabilities which are accessible as of the measurement date.</w:t>
      </w:r>
    </w:p>
    <w:p>
      <w:pPr>
        <w:spacing w:after="0" w:line="213" w:lineRule="exact"/>
        <w:rPr>
          <w:sz w:val="20"/>
          <w:szCs w:val="20"/>
          <w:color w:val="auto"/>
        </w:rPr>
      </w:pPr>
    </w:p>
    <w:p>
      <w:pPr>
        <w:ind w:left="2100" w:right="239"/>
        <w:spacing w:after="0" w:line="238" w:lineRule="auto"/>
        <w:rPr>
          <w:sz w:val="20"/>
          <w:szCs w:val="20"/>
          <w:color w:val="auto"/>
        </w:rPr>
      </w:pPr>
      <w:r>
        <w:rPr>
          <w:rFonts w:ascii="Arial" w:cs="Arial" w:eastAsia="Arial" w:hAnsi="Arial"/>
          <w:sz w:val="22"/>
          <w:szCs w:val="22"/>
          <w:i w:val="1"/>
          <w:iCs w:val="1"/>
          <w:color w:val="auto"/>
        </w:rPr>
        <w:t>Level 2</w:t>
      </w:r>
      <w:r>
        <w:rPr>
          <w:rFonts w:ascii="Arial" w:cs="Arial" w:eastAsia="Arial" w:hAnsi="Arial"/>
          <w:sz w:val="22"/>
          <w:szCs w:val="22"/>
          <w:color w:val="auto"/>
        </w:rPr>
        <w:t>: Inputs are based upon quoted prices for similar assets or liabilities in</w:t>
      </w:r>
      <w:r>
        <w:rPr>
          <w:rFonts w:ascii="Arial" w:cs="Arial" w:eastAsia="Arial" w:hAnsi="Arial"/>
          <w:sz w:val="22"/>
          <w:szCs w:val="22"/>
          <w:i w:val="1"/>
          <w:iCs w:val="1"/>
          <w:color w:val="auto"/>
        </w:rPr>
        <w:t xml:space="preserve"> </w:t>
      </w:r>
      <w:r>
        <w:rPr>
          <w:rFonts w:ascii="Arial" w:cs="Arial" w:eastAsia="Arial" w:hAnsi="Arial"/>
          <w:sz w:val="22"/>
          <w:szCs w:val="22"/>
          <w:color w:val="auto"/>
        </w:rPr>
        <w:t>active markets, quoted prices for identical or similar assets or liabilities in markets that are not active, and model-derived valuations for the asset or liability that are derived principally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130810</wp:posOffset>
            </wp:positionV>
            <wp:extent cx="554863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64" w:name="page165"/>
    <w:bookmarkEnd w:id="164"/>
    <w:p>
      <w:pPr>
        <w:ind w:left="2100" w:right="679"/>
        <w:spacing w:after="0" w:line="241" w:lineRule="auto"/>
        <w:rPr>
          <w:sz w:val="20"/>
          <w:szCs w:val="20"/>
          <w:color w:val="auto"/>
        </w:rPr>
      </w:pPr>
      <w:r>
        <w:rPr>
          <w:rFonts w:ascii="Arial" w:cs="Arial" w:eastAsia="Arial" w:hAnsi="Arial"/>
          <w:sz w:val="22"/>
          <w:szCs w:val="22"/>
          <w:color w:val="auto"/>
        </w:rPr>
        <w:t>from or corroborated by market data for which the primary inputs are observable, including forward interest rates, yield curves, credit risk and exchange rates.</w:t>
      </w:r>
    </w:p>
    <w:p>
      <w:pPr>
        <w:spacing w:after="0" w:line="211" w:lineRule="exact"/>
        <w:rPr>
          <w:sz w:val="20"/>
          <w:szCs w:val="20"/>
          <w:color w:val="auto"/>
        </w:rPr>
      </w:pPr>
    </w:p>
    <w:p>
      <w:pPr>
        <w:ind w:left="2100" w:right="199"/>
        <w:spacing w:after="0" w:line="236" w:lineRule="auto"/>
        <w:rPr>
          <w:sz w:val="20"/>
          <w:szCs w:val="20"/>
          <w:color w:val="auto"/>
        </w:rPr>
      </w:pPr>
      <w:r>
        <w:rPr>
          <w:rFonts w:ascii="Arial" w:cs="Arial" w:eastAsia="Arial" w:hAnsi="Arial"/>
          <w:sz w:val="22"/>
          <w:szCs w:val="22"/>
          <w:i w:val="1"/>
          <w:iCs w:val="1"/>
          <w:color w:val="auto"/>
        </w:rPr>
        <w:t>Level 3</w:t>
      </w:r>
      <w:r>
        <w:rPr>
          <w:rFonts w:ascii="Arial" w:cs="Arial" w:eastAsia="Arial" w:hAnsi="Arial"/>
          <w:sz w:val="22"/>
          <w:szCs w:val="22"/>
          <w:color w:val="auto"/>
        </w:rPr>
        <w:t>: Inputs for the valuations are unobservable and are based on</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management’s estimates of assumptions that market participants would use in pricing the asset or liability. The fair values are therefore determined using model-based techniques such as option pricing models and discounted cash flow models.</w:t>
      </w:r>
    </w:p>
    <w:p>
      <w:pPr>
        <w:spacing w:after="0" w:line="215" w:lineRule="exact"/>
        <w:rPr>
          <w:sz w:val="20"/>
          <w:szCs w:val="20"/>
          <w:color w:val="auto"/>
        </w:rPr>
      </w:pPr>
    </w:p>
    <w:p>
      <w:pPr>
        <w:ind w:left="160" w:right="379" w:firstLine="648"/>
        <w:spacing w:after="0" w:line="248" w:lineRule="auto"/>
        <w:rPr>
          <w:sz w:val="20"/>
          <w:szCs w:val="20"/>
          <w:color w:val="auto"/>
        </w:rPr>
      </w:pPr>
      <w:r>
        <w:rPr>
          <w:rFonts w:ascii="Arial" w:cs="Arial" w:eastAsia="Arial" w:hAnsi="Arial"/>
          <w:sz w:val="21"/>
          <w:szCs w:val="21"/>
          <w:color w:val="auto"/>
        </w:rPr>
        <w:t>The Partnership’s financial instruments consist primarily of cash and cash equivalents, accounts receivable, accounts payable, accrued liabilities and debt. Management believes the carrying value of cash and cash equivalents, accounts receivable, accounts payable and accrued liabilities are representative of their respective fair values due to the short maturities of these instruments. The carrying value of the New Credit Facility was $80.5 million as of November 23, 2015 which approximates fair value.</w:t>
      </w:r>
    </w:p>
    <w:p>
      <w:pPr>
        <w:spacing w:after="0" w:line="204" w:lineRule="exact"/>
        <w:rPr>
          <w:sz w:val="20"/>
          <w:szCs w:val="20"/>
          <w:color w:val="auto"/>
        </w:rPr>
      </w:pPr>
    </w:p>
    <w:p>
      <w:pPr>
        <w:ind w:left="160" w:right="399" w:firstLine="648"/>
        <w:spacing w:after="0" w:line="236" w:lineRule="auto"/>
        <w:rPr>
          <w:sz w:val="20"/>
          <w:szCs w:val="20"/>
          <w:color w:val="auto"/>
        </w:rPr>
      </w:pPr>
      <w:r>
        <w:rPr>
          <w:rFonts w:ascii="Arial" w:cs="Arial" w:eastAsia="Arial" w:hAnsi="Arial"/>
          <w:sz w:val="22"/>
          <w:szCs w:val="22"/>
          <w:color w:val="auto"/>
        </w:rPr>
        <w:t>The Partnership valued its Member Notes using a discounted cash flow analysis incorporating contractual cash flows. The discount rate used in the analysis considered the credit worthiness of the Partnership and the seniority of the Member Notes based on Level 3 inputs. The fair value of our promissory notes due to the Members was approximately $9.4 million as of November 23, 2015 (see Note 6).</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Recent Accounting Pronouncements</w:t>
      </w:r>
    </w:p>
    <w:p>
      <w:pPr>
        <w:spacing w:after="0" w:line="233" w:lineRule="exact"/>
        <w:rPr>
          <w:sz w:val="20"/>
          <w:szCs w:val="20"/>
          <w:color w:val="auto"/>
        </w:rPr>
      </w:pPr>
    </w:p>
    <w:p>
      <w:pPr>
        <w:ind w:left="160" w:right="159" w:firstLine="648"/>
        <w:spacing w:after="0" w:line="244" w:lineRule="auto"/>
        <w:rPr>
          <w:sz w:val="20"/>
          <w:szCs w:val="20"/>
          <w:color w:val="auto"/>
        </w:rPr>
      </w:pPr>
      <w:r>
        <w:rPr>
          <w:rFonts w:ascii="Arial" w:cs="Arial" w:eastAsia="Arial" w:hAnsi="Arial"/>
          <w:sz w:val="21"/>
          <w:szCs w:val="21"/>
          <w:color w:val="auto"/>
        </w:rPr>
        <w:t>In May 2014, the Financial Accounting Standards Board (“FASB”) issued Accounting Standards Update (“ASU”) No. 2014-9, Revenue from Contracts with Customers (Topic 606). The standard requires revenue to be recognized when promised goods or services are transferred to customers in an amount that reflects the consideration that is expected to be received for those goods and services. Qualitative and quantitative disclosures are also required regarding customer contracts, significant judgments and changes in judgments, and assets recognized from the costs to obtain or fulfill a contract. ASU 2014-09 supersedes and replaces nearly all existing revenue recognition guidance under US GAAP. In August, 2015 FASB issued ASU No. 2015-14 which defers the effective date for ASU No. 2014-9 for all entities by one year. The guidance for ASU 2014-9 is now effective for fiscal years, and interim periods within those years, beginning after December 15, 2018. Early adoption effective for fiscal years, and interim periods within those years, beginning after December 15, 2016 is permitted. The Partnership is currently evaluating the impact of the adoption of ASU 2014-09 on its unaudited consolidated financial statements and related disclosures.</w:t>
      </w:r>
    </w:p>
    <w:p>
      <w:pPr>
        <w:spacing w:after="0" w:line="209" w:lineRule="exact"/>
        <w:rPr>
          <w:sz w:val="20"/>
          <w:szCs w:val="20"/>
          <w:color w:val="auto"/>
        </w:rPr>
      </w:pPr>
    </w:p>
    <w:p>
      <w:pPr>
        <w:ind w:left="160" w:right="179" w:firstLine="648"/>
        <w:spacing w:after="0" w:line="273" w:lineRule="auto"/>
        <w:rPr>
          <w:sz w:val="20"/>
          <w:szCs w:val="20"/>
          <w:color w:val="auto"/>
        </w:rPr>
      </w:pPr>
      <w:r>
        <w:rPr>
          <w:rFonts w:ascii="Arial" w:cs="Arial" w:eastAsia="Arial" w:hAnsi="Arial"/>
          <w:sz w:val="19"/>
          <w:szCs w:val="19"/>
          <w:color w:val="auto"/>
        </w:rPr>
        <w:t>In August 2014, the FASB issued ASU No. 2014-15, "Presentation of Financial Statements —Going Concern" (Subtopic 205-40)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The Partnership believes the effects, if any, of the adoption of this guidance will not have a material impact on its consolidated financial statements.</w:t>
      </w:r>
    </w:p>
    <w:p>
      <w:pPr>
        <w:spacing w:after="0" w:line="200" w:lineRule="exact"/>
        <w:rPr>
          <w:sz w:val="20"/>
          <w:szCs w:val="20"/>
          <w:color w:val="auto"/>
        </w:rPr>
      </w:pPr>
    </w:p>
    <w:p>
      <w:pPr>
        <w:spacing w:after="0" w:line="232" w:lineRule="exact"/>
        <w:rPr>
          <w:sz w:val="20"/>
          <w:szCs w:val="20"/>
          <w:color w:val="auto"/>
        </w:rPr>
      </w:pPr>
    </w:p>
    <w:p>
      <w:pPr>
        <w:ind w:left="160" w:right="199" w:firstLine="648"/>
        <w:spacing w:after="0" w:line="274" w:lineRule="auto"/>
        <w:rPr>
          <w:sz w:val="20"/>
          <w:szCs w:val="20"/>
          <w:color w:val="auto"/>
        </w:rPr>
      </w:pPr>
      <w:r>
        <w:rPr>
          <w:rFonts w:ascii="Arial" w:cs="Arial" w:eastAsia="Arial" w:hAnsi="Arial"/>
          <w:sz w:val="19"/>
          <w:szCs w:val="19"/>
          <w:color w:val="auto"/>
        </w:rPr>
        <w:t>In January 2015, the FASB issued ASU No. 2015-1, "Income Statement—Extraordinary and Unusual Items" (Subtopic 225-20)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The Partnership believes the effects, if any, of the adoption of this guidance will not have a material impact on its consolidated financial statements.</w:t>
      </w:r>
    </w:p>
    <w:p>
      <w:pPr>
        <w:spacing w:after="0" w:line="186" w:lineRule="exact"/>
        <w:rPr>
          <w:sz w:val="20"/>
          <w:szCs w:val="20"/>
          <w:color w:val="auto"/>
        </w:rPr>
      </w:pPr>
    </w:p>
    <w:p>
      <w:pPr>
        <w:jc w:val="both"/>
        <w:ind w:left="160" w:right="319" w:firstLine="648"/>
        <w:spacing w:after="0" w:line="252" w:lineRule="auto"/>
        <w:rPr>
          <w:sz w:val="20"/>
          <w:szCs w:val="20"/>
          <w:color w:val="auto"/>
        </w:rPr>
      </w:pPr>
      <w:r>
        <w:rPr>
          <w:rFonts w:ascii="Arial" w:cs="Arial" w:eastAsia="Arial" w:hAnsi="Arial"/>
          <w:sz w:val="21"/>
          <w:szCs w:val="21"/>
          <w:color w:val="auto"/>
        </w:rPr>
        <w:t>In February 2015, the FASB issued ASU No. 2015-2, "Consolidation: Amendments to the Consolidation Analysis" (Topic 810) which provides guidance to companies in evaluating whether certain legal entities should be included in their consolidated financial statements. This guidance is effective for annual periods beginning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124460</wp:posOffset>
            </wp:positionV>
            <wp:extent cx="554863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69" w:gutter="0" w:footer="0" w:header="0"/>
        </w:sectPr>
      </w:pPr>
    </w:p>
    <w:bookmarkStart w:id="165" w:name="page166"/>
    <w:bookmarkEnd w:id="1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ind w:left="160" w:right="639"/>
        <w:spacing w:after="0" w:line="241" w:lineRule="auto"/>
        <w:rPr>
          <w:sz w:val="20"/>
          <w:szCs w:val="20"/>
          <w:color w:val="auto"/>
        </w:rPr>
      </w:pPr>
      <w:r>
        <w:rPr>
          <w:rFonts w:ascii="Arial" w:cs="Arial" w:eastAsia="Arial" w:hAnsi="Arial"/>
          <w:sz w:val="22"/>
          <w:szCs w:val="22"/>
          <w:color w:val="auto"/>
        </w:rPr>
        <w:t>December 15, 2015. Early adoption is permitted, including adoption in an interim period. The Partnership believes the effects, if any, of the adoption of this guidance will not have a material impact on its consolidated financial statements.</w:t>
      </w:r>
    </w:p>
    <w:p>
      <w:pPr>
        <w:spacing w:after="0" w:line="211" w:lineRule="exact"/>
        <w:rPr>
          <w:sz w:val="20"/>
          <w:szCs w:val="20"/>
          <w:color w:val="auto"/>
        </w:rPr>
      </w:pPr>
    </w:p>
    <w:p>
      <w:pPr>
        <w:ind w:left="160" w:right="259" w:firstLine="648"/>
        <w:spacing w:after="0" w:line="273" w:lineRule="auto"/>
        <w:rPr>
          <w:sz w:val="20"/>
          <w:szCs w:val="20"/>
          <w:color w:val="auto"/>
        </w:rPr>
      </w:pPr>
      <w:r>
        <w:rPr>
          <w:rFonts w:ascii="Arial" w:cs="Arial" w:eastAsia="Arial" w:hAnsi="Arial"/>
          <w:sz w:val="19"/>
          <w:szCs w:val="19"/>
          <w:color w:val="auto"/>
        </w:rPr>
        <w:t>In April 2015, the FASB issued ASU No. 2015-3, "Interest—Imputation of Interest" (Subtopic 835-30) which requires debt issuance costs be presented in the balance sheet as a direct reduction of the associated debt obligation, with the amortization of such costs being reported as a component of interest expense. The description of the debt obligation will also include the effective interest rate resulting from the amortization of debt issuance costs. This guidance is effective for annual periods beginning after December 15, 2015 and interim periods within such annual periods. Early adoption is permitted, including adoption in an interim period. The new guidance is to be adopted on a retrospective basis with appropriate disclosure reflecting a change in accounting principle. The Partnership is currently evaluating the impact of the adoption of ASU 2015-03 on its unaudited consolidated financial statements and related disclosures.</w:t>
      </w:r>
    </w:p>
    <w:p>
      <w:pPr>
        <w:spacing w:after="0" w:line="189" w:lineRule="exact"/>
        <w:rPr>
          <w:sz w:val="20"/>
          <w:szCs w:val="20"/>
          <w:color w:val="auto"/>
        </w:rPr>
      </w:pPr>
    </w:p>
    <w:p>
      <w:pPr>
        <w:ind w:left="160" w:right="159" w:firstLine="648"/>
        <w:spacing w:after="0" w:line="273" w:lineRule="auto"/>
        <w:rPr>
          <w:sz w:val="20"/>
          <w:szCs w:val="20"/>
          <w:color w:val="auto"/>
        </w:rPr>
      </w:pPr>
      <w:r>
        <w:rPr>
          <w:rFonts w:ascii="Arial" w:cs="Arial" w:eastAsia="Arial" w:hAnsi="Arial"/>
          <w:sz w:val="19"/>
          <w:szCs w:val="19"/>
          <w:color w:val="auto"/>
        </w:rPr>
        <w:t>In June 2015, the FASB issued ASU No. 2015-10, "Technical Corrections and Improvements" which clarifies certain sections of the FASB codification, corrects unintended application of guidance and makes minor improvements to the Codification that is not expected to have a significant effect on current accounting practice or create a significant administrative cost to most entities. The amendments within the guidance that require transition guidance are effective for all entities for fiscal years, and interim periods within those fiscal years, beginning after December 15, 2015. Early adoption is permitted, including adoption in an interim period. All other amendments which do not require transition guidance are effective immediately. The Partnership has applied the guidance which does not require transition and is currently evaluating the impact of the adoption of ASU 2015-03 on its unaudited consolidated financial statements and related disclosures.</w:t>
      </w:r>
    </w:p>
    <w:p>
      <w:pPr>
        <w:spacing w:after="0" w:line="189" w:lineRule="exact"/>
        <w:rPr>
          <w:sz w:val="20"/>
          <w:szCs w:val="20"/>
          <w:color w:val="auto"/>
        </w:rPr>
      </w:pPr>
    </w:p>
    <w:p>
      <w:pPr>
        <w:ind w:left="160" w:right="139" w:firstLine="648"/>
        <w:spacing w:after="0" w:line="245" w:lineRule="auto"/>
        <w:rPr>
          <w:sz w:val="20"/>
          <w:szCs w:val="20"/>
          <w:color w:val="auto"/>
        </w:rPr>
      </w:pPr>
      <w:r>
        <w:rPr>
          <w:rFonts w:ascii="Arial" w:cs="Arial" w:eastAsia="Arial" w:hAnsi="Arial"/>
          <w:sz w:val="21"/>
          <w:szCs w:val="21"/>
          <w:color w:val="auto"/>
        </w:rPr>
        <w:t>In July, 2015, the FASB issued ASU No. 2015-11, “Inventory (Topic 330): Simplifying the Measurement of Inventory” which is applicable to entities that measure inventory using the first-in, first-out method or average cost. The amendment requires that an entity should measure inventory at the lower of cost and net realizable value. Net realizable value is the estimated selling prices in the ordinary course of business, less reasonably predictable costs of completion, disposal, and transportation. This guidance is effective for annual periods beginning after December 15, 2016. The amendments in this Update should be applied prospectively with earlier application permitted as of the beginning of an interim or annual reporting period. The Partnership believes the effects, if any, of the adoption of this guidance will not have a material impact on its consolidated financial statements.</w:t>
      </w:r>
    </w:p>
    <w:p>
      <w:pPr>
        <w:spacing w:after="0" w:line="216" w:lineRule="exact"/>
        <w:rPr>
          <w:sz w:val="20"/>
          <w:szCs w:val="20"/>
          <w:color w:val="auto"/>
        </w:rPr>
      </w:pPr>
    </w:p>
    <w:p>
      <w:pPr>
        <w:ind w:left="160" w:right="199" w:firstLine="648"/>
        <w:spacing w:after="0" w:line="269" w:lineRule="auto"/>
        <w:rPr>
          <w:sz w:val="20"/>
          <w:szCs w:val="20"/>
          <w:color w:val="auto"/>
        </w:rPr>
      </w:pPr>
      <w:r>
        <w:rPr>
          <w:rFonts w:ascii="Arial" w:cs="Arial" w:eastAsia="Arial" w:hAnsi="Arial"/>
          <w:sz w:val="17"/>
          <w:szCs w:val="17"/>
          <w:color w:val="auto"/>
        </w:rPr>
        <w:t>In February 2016, the FASB issued an accounting standards update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financial statements. We are currently evaluating the impact of adopting this accounting standard on our consolidated financial statements.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Subsequent Events</w:t>
      </w:r>
    </w:p>
    <w:p>
      <w:pPr>
        <w:spacing w:after="0" w:line="233" w:lineRule="exact"/>
        <w:rPr>
          <w:sz w:val="20"/>
          <w:szCs w:val="20"/>
          <w:color w:val="auto"/>
        </w:rPr>
      </w:pPr>
    </w:p>
    <w:p>
      <w:pPr>
        <w:jc w:val="both"/>
        <w:ind w:left="160" w:right="279" w:firstLine="648"/>
        <w:spacing w:after="0" w:line="287" w:lineRule="auto"/>
        <w:rPr>
          <w:sz w:val="20"/>
          <w:szCs w:val="20"/>
          <w:color w:val="auto"/>
        </w:rPr>
      </w:pPr>
      <w:r>
        <w:rPr>
          <w:rFonts w:ascii="Arial" w:cs="Arial" w:eastAsia="Arial" w:hAnsi="Arial"/>
          <w:sz w:val="19"/>
          <w:szCs w:val="19"/>
          <w:color w:val="auto"/>
        </w:rPr>
        <w:t>Management has evaluated all events or transactions that occurred after December 31, 2015 through March 15, 2016, the date the financial statements were issued. Management has concluded there were no material subsequent events except as described in “</w:t>
      </w:r>
      <w:r>
        <w:rPr>
          <w:rFonts w:ascii="Arial" w:cs="Arial" w:eastAsia="Arial" w:hAnsi="Arial"/>
          <w:sz w:val="19"/>
          <w:szCs w:val="19"/>
          <w:i w:val="1"/>
          <w:iCs w:val="1"/>
          <w:color w:val="auto"/>
        </w:rPr>
        <w:t>Acquisition</w:t>
      </w:r>
      <w:r>
        <w:rPr>
          <w:rFonts w:ascii="Arial" w:cs="Arial" w:eastAsia="Arial" w:hAnsi="Arial"/>
          <w:sz w:val="19"/>
          <w:szCs w:val="19"/>
          <w:color w:val="auto"/>
        </w:rPr>
        <w:t>” in Note 1 regarding the purchase of Silver Legacy consummated on November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259080</wp:posOffset>
            </wp:positionV>
            <wp:extent cx="554863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7" w:name="page168"/>
    <w:bookmarkEnd w:id="167"/>
    <w:p>
      <w:pPr>
        <w:ind w:left="160"/>
        <w:spacing w:after="0"/>
        <w:rPr>
          <w:sz w:val="20"/>
          <w:szCs w:val="20"/>
          <w:color w:val="auto"/>
        </w:rPr>
      </w:pPr>
      <w:r>
        <w:rPr>
          <w:rFonts w:ascii="Arial" w:cs="Arial" w:eastAsia="Arial" w:hAnsi="Arial"/>
          <w:sz w:val="22"/>
          <w:szCs w:val="22"/>
          <w:b w:val="1"/>
          <w:bCs w:val="1"/>
          <w:color w:val="auto"/>
        </w:rPr>
        <w:t>Note 2. Accounts Receivable</w:t>
      </w:r>
    </w:p>
    <w:p>
      <w:pPr>
        <w:spacing w:after="0" w:line="240" w:lineRule="exact"/>
        <w:rPr>
          <w:sz w:val="20"/>
          <w:szCs w:val="20"/>
          <w:color w:val="auto"/>
        </w:rPr>
      </w:pPr>
    </w:p>
    <w:p>
      <w:pPr>
        <w:ind w:left="800"/>
        <w:spacing w:after="0"/>
        <w:rPr>
          <w:sz w:val="20"/>
          <w:szCs w:val="20"/>
          <w:color w:val="auto"/>
        </w:rPr>
      </w:pPr>
      <w:r>
        <w:rPr>
          <w:rFonts w:ascii="Arial" w:cs="Arial" w:eastAsia="Arial" w:hAnsi="Arial"/>
          <w:sz w:val="19"/>
          <w:szCs w:val="19"/>
          <w:color w:val="auto"/>
        </w:rPr>
        <w:t>Accounts receivable, net at November 23, 2015 consisted of the following (in thousands):</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November 23,</w:t>
            </w:r>
          </w:p>
        </w:tc>
      </w:tr>
      <w:tr>
        <w:trPr>
          <w:trHeight w:val="234"/>
        </w:trPr>
        <w:tc>
          <w:tcPr>
            <w:tcW w:w="46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10"/>
        </w:trPr>
        <w:tc>
          <w:tcPr>
            <w:tcW w:w="46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Casino receivables</w:t>
            </w:r>
          </w:p>
        </w:tc>
        <w:tc>
          <w:tcPr>
            <w:tcW w:w="160" w:type="dxa"/>
            <w:vAlign w:val="bottom"/>
            <w:shd w:val="clear" w:color="auto" w:fill="BFBFB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4680" w:type="dxa"/>
            <w:vAlign w:val="bottom"/>
          </w:tcPr>
          <w:p>
            <w:pPr>
              <w:ind w:left="300"/>
              <w:spacing w:after="0"/>
              <w:rPr>
                <w:sz w:val="20"/>
                <w:szCs w:val="20"/>
                <w:color w:val="auto"/>
              </w:rPr>
            </w:pPr>
            <w:r>
              <w:rPr>
                <w:rFonts w:ascii="Arial" w:cs="Arial" w:eastAsia="Arial" w:hAnsi="Arial"/>
                <w:sz w:val="18"/>
                <w:szCs w:val="18"/>
                <w:color w:val="auto"/>
              </w:rPr>
              <w:t>Hotel receivables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30"/>
        </w:trPr>
        <w:tc>
          <w:tcPr>
            <w:tcW w:w="4680" w:type="dxa"/>
            <w:vAlign w:val="bottom"/>
            <w:shd w:val="clear" w:color="auto" w:fill="BFBFBF"/>
          </w:tcPr>
          <w:p>
            <w:pPr>
              <w:ind w:left="300"/>
              <w:spacing w:after="0"/>
              <w:rPr>
                <w:sz w:val="20"/>
                <w:szCs w:val="20"/>
                <w:color w:val="auto"/>
              </w:rPr>
            </w:pPr>
            <w:r>
              <w:rPr>
                <w:rFonts w:ascii="Arial" w:cs="Arial" w:eastAsia="Arial" w:hAnsi="Arial"/>
                <w:sz w:val="18"/>
                <w:szCs w:val="18"/>
                <w:color w:val="auto"/>
              </w:rPr>
              <w:t>Other receivables</w:t>
            </w:r>
          </w:p>
        </w:tc>
        <w:tc>
          <w:tcPr>
            <w:tcW w:w="160" w:type="dxa"/>
            <w:vAlign w:val="bottom"/>
            <w:tcBorders>
              <w:bottom w:val="single" w:sz="8" w:color="auto"/>
            </w:tcBorders>
            <w:shd w:val="clear" w:color="auto" w:fill="BFBFBF"/>
          </w:tcPr>
          <w:p>
            <w:pPr>
              <w:spacing w:after="0"/>
              <w:rPr>
                <w:sz w:val="19"/>
                <w:szCs w:val="19"/>
                <w:color w:val="auto"/>
              </w:rPr>
            </w:pPr>
          </w:p>
        </w:tc>
        <w:tc>
          <w:tcPr>
            <w:tcW w:w="13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1,679</w:t>
            </w:r>
          </w:p>
        </w:tc>
      </w:tr>
      <w:tr>
        <w:trPr>
          <w:trHeight w:val="210"/>
        </w:trPr>
        <w:tc>
          <w:tcPr>
            <w:tcW w:w="4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4,822</w:t>
            </w:r>
          </w:p>
        </w:tc>
      </w:tr>
      <w:tr>
        <w:trPr>
          <w:trHeight w:val="230"/>
        </w:trPr>
        <w:tc>
          <w:tcPr>
            <w:tcW w:w="4680" w:type="dxa"/>
            <w:vAlign w:val="bottom"/>
            <w:shd w:val="clear" w:color="auto" w:fill="BFBFBF"/>
          </w:tcPr>
          <w:p>
            <w:pPr>
              <w:ind w:left="300"/>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tcBorders>
              <w:bottom w:val="single" w:sz="8" w:color="auto"/>
            </w:tcBorders>
            <w:shd w:val="clear" w:color="auto" w:fill="BFBFBF"/>
          </w:tcPr>
          <w:p>
            <w:pPr>
              <w:spacing w:after="0"/>
              <w:rPr>
                <w:sz w:val="19"/>
                <w:szCs w:val="19"/>
                <w:color w:val="auto"/>
              </w:rPr>
            </w:pPr>
          </w:p>
        </w:tc>
        <w:tc>
          <w:tcPr>
            <w:tcW w:w="13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(327)</w:t>
            </w:r>
          </w:p>
        </w:tc>
      </w:tr>
      <w:tr>
        <w:trPr>
          <w:trHeight w:val="217"/>
        </w:trPr>
        <w:tc>
          <w:tcPr>
            <w:tcW w:w="46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r>
    </w:tbl>
    <w:p>
      <w:pPr>
        <w:spacing w:after="0" w:line="222" w:lineRule="exact"/>
        <w:rPr>
          <w:sz w:val="20"/>
          <w:szCs w:val="20"/>
          <w:color w:val="auto"/>
        </w:rPr>
      </w:pPr>
    </w:p>
    <w:p>
      <w:pPr>
        <w:ind w:left="800"/>
        <w:spacing w:after="0"/>
        <w:rPr>
          <w:sz w:val="20"/>
          <w:szCs w:val="20"/>
          <w:color w:val="auto"/>
        </w:rPr>
      </w:pPr>
      <w:r>
        <w:rPr>
          <w:rFonts w:ascii="Arial" w:cs="Arial" w:eastAsia="Arial" w:hAnsi="Arial"/>
          <w:sz w:val="19"/>
          <w:szCs w:val="19"/>
          <w:color w:val="auto"/>
        </w:rPr>
        <w:t>Bad debt expense for the period January 1, 2015 to November 23, 2015 was $0.2 million.</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3. Property and Equipment</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Property and equipment at November 23, 2015 consisted of the following (in thousands):</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November 23,</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7"/>
        </w:trPr>
        <w:tc>
          <w:tcPr>
            <w:tcW w:w="4400" w:type="dxa"/>
            <w:vAlign w:val="bottom"/>
            <w:tcBorders>
              <w:bottom w:val="single" w:sz="8" w:color="C0C0C0"/>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4400" w:type="dxa"/>
            <w:vAlign w:val="bottom"/>
            <w:shd w:val="clear" w:color="auto" w:fill="C0C0C0"/>
          </w:tcPr>
          <w:p>
            <w:pPr>
              <w:ind w:left="120"/>
              <w:spacing w:after="0"/>
              <w:rPr>
                <w:sz w:val="20"/>
                <w:szCs w:val="20"/>
                <w:color w:val="auto"/>
              </w:rPr>
            </w:pPr>
            <w:r>
              <w:rPr>
                <w:rFonts w:ascii="Arial" w:cs="Arial" w:eastAsia="Arial" w:hAnsi="Arial"/>
                <w:sz w:val="18"/>
                <w:szCs w:val="18"/>
                <w:color w:val="auto"/>
              </w:rPr>
              <w:t>Land and improvements</w:t>
            </w:r>
          </w:p>
        </w:tc>
        <w:tc>
          <w:tcPr>
            <w:tcW w:w="2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28,405</w:t>
            </w: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Building and other leasehold improvements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270,394</w:t>
            </w:r>
          </w:p>
        </w:tc>
      </w:tr>
      <w:tr>
        <w:trPr>
          <w:trHeight w:val="230"/>
        </w:trPr>
        <w:tc>
          <w:tcPr>
            <w:tcW w:w="4400" w:type="dxa"/>
            <w:vAlign w:val="bottom"/>
            <w:shd w:val="clear" w:color="auto" w:fill="C0C0C0"/>
          </w:tcPr>
          <w:p>
            <w:pPr>
              <w:ind w:left="1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auto"/>
            </w:tcBorders>
            <w:shd w:val="clear" w:color="auto" w:fill="C0C0C0"/>
          </w:tcPr>
          <w:p>
            <w:pPr>
              <w:spacing w:after="0"/>
              <w:rPr>
                <w:sz w:val="19"/>
                <w:szCs w:val="19"/>
                <w:color w:val="auto"/>
              </w:rPr>
            </w:pPr>
          </w:p>
        </w:tc>
        <w:tc>
          <w:tcPr>
            <w:tcW w:w="1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105,140</w:t>
            </w: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403,939</w:t>
            </w:r>
          </w:p>
        </w:tc>
      </w:tr>
      <w:tr>
        <w:trPr>
          <w:trHeight w:val="230"/>
        </w:trPr>
        <w:tc>
          <w:tcPr>
            <w:tcW w:w="4400" w:type="dxa"/>
            <w:vAlign w:val="bottom"/>
            <w:shd w:val="clear" w:color="auto" w:fill="C0C0C0"/>
          </w:tcPr>
          <w:p>
            <w:pPr>
              <w:ind w:left="1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BFBFBF"/>
          </w:tcPr>
          <w:p>
            <w:pPr>
              <w:spacing w:after="0"/>
              <w:rPr>
                <w:sz w:val="19"/>
                <w:szCs w:val="19"/>
                <w:color w:val="auto"/>
              </w:rPr>
            </w:pPr>
          </w:p>
        </w:tc>
        <w:tc>
          <w:tcPr>
            <w:tcW w:w="14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(219,857)</w:t>
            </w:r>
          </w:p>
        </w:tc>
      </w:tr>
      <w:tr>
        <w:trPr>
          <w:trHeight w:val="217"/>
        </w:trPr>
        <w:tc>
          <w:tcPr>
            <w:tcW w:w="44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184,082</w:t>
            </w:r>
          </w:p>
        </w:tc>
      </w:tr>
    </w:tbl>
    <w:p>
      <w:pPr>
        <w:spacing w:after="0" w:line="202" w:lineRule="exact"/>
        <w:rPr>
          <w:sz w:val="20"/>
          <w:szCs w:val="20"/>
          <w:color w:val="auto"/>
        </w:rPr>
      </w:pPr>
    </w:p>
    <w:p>
      <w:pPr>
        <w:ind w:left="160" w:right="399" w:firstLine="648"/>
        <w:spacing w:after="0" w:line="277" w:lineRule="auto"/>
        <w:rPr>
          <w:sz w:val="20"/>
          <w:szCs w:val="20"/>
          <w:color w:val="auto"/>
        </w:rPr>
      </w:pPr>
      <w:r>
        <w:rPr>
          <w:rFonts w:ascii="Arial" w:cs="Arial" w:eastAsia="Arial" w:hAnsi="Arial"/>
          <w:sz w:val="18"/>
          <w:szCs w:val="18"/>
          <w:color w:val="auto"/>
        </w:rPr>
        <w:t>Substantially all property and equipment of the Partnership is pledged as collateral against its long-term debt (see Note 8).</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4. Other Assets</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22"/>
          <w:szCs w:val="22"/>
          <w:color w:val="auto"/>
        </w:rPr>
        <w:t>Other assets, net at November 23, 2015 consisted of the following (in thousands):</w:t>
      </w: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November 23,</w:t>
            </w:r>
          </w:p>
        </w:tc>
      </w:tr>
      <w:tr>
        <w:trPr>
          <w:trHeight w:val="234"/>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4560" w:type="dxa"/>
            <w:vAlign w:val="bottom"/>
            <w:tcBorders>
              <w:bottom w:val="single" w:sz="8" w:color="C0C0C0"/>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0"/>
        </w:trPr>
        <w:tc>
          <w:tcPr>
            <w:tcW w:w="45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China, glassware and silverware</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Debt issuance costs,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3,803</w:t>
            </w:r>
          </w:p>
        </w:tc>
      </w:tr>
      <w:tr>
        <w:trPr>
          <w:trHeight w:val="230"/>
        </w:trPr>
        <w:tc>
          <w:tcPr>
            <w:tcW w:w="45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Long term deposits</w:t>
            </w:r>
          </w:p>
        </w:tc>
        <w:tc>
          <w:tcPr>
            <w:tcW w:w="160" w:type="dxa"/>
            <w:vAlign w:val="bottom"/>
            <w:shd w:val="clear" w:color="auto" w:fill="BFBFBF"/>
          </w:tcPr>
          <w:p>
            <w:pPr>
              <w:spacing w:after="0"/>
              <w:rPr>
                <w:sz w:val="19"/>
                <w:szCs w:val="19"/>
                <w:color w:val="auto"/>
              </w:rPr>
            </w:pPr>
          </w:p>
        </w:tc>
        <w:tc>
          <w:tcPr>
            <w:tcW w:w="1320" w:type="dxa"/>
            <w:vAlign w:val="bottom"/>
            <w:shd w:val="clear" w:color="auto" w:fill="BFBFB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45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7"/>
        </w:trPr>
        <w:tc>
          <w:tcPr>
            <w:tcW w:w="4560" w:type="dxa"/>
            <w:vAlign w:val="bottom"/>
            <w:tcBorders>
              <w:bottom w:val="single" w:sz="8" w:color="BFBFBF"/>
            </w:tcBorders>
            <w:shd w:val="clear" w:color="auto" w:fill="BFBFBF"/>
          </w:tcPr>
          <w:p>
            <w:pPr>
              <w:spacing w:after="0"/>
              <w:rPr>
                <w:sz w:val="18"/>
                <w:szCs w:val="18"/>
                <w:color w:val="auto"/>
              </w:rPr>
            </w:pPr>
          </w:p>
        </w:tc>
        <w:tc>
          <w:tcPr>
            <w:tcW w:w="1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4,612</w:t>
            </w:r>
          </w:p>
        </w:tc>
      </w:tr>
    </w:tbl>
    <w:p>
      <w:pPr>
        <w:spacing w:after="0" w:line="222" w:lineRule="exact"/>
        <w:rPr>
          <w:sz w:val="20"/>
          <w:szCs w:val="20"/>
          <w:color w:val="auto"/>
        </w:rPr>
      </w:pPr>
    </w:p>
    <w:p>
      <w:pPr>
        <w:ind w:left="160" w:right="379" w:firstLine="648"/>
        <w:spacing w:after="0"/>
        <w:rPr>
          <w:sz w:val="20"/>
          <w:szCs w:val="20"/>
          <w:color w:val="auto"/>
        </w:rPr>
      </w:pPr>
      <w:r>
        <w:rPr>
          <w:rFonts w:ascii="Arial" w:cs="Arial" w:eastAsia="Arial" w:hAnsi="Arial"/>
          <w:sz w:val="22"/>
          <w:szCs w:val="22"/>
          <w:color w:val="auto"/>
        </w:rPr>
        <w:t>The initial inventory of china, glassware and silverware has been amortized to 50% of cost with the balance kept as base stock. Additional purchases of china, glassware and silverware are placed into inventory and expensed as used.</w:t>
      </w:r>
    </w:p>
    <w:p>
      <w:pPr>
        <w:spacing w:after="0" w:line="213" w:lineRule="exact"/>
        <w:rPr>
          <w:sz w:val="20"/>
          <w:szCs w:val="20"/>
          <w:color w:val="auto"/>
        </w:rPr>
      </w:pPr>
    </w:p>
    <w:p>
      <w:pPr>
        <w:ind w:left="160" w:right="139" w:firstLine="648"/>
        <w:spacing w:after="0" w:line="279" w:lineRule="auto"/>
        <w:rPr>
          <w:sz w:val="20"/>
          <w:szCs w:val="20"/>
          <w:color w:val="auto"/>
        </w:rPr>
      </w:pPr>
      <w:r>
        <w:rPr>
          <w:rFonts w:ascii="Arial" w:cs="Arial" w:eastAsia="Arial" w:hAnsi="Arial"/>
          <w:sz w:val="19"/>
          <w:szCs w:val="19"/>
          <w:color w:val="auto"/>
        </w:rPr>
        <w:t>The Partnership incurred costs in connection with the issuance of the 2012 Notes in March of 2002, the Senior Credit Facility and Second Lien Notes in November of 2012, and the New Credit Facility in December 2013 (see Note 6). Debt issuance costs are capitalized when incurred and amortized to interest expense based on the related debt maturities using the straight-line method, which approximates the effective interest method. Debt issuance costs, net of amortization, related to the New Credit Facility included in other assets totaled $3.8 million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109220</wp:posOffset>
            </wp:positionV>
            <wp:extent cx="554863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8" w:name="page169"/>
    <w:bookmarkEnd w:id="168"/>
    <w:p>
      <w:pPr>
        <w:ind w:left="160" w:right="139"/>
        <w:spacing w:after="0" w:line="258" w:lineRule="auto"/>
        <w:rPr>
          <w:sz w:val="20"/>
          <w:szCs w:val="20"/>
          <w:color w:val="auto"/>
        </w:rPr>
      </w:pPr>
      <w:r>
        <w:rPr>
          <w:rFonts w:ascii="Arial" w:cs="Arial" w:eastAsia="Arial" w:hAnsi="Arial"/>
          <w:sz w:val="21"/>
          <w:szCs w:val="21"/>
          <w:color w:val="auto"/>
        </w:rPr>
        <w:t>of November 23, 2015. Accumulated amortization of debt issuance costs was $2.9 million as of November 23, 2015. The amounts of amortization of debt issuance costs included in interest expense was $2.9 million for the period January 1, 2015 to November 23, 2015.</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5. Accrued and Other Liabilities</w:t>
      </w:r>
    </w:p>
    <w:p>
      <w:pPr>
        <w:spacing w:after="0" w:line="239" w:lineRule="exact"/>
        <w:rPr>
          <w:sz w:val="20"/>
          <w:szCs w:val="20"/>
          <w:color w:val="auto"/>
        </w:rPr>
      </w:pPr>
    </w:p>
    <w:p>
      <w:pPr>
        <w:ind w:left="160" w:right="1179" w:firstLine="648"/>
        <w:spacing w:after="0" w:line="251" w:lineRule="auto"/>
        <w:rPr>
          <w:sz w:val="20"/>
          <w:szCs w:val="20"/>
          <w:color w:val="auto"/>
        </w:rPr>
      </w:pPr>
      <w:r>
        <w:rPr>
          <w:rFonts w:ascii="Arial" w:cs="Arial" w:eastAsia="Arial" w:hAnsi="Arial"/>
          <w:sz w:val="22"/>
          <w:szCs w:val="22"/>
          <w:color w:val="auto"/>
        </w:rPr>
        <w:t>Accrued and other liabilities at November 23, 2015 consisted of the following (in thousands):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payroll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833495"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3349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vacation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group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833495"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3349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Unclaimed chips and tokens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833495"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3349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Advance room deposits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Progressive slot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833495"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3349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Players’ club and free play liability</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3833495"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334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2835"/>
        <w:spacing w:after="0"/>
        <w:rPr>
          <w:sz w:val="20"/>
          <w:szCs w:val="20"/>
          <w:color w:val="auto"/>
        </w:rPr>
      </w:pPr>
      <w:r>
        <w:rPr>
          <w:rFonts w:ascii="Arial" w:cs="Arial" w:eastAsia="Arial" w:hAnsi="Arial"/>
          <w:sz w:val="18"/>
          <w:szCs w:val="18"/>
          <w:b w:val="1"/>
          <w:bCs w:val="1"/>
          <w:color w:val="auto"/>
        </w:rPr>
        <w:t>November 23,</w:t>
      </w:r>
    </w:p>
    <w:p>
      <w:pPr>
        <w:spacing w:after="0" w:line="27" w:lineRule="exact"/>
        <w:rPr>
          <w:sz w:val="20"/>
          <w:szCs w:val="20"/>
          <w:color w:val="auto"/>
        </w:rPr>
      </w:pPr>
    </w:p>
    <w:p>
      <w:pPr>
        <w:jc w:val="center"/>
        <w:ind w:right="2835"/>
        <w:spacing w:after="0"/>
        <w:rPr>
          <w:sz w:val="20"/>
          <w:szCs w:val="20"/>
          <w:color w:val="auto"/>
        </w:rPr>
      </w:pPr>
      <w:r>
        <w:rPr>
          <w:rFonts w:ascii="Arial" w:cs="Arial" w:eastAsia="Arial" w:hAnsi="Arial"/>
          <w:sz w:val="18"/>
          <w:szCs w:val="18"/>
          <w:b w:val="1"/>
          <w:bCs w:val="1"/>
          <w:color w:val="auto"/>
        </w:rPr>
        <w:t>2015</w:t>
      </w:r>
    </w:p>
    <w:p>
      <w:pPr>
        <w:spacing w:after="0" w:line="35" w:lineRule="exact"/>
        <w:rPr>
          <w:sz w:val="20"/>
          <w:szCs w:val="20"/>
          <w:color w:val="auto"/>
        </w:rPr>
      </w:pPr>
    </w:p>
    <w:p>
      <w:pPr>
        <w:ind w:left="1024" w:hanging="1024"/>
        <w:spacing w:after="0"/>
        <w:tabs>
          <w:tab w:leader="none" w:pos="1024" w:val="left"/>
        </w:tabs>
        <w:numPr>
          <w:ilvl w:val="0"/>
          <w:numId w:val="86"/>
        </w:numPr>
        <w:rPr>
          <w:rFonts w:ascii="Arial" w:cs="Arial" w:eastAsia="Arial" w:hAnsi="Arial"/>
          <w:sz w:val="15"/>
          <w:szCs w:val="15"/>
          <w:color w:val="auto"/>
        </w:rPr>
      </w:pPr>
      <w:r>
        <w:rPr>
          <w:rFonts w:ascii="Arial" w:cs="Arial" w:eastAsia="Arial" w:hAnsi="Arial"/>
          <w:sz w:val="15"/>
          <w:szCs w:val="15"/>
          <w:color w:val="auto"/>
        </w:rPr>
        <w:t>1,812</w:t>
      </w:r>
    </w:p>
    <w:p>
      <w:pPr>
        <w:spacing w:after="0" w:line="57" w:lineRule="exact"/>
        <w:rPr>
          <w:rFonts w:ascii="Arial" w:cs="Arial" w:eastAsia="Arial" w:hAnsi="Arial"/>
          <w:sz w:val="15"/>
          <w:szCs w:val="15"/>
          <w:color w:val="auto"/>
        </w:rPr>
      </w:pPr>
    </w:p>
    <w:p>
      <w:pPr>
        <w:ind w:left="1024"/>
        <w:spacing w:after="0"/>
        <w:rPr>
          <w:rFonts w:ascii="Arial" w:cs="Arial" w:eastAsia="Arial" w:hAnsi="Arial"/>
          <w:sz w:val="15"/>
          <w:szCs w:val="15"/>
          <w:color w:val="auto"/>
        </w:rPr>
      </w:pPr>
      <w:r>
        <w:rPr>
          <w:rFonts w:ascii="Arial" w:cs="Arial" w:eastAsia="Arial" w:hAnsi="Arial"/>
          <w:sz w:val="15"/>
          <w:szCs w:val="15"/>
          <w:color w:val="auto"/>
        </w:rPr>
        <w:t>1,632</w:t>
      </w:r>
    </w:p>
    <w:p>
      <w:pPr>
        <w:spacing w:after="0" w:line="57"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470</w:t>
      </w:r>
    </w:p>
    <w:p>
      <w:pPr>
        <w:spacing w:after="0" w:line="57"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476</w:t>
      </w:r>
    </w:p>
    <w:p>
      <w:pPr>
        <w:spacing w:after="0" w:line="57"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933</w:t>
      </w:r>
    </w:p>
    <w:p>
      <w:pPr>
        <w:spacing w:after="0" w:line="57"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643</w:t>
      </w:r>
    </w:p>
    <w:p>
      <w:pPr>
        <w:spacing w:after="0" w:line="57" w:lineRule="exact"/>
        <w:rPr>
          <w:rFonts w:ascii="Arial" w:cs="Arial" w:eastAsia="Arial" w:hAnsi="Arial"/>
          <w:sz w:val="15"/>
          <w:szCs w:val="15"/>
          <w:color w:val="auto"/>
        </w:rPr>
      </w:pPr>
    </w:p>
    <w:p>
      <w:pPr>
        <w:ind w:left="1024"/>
        <w:spacing w:after="0"/>
        <w:rPr>
          <w:rFonts w:ascii="Arial" w:cs="Arial" w:eastAsia="Arial" w:hAnsi="Arial"/>
          <w:sz w:val="15"/>
          <w:szCs w:val="15"/>
          <w:color w:val="auto"/>
        </w:rPr>
      </w:pPr>
      <w:r>
        <w:rPr>
          <w:rFonts w:ascii="Arial" w:cs="Arial" w:eastAsia="Arial" w:hAnsi="Arial"/>
          <w:sz w:val="15"/>
          <w:szCs w:val="15"/>
          <w:color w:val="auto"/>
        </w:rPr>
        <w:t>1,192</w:t>
      </w:r>
    </w:p>
    <w:p>
      <w:pPr>
        <w:spacing w:after="0" w:line="57"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698</w:t>
      </w:r>
    </w:p>
    <w:p>
      <w:pPr>
        <w:spacing w:after="0" w:line="57" w:lineRule="exact"/>
        <w:rPr>
          <w:rFonts w:ascii="Arial" w:cs="Arial" w:eastAsia="Arial" w:hAnsi="Arial"/>
          <w:sz w:val="15"/>
          <w:szCs w:val="15"/>
          <w:color w:val="auto"/>
        </w:rPr>
      </w:pPr>
    </w:p>
    <w:p>
      <w:pPr>
        <w:ind w:left="1024"/>
        <w:spacing w:after="0"/>
        <w:rPr>
          <w:rFonts w:ascii="Arial" w:cs="Arial" w:eastAsia="Arial" w:hAnsi="Arial"/>
          <w:sz w:val="15"/>
          <w:szCs w:val="15"/>
          <w:color w:val="auto"/>
        </w:rPr>
      </w:pPr>
      <w:r>
        <w:rPr>
          <w:rFonts w:ascii="Arial" w:cs="Arial" w:eastAsia="Arial" w:hAnsi="Arial"/>
          <w:sz w:val="15"/>
          <w:szCs w:val="15"/>
          <w:color w:val="auto"/>
        </w:rPr>
        <w:t>1,990</w:t>
      </w:r>
    </w:p>
    <w:p>
      <w:pPr>
        <w:spacing w:after="0" w:line="57" w:lineRule="exact"/>
        <w:rPr>
          <w:sz w:val="20"/>
          <w:szCs w:val="20"/>
          <w:color w:val="auto"/>
        </w:rPr>
      </w:pPr>
    </w:p>
    <w:p>
      <w:pPr>
        <w:ind w:left="1024" w:hanging="1024"/>
        <w:spacing w:after="0"/>
        <w:tabs>
          <w:tab w:leader="none" w:pos="1024" w:val="left"/>
        </w:tabs>
        <w:numPr>
          <w:ilvl w:val="0"/>
          <w:numId w:val="87"/>
        </w:numPr>
        <w:rPr>
          <w:rFonts w:ascii="Arial" w:cs="Arial" w:eastAsia="Arial" w:hAnsi="Arial"/>
          <w:sz w:val="15"/>
          <w:szCs w:val="15"/>
          <w:color w:val="auto"/>
        </w:rPr>
      </w:pPr>
      <w:r>
        <w:rPr>
          <w:rFonts w:ascii="Arial" w:cs="Arial" w:eastAsia="Arial" w:hAnsi="Arial"/>
          <w:sz w:val="15"/>
          <w:szCs w:val="15"/>
          <w:color w:val="auto"/>
        </w:rPr>
        <w:t>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9347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47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9347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96" w:space="720"/>
            <w:col w:w="4304"/>
          </w:cols>
          <w:pgMar w:left="1440" w:top="118" w:right="1440" w:bottom="1440" w:gutter="0" w:footer="0" w:header="0"/>
          <w:type w:val="continuous"/>
        </w:sectPr>
      </w:pPr>
    </w:p>
    <w:p>
      <w:pPr>
        <w:spacing w:after="0" w:line="10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6. Long-Term Debt</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21"/>
          <w:szCs w:val="21"/>
          <w:color w:val="auto"/>
        </w:rPr>
        <w:t>Long-term debt as of November 23, 2015 consisted of the following (in thousands):</w:t>
      </w:r>
    </w:p>
    <w:p>
      <w:pPr>
        <w:spacing w:after="0" w:line="26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rPr>
              <w:t>November 23,</w:t>
            </w:r>
          </w:p>
        </w:tc>
      </w:t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ind w:left="420"/>
              <w:spacing w:after="0"/>
              <w:rPr>
                <w:sz w:val="20"/>
                <w:szCs w:val="20"/>
                <w:color w:val="auto"/>
              </w:rPr>
            </w:pPr>
            <w:r>
              <w:rPr>
                <w:rFonts w:ascii="Arial" w:cs="Arial" w:eastAsia="Arial" w:hAnsi="Arial"/>
                <w:sz w:val="18"/>
                <w:szCs w:val="18"/>
                <w:b w:val="1"/>
                <w:bCs w:val="1"/>
                <w:color w:val="auto"/>
              </w:rPr>
              <w:t>2015</w:t>
            </w:r>
          </w:p>
        </w:tc>
      </w:tr>
      <w:tr>
        <w:trPr>
          <w:trHeight w:val="27"/>
        </w:trPr>
        <w:tc>
          <w:tcPr>
            <w:tcW w:w="4480" w:type="dxa"/>
            <w:vAlign w:val="bottom"/>
            <w:tcBorders>
              <w:bottom w:val="single" w:sz="8" w:color="C0C0C0"/>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4480" w:type="dxa"/>
            <w:vAlign w:val="bottom"/>
            <w:shd w:val="clear" w:color="auto" w:fill="C0C0C0"/>
          </w:tcPr>
          <w:p>
            <w:pPr>
              <w:ind w:left="120"/>
              <w:spacing w:after="0"/>
              <w:rPr>
                <w:sz w:val="20"/>
                <w:szCs w:val="20"/>
                <w:color w:val="auto"/>
              </w:rPr>
            </w:pPr>
            <w:r>
              <w:rPr>
                <w:rFonts w:ascii="Arial" w:cs="Arial" w:eastAsia="Arial" w:hAnsi="Arial"/>
                <w:sz w:val="18"/>
                <w:szCs w:val="18"/>
                <w:color w:val="auto"/>
              </w:rPr>
              <w:t>New Credit Facility</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0C0C0"/>
          </w:tcPr>
          <w:p>
            <w:pPr>
              <w:ind w:left="800"/>
              <w:spacing w:after="0"/>
              <w:rPr>
                <w:sz w:val="20"/>
                <w:szCs w:val="20"/>
                <w:color w:val="auto"/>
              </w:rPr>
            </w:pPr>
            <w:r>
              <w:rPr>
                <w:rFonts w:ascii="Arial" w:cs="Arial" w:eastAsia="Arial" w:hAnsi="Arial"/>
                <w:sz w:val="18"/>
                <w:szCs w:val="18"/>
                <w:color w:val="auto"/>
                <w:w w:val="94"/>
              </w:rPr>
              <w:t>80,500</w:t>
            </w:r>
          </w:p>
        </w:tc>
      </w:tr>
      <w:tr>
        <w:trPr>
          <w:trHeight w:val="202"/>
        </w:trPr>
        <w:tc>
          <w:tcPr>
            <w:tcW w:w="4480" w:type="dxa"/>
            <w:vAlign w:val="bottom"/>
          </w:tcPr>
          <w:p>
            <w:pPr>
              <w:ind w:left="120"/>
              <w:spacing w:after="0" w:line="201" w:lineRule="exact"/>
              <w:rPr>
                <w:sz w:val="20"/>
                <w:szCs w:val="20"/>
                <w:color w:val="auto"/>
              </w:rPr>
            </w:pPr>
            <w:r>
              <w:rPr>
                <w:rFonts w:ascii="Arial" w:cs="Arial" w:eastAsia="Arial" w:hAnsi="Arial"/>
                <w:sz w:val="18"/>
                <w:szCs w:val="18"/>
                <w:color w:val="auto"/>
              </w:rPr>
              <w:t>Member Notes 5% PIK, net of discount of $5,573 and</w:t>
            </w:r>
          </w:p>
        </w:tc>
        <w:tc>
          <w:tcPr>
            <w:tcW w:w="180" w:type="dxa"/>
            <w:vAlign w:val="bottom"/>
          </w:tcPr>
          <w:p>
            <w:pPr>
              <w:spacing w:after="0"/>
              <w:rPr>
                <w:sz w:val="17"/>
                <w:szCs w:val="17"/>
                <w:color w:val="auto"/>
              </w:rPr>
            </w:pPr>
          </w:p>
        </w:tc>
        <w:tc>
          <w:tcPr>
            <w:tcW w:w="1340" w:type="dxa"/>
            <w:vAlign w:val="bottom"/>
          </w:tcPr>
          <w:p>
            <w:pPr>
              <w:ind w:left="820"/>
              <w:spacing w:after="0" w:line="201" w:lineRule="exact"/>
              <w:rPr>
                <w:sz w:val="20"/>
                <w:szCs w:val="20"/>
                <w:color w:val="auto"/>
              </w:rPr>
            </w:pPr>
            <w:r>
              <w:rPr>
                <w:rFonts w:ascii="Arial" w:cs="Arial" w:eastAsia="Arial" w:hAnsi="Arial"/>
                <w:sz w:val="18"/>
                <w:szCs w:val="18"/>
                <w:color w:val="auto"/>
                <w:w w:val="90"/>
              </w:rPr>
              <w:t>11,467</w:t>
            </w:r>
          </w:p>
        </w:tc>
      </w:tr>
      <w:tr>
        <w:trPr>
          <w:trHeight w:val="230"/>
        </w:trPr>
        <w:tc>
          <w:tcPr>
            <w:tcW w:w="4480" w:type="dxa"/>
            <w:vAlign w:val="bottom"/>
          </w:tcPr>
          <w:p>
            <w:pPr>
              <w:ind w:left="120"/>
              <w:spacing w:after="0"/>
              <w:rPr>
                <w:sz w:val="20"/>
                <w:szCs w:val="20"/>
                <w:color w:val="auto"/>
              </w:rPr>
            </w:pPr>
            <w:r>
              <w:rPr>
                <w:rFonts w:ascii="Arial" w:cs="Arial" w:eastAsia="Arial" w:hAnsi="Arial"/>
                <w:sz w:val="18"/>
                <w:szCs w:val="18"/>
                <w:color w:val="auto"/>
              </w:rPr>
              <w:t>$6,802, respectively</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4480" w:type="dxa"/>
            <w:vAlign w:val="bottom"/>
            <w:shd w:val="clear" w:color="auto" w:fill="BFBFBF"/>
          </w:tcPr>
          <w:p>
            <w:pPr>
              <w:ind w:left="1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shd w:val="clear" w:color="auto" w:fill="BFBFBF"/>
          </w:tcPr>
          <w:p>
            <w:pPr>
              <w:spacing w:after="0"/>
              <w:rPr>
                <w:sz w:val="18"/>
                <w:szCs w:val="18"/>
                <w:color w:val="auto"/>
              </w:rPr>
            </w:pPr>
          </w:p>
        </w:tc>
        <w:tc>
          <w:tcPr>
            <w:tcW w:w="1340" w:type="dxa"/>
            <w:vAlign w:val="bottom"/>
            <w:tcBorders>
              <w:bottom w:val="single" w:sz="8" w:color="auto"/>
            </w:tcBorders>
            <w:shd w:val="clear" w:color="auto" w:fill="BFBFBF"/>
          </w:tcPr>
          <w:p>
            <w:pPr>
              <w:ind w:left="820"/>
              <w:spacing w:after="0"/>
              <w:rPr>
                <w:sz w:val="20"/>
                <w:szCs w:val="20"/>
                <w:color w:val="auto"/>
              </w:rPr>
            </w:pPr>
            <w:r>
              <w:rPr>
                <w:rFonts w:ascii="Arial" w:cs="Arial" w:eastAsia="Arial" w:hAnsi="Arial"/>
                <w:sz w:val="18"/>
                <w:szCs w:val="18"/>
                <w:color w:val="auto"/>
                <w:w w:val="87"/>
              </w:rPr>
              <w:t>(5,000)</w:t>
            </w:r>
          </w:p>
        </w:tc>
      </w:tr>
      <w:tr>
        <w:trPr>
          <w:trHeight w:val="217"/>
        </w:trPr>
        <w:tc>
          <w:tcPr>
            <w:tcW w:w="4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4"/>
              </w:rPr>
              <w:t>86,967</w:t>
            </w:r>
          </w:p>
        </w:tc>
      </w:tr>
    </w:tbl>
    <w:p>
      <w:pPr>
        <w:spacing w:after="0" w:line="222" w:lineRule="exact"/>
        <w:rPr>
          <w:sz w:val="20"/>
          <w:szCs w:val="20"/>
          <w:color w:val="auto"/>
        </w:rPr>
      </w:pPr>
    </w:p>
    <w:p>
      <w:pPr>
        <w:ind w:left="160" w:right="319" w:firstLine="648"/>
        <w:spacing w:after="0" w:line="245" w:lineRule="auto"/>
        <w:rPr>
          <w:sz w:val="20"/>
          <w:szCs w:val="20"/>
          <w:color w:val="auto"/>
        </w:rPr>
      </w:pPr>
      <w:r>
        <w:rPr>
          <w:rFonts w:ascii="Arial" w:cs="Arial" w:eastAsia="Arial" w:hAnsi="Arial"/>
          <w:sz w:val="21"/>
          <w:szCs w:val="21"/>
          <w:color w:val="auto"/>
        </w:rPr>
        <w:t>On December 16, 2013, the Partnership entered into a new senior secured term loan facility (the “New Credit Facility”) totaling $90.5 million to refinance its indebtedness under its then existing senior secured term loan (the “Senior Credit Facility”) and Second Lien Notes. The proceeds from the New Credit Facility, in addition to $7.0 million of operating cash flows, were used to repay $63.8 million representing principal and interest outstanding under the Senior Credit Facility, $31.7 million representing principal and interest related to the extinguishment of the Second Lien Notes, and $2.0 million in fees associated with the transactions. The New Credit Facility consists of a $60.5 million first-out tranche term loan and a $30.0 million last-out tranche term loan. The New Credit Facility matures on November 16, 2017 which was the maturity date of the Senior Credit Facility.</w:t>
      </w:r>
    </w:p>
    <w:p>
      <w:pPr>
        <w:spacing w:after="0" w:line="209" w:lineRule="exact"/>
        <w:rPr>
          <w:sz w:val="20"/>
          <w:szCs w:val="20"/>
          <w:color w:val="auto"/>
        </w:rPr>
      </w:pPr>
    </w:p>
    <w:p>
      <w:pPr>
        <w:ind w:left="160" w:right="539" w:firstLine="648"/>
        <w:spacing w:after="0" w:line="297" w:lineRule="auto"/>
        <w:rPr>
          <w:sz w:val="20"/>
          <w:szCs w:val="20"/>
          <w:color w:val="auto"/>
        </w:rPr>
      </w:pPr>
      <w:r>
        <w:rPr>
          <w:rFonts w:ascii="Arial" w:cs="Arial" w:eastAsia="Arial" w:hAnsi="Arial"/>
          <w:sz w:val="19"/>
          <w:szCs w:val="19"/>
          <w:color w:val="auto"/>
        </w:rPr>
        <w:t>As of November 23, 2015, the Partnership had $92.0 million of long term debt (of which $5.0 million was current), including $80.5 million related to the New Credit Facility and $17.1 million of Member Notes with a carrying value of $11.5 million, net of a $5.6 million discount.</w:t>
      </w:r>
    </w:p>
    <w:p>
      <w:pPr>
        <w:spacing w:after="0" w:line="161" w:lineRule="exact"/>
        <w:rPr>
          <w:sz w:val="20"/>
          <w:szCs w:val="20"/>
          <w:color w:val="auto"/>
        </w:rPr>
      </w:pPr>
    </w:p>
    <w:p>
      <w:pPr>
        <w:ind w:left="160" w:right="179" w:firstLine="648"/>
        <w:spacing w:after="0" w:line="279" w:lineRule="auto"/>
        <w:rPr>
          <w:sz w:val="20"/>
          <w:szCs w:val="20"/>
          <w:color w:val="auto"/>
        </w:rPr>
      </w:pPr>
      <w:r>
        <w:rPr>
          <w:rFonts w:ascii="Arial" w:cs="Arial" w:eastAsia="Arial" w:hAnsi="Arial"/>
          <w:sz w:val="19"/>
          <w:szCs w:val="19"/>
          <w:color w:val="auto"/>
        </w:rPr>
        <w:t>The New Credit Facility was secured by a first priority security interest in substantially all of the Partnership’s existing and future assets, other than certain licenses which may not pledged under applicable law, and a first priority pledge of and security interest in all of the partnership interests in the Partnership held by its Members. The New Credit Facility was supported by: (i) a secured guarantee by Capital; and (ii) a pledge by the Partnership of $10.0 million cash collateral to secure the Partnership’s obligations under the New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263525</wp:posOffset>
            </wp:positionV>
            <wp:extent cx="554863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69" w:name="page170"/>
    <w:bookmarkEnd w:id="169"/>
    <w:p>
      <w:pPr>
        <w:jc w:val="center"/>
        <w:spacing w:after="0"/>
        <w:rPr>
          <w:sz w:val="20"/>
          <w:szCs w:val="20"/>
          <w:color w:val="auto"/>
        </w:rPr>
      </w:pPr>
      <w:r>
        <w:rPr>
          <w:rFonts w:ascii="Arial" w:cs="Arial" w:eastAsia="Arial" w:hAnsi="Arial"/>
          <w:sz w:val="22"/>
          <w:szCs w:val="22"/>
          <w:color w:val="auto"/>
        </w:rPr>
        <w:t>Pursuant to the credit agreement governing the New Credit Facility, the Partnership is</w:t>
      </w:r>
    </w:p>
    <w:p>
      <w:pPr>
        <w:spacing w:after="0" w:line="9" w:lineRule="exact"/>
        <w:rPr>
          <w:sz w:val="20"/>
          <w:szCs w:val="20"/>
          <w:color w:val="auto"/>
        </w:rPr>
      </w:pPr>
    </w:p>
    <w:p>
      <w:pPr>
        <w:ind w:left="160" w:right="159"/>
        <w:spacing w:after="0" w:line="280" w:lineRule="auto"/>
        <w:rPr>
          <w:sz w:val="20"/>
          <w:szCs w:val="20"/>
          <w:color w:val="auto"/>
        </w:rPr>
      </w:pPr>
      <w:r>
        <w:rPr>
          <w:rFonts w:ascii="Arial" w:cs="Arial" w:eastAsia="Arial" w:hAnsi="Arial"/>
          <w:sz w:val="19"/>
          <w:szCs w:val="19"/>
          <w:color w:val="auto"/>
        </w:rPr>
        <w:t>required to make consecutive principal payments that permanently reduce the amount of the first-out tranche of the term loan based on the following quarterly schedule after December 31, 2014: $1.0 million on the last business day in March and December and $1.5 million on the last business day in June and September with all unpaid principal and interest due on November 16, 2017.</w:t>
      </w:r>
    </w:p>
    <w:p>
      <w:pPr>
        <w:spacing w:after="0" w:line="178" w:lineRule="exact"/>
        <w:rPr>
          <w:sz w:val="20"/>
          <w:szCs w:val="20"/>
          <w:color w:val="auto"/>
        </w:rPr>
      </w:pPr>
    </w:p>
    <w:p>
      <w:pPr>
        <w:ind w:left="160" w:right="179" w:firstLine="648"/>
        <w:spacing w:after="0" w:line="272" w:lineRule="auto"/>
        <w:rPr>
          <w:sz w:val="20"/>
          <w:szCs w:val="20"/>
          <w:color w:val="auto"/>
        </w:rPr>
      </w:pPr>
      <w:r>
        <w:rPr>
          <w:rFonts w:ascii="Arial" w:cs="Arial" w:eastAsia="Arial" w:hAnsi="Arial"/>
          <w:sz w:val="19"/>
          <w:szCs w:val="19"/>
          <w:color w:val="auto"/>
        </w:rPr>
        <w:t>Interest on the outstanding balances under the first-out tranche term loan is based on a LIBOR margin of 5.5%, with a 1% floor, or a base rate equal to the highest Prime Rate, the Federal Funds Rate 1.5% or one month LIBOR with a 2.5% floor and a margin of 4.5% with respect to base rate loans. Interest on the outstanding balances under the last-out tranche term loan is based on a LIBOR margin of 10.0%, with a 1% floor, or a base rate equal to the highest Prime Rate, the Federal Funds Rate 1.5% or one month LIBOR with a 2.5% floor and a margin of 9.0% with respect to base rate loans; provided, that if, at any time, the Partnership’s EBIDTA (as defined in the agreement) is less than $17.0 million for the immediately preceding four calendar quarters, the applicable interest margin for the last-out tranche term loan will be 12.0% for LIBOR rate loans and 11.0% for base rate loans, with 5.50% being cash pay and the remainder of such interest being paid in kind until such time as the Partnership’s EBITDA for the immediately preceding four calendar quarters is greater than or equal to $17.0 million. As of November 23, 2015, the interest rates for the first-out tranche and last-out tranche were 6.5% and 11.0%, respectively.</w:t>
      </w:r>
    </w:p>
    <w:p>
      <w:pPr>
        <w:spacing w:after="0" w:line="184" w:lineRule="exact"/>
        <w:rPr>
          <w:sz w:val="20"/>
          <w:szCs w:val="20"/>
          <w:color w:val="auto"/>
        </w:rPr>
      </w:pPr>
    </w:p>
    <w:p>
      <w:pPr>
        <w:ind w:left="160" w:right="139" w:firstLine="648"/>
        <w:spacing w:after="0" w:line="245" w:lineRule="auto"/>
        <w:rPr>
          <w:sz w:val="20"/>
          <w:szCs w:val="20"/>
          <w:color w:val="auto"/>
        </w:rPr>
      </w:pPr>
      <w:r>
        <w:rPr>
          <w:rFonts w:ascii="Arial" w:cs="Arial" w:eastAsia="Arial" w:hAnsi="Arial"/>
          <w:sz w:val="21"/>
          <w:szCs w:val="21"/>
          <w:color w:val="auto"/>
        </w:rPr>
        <w:t>The credit agreement governing the New Credit Facility contains customary events of default and covenants, including covenants that, among other things, limit our ability to: (i) incur additional indebtedness; (ii) enter into, create, assume or suffer to exist liens; (iii) pay dividends or make other restricted payments; (iv) pay dividends or make other restricted payments; (v) prepay subordinated indebtedness; (vi) sell or dispose of a portion of our assets; (vii) make capital expenditures; (viii) to enter into certain types of transactions with affiliates; and (ix) make acquisitions or merge or consolidate with another entity. In addition, the credit agreement governing the New Credit Facility requires us to meet specified financial tests on an ongoing basis, and contains certain financial covenants, including the following:</w:t>
      </w:r>
    </w:p>
    <w:p>
      <w:pPr>
        <w:spacing w:after="0" w:line="212" w:lineRule="exact"/>
        <w:rPr>
          <w:sz w:val="20"/>
          <w:szCs w:val="20"/>
          <w:color w:val="auto"/>
        </w:rPr>
      </w:pPr>
    </w:p>
    <w:p>
      <w:pPr>
        <w:ind w:left="520" w:right="219" w:hanging="53"/>
        <w:spacing w:after="0" w:line="238" w:lineRule="auto"/>
        <w:rPr>
          <w:sz w:val="20"/>
          <w:szCs w:val="20"/>
          <w:color w:val="auto"/>
        </w:rPr>
      </w:pPr>
      <w:r>
        <w:rPr>
          <w:rFonts w:ascii="Arial" w:cs="Arial" w:eastAsia="Arial" w:hAnsi="Arial"/>
          <w:sz w:val="22"/>
          <w:szCs w:val="22"/>
          <w:color w:val="auto"/>
        </w:rPr>
        <w:t>·The Partnership was required to maintain a minimum fixed charges coverage ratio (EBITDA less capital expenditures to interest charges plus principal payments, as defined in the agreement) of: (i) 1.15 to 1.0 per quarter through December 31, 2015; and (ii) 1.20 to 1.0 for all quarters thereafter.</w:t>
      </w:r>
    </w:p>
    <w:p>
      <w:pPr>
        <w:spacing w:after="0" w:line="212" w:lineRule="exact"/>
        <w:rPr>
          <w:sz w:val="20"/>
          <w:szCs w:val="20"/>
          <w:color w:val="auto"/>
        </w:rPr>
      </w:pPr>
    </w:p>
    <w:p>
      <w:pPr>
        <w:ind w:left="520" w:right="139" w:hanging="53"/>
        <w:spacing w:after="0" w:line="287" w:lineRule="auto"/>
        <w:rPr>
          <w:sz w:val="20"/>
          <w:szCs w:val="20"/>
          <w:color w:val="auto"/>
        </w:rPr>
      </w:pPr>
      <w:r>
        <w:rPr>
          <w:rFonts w:ascii="Arial" w:cs="Arial" w:eastAsia="Arial" w:hAnsi="Arial"/>
          <w:sz w:val="19"/>
          <w:szCs w:val="19"/>
          <w:color w:val="auto"/>
        </w:rPr>
        <w:t>·The Partnership was required to maintain a maximum first-out leverage ratio (total first-out tranche of debt to EBITDA, as defined in the agreement) of: (i) 3.00 to 1.0 for the quarters ended March 31, 2015 through December 31, 2015; (ii) 2.75 to 1.0 for the quarters ended March 31, 2016 through December 31, 2016; and (iii) 2.50 to 1.0 for all quarters thereafter.</w:t>
      </w:r>
    </w:p>
    <w:p>
      <w:pPr>
        <w:spacing w:after="0" w:line="170" w:lineRule="exact"/>
        <w:rPr>
          <w:sz w:val="20"/>
          <w:szCs w:val="20"/>
          <w:color w:val="auto"/>
        </w:rPr>
      </w:pPr>
    </w:p>
    <w:p>
      <w:pPr>
        <w:ind w:left="520" w:right="519" w:hanging="53"/>
        <w:spacing w:after="0"/>
        <w:rPr>
          <w:sz w:val="20"/>
          <w:szCs w:val="20"/>
          <w:color w:val="auto"/>
        </w:rPr>
      </w:pPr>
      <w:r>
        <w:rPr>
          <w:rFonts w:ascii="Arial" w:cs="Arial" w:eastAsia="Arial" w:hAnsi="Arial"/>
          <w:sz w:val="22"/>
          <w:szCs w:val="22"/>
          <w:color w:val="auto"/>
        </w:rPr>
        <w:t>·The Partnership was required to maintain a minimum liquidity (the sum of cash and cash equivalents, as defined in the agreement) of not less than $10.0 million each quarter through September 30, 2017.</w:t>
      </w:r>
    </w:p>
    <w:p>
      <w:pPr>
        <w:spacing w:after="0" w:line="213" w:lineRule="exact"/>
        <w:rPr>
          <w:sz w:val="20"/>
          <w:szCs w:val="20"/>
          <w:color w:val="auto"/>
        </w:rPr>
      </w:pPr>
    </w:p>
    <w:p>
      <w:pPr>
        <w:ind w:left="520" w:right="219" w:hanging="53"/>
        <w:spacing w:after="0" w:line="251" w:lineRule="auto"/>
        <w:rPr>
          <w:sz w:val="20"/>
          <w:szCs w:val="20"/>
          <w:color w:val="auto"/>
        </w:rPr>
      </w:pPr>
      <w:r>
        <w:rPr>
          <w:rFonts w:ascii="Arial" w:cs="Arial" w:eastAsia="Arial" w:hAnsi="Arial"/>
          <w:sz w:val="22"/>
          <w:szCs w:val="22"/>
          <w:color w:val="auto"/>
        </w:rPr>
        <w:t>·The Partnership was required to maintain a minimum EBITDA (as defined in the agreement) of $17.0 million each quarter through September 30, 2017.</w:t>
      </w:r>
    </w:p>
    <w:p>
      <w:pPr>
        <w:spacing w:after="0" w:line="200" w:lineRule="exact"/>
        <w:rPr>
          <w:sz w:val="20"/>
          <w:szCs w:val="20"/>
          <w:color w:val="auto"/>
        </w:rPr>
      </w:pPr>
    </w:p>
    <w:p>
      <w:pPr>
        <w:ind w:left="160" w:right="439" w:firstLine="648"/>
        <w:spacing w:after="0" w:line="251" w:lineRule="auto"/>
        <w:rPr>
          <w:sz w:val="20"/>
          <w:szCs w:val="20"/>
          <w:color w:val="auto"/>
        </w:rPr>
      </w:pPr>
      <w:r>
        <w:rPr>
          <w:rFonts w:ascii="Arial" w:cs="Arial" w:eastAsia="Arial" w:hAnsi="Arial"/>
          <w:sz w:val="22"/>
          <w:szCs w:val="22"/>
          <w:color w:val="auto"/>
        </w:rPr>
        <w:t>As of November 23, 2015, the Partnership was in compliance with all of the covenants in the credit agreement governing the New Credit Facility.</w:t>
      </w:r>
    </w:p>
    <w:p>
      <w:pPr>
        <w:spacing w:after="0" w:line="200" w:lineRule="exact"/>
        <w:rPr>
          <w:sz w:val="20"/>
          <w:szCs w:val="20"/>
          <w:color w:val="auto"/>
        </w:rPr>
      </w:pPr>
    </w:p>
    <w:p>
      <w:pPr>
        <w:ind w:left="160" w:right="179" w:firstLine="648"/>
        <w:spacing w:after="0" w:line="273" w:lineRule="auto"/>
        <w:rPr>
          <w:sz w:val="20"/>
          <w:szCs w:val="20"/>
          <w:color w:val="auto"/>
        </w:rPr>
      </w:pPr>
      <w:r>
        <w:rPr>
          <w:rFonts w:ascii="Arial" w:cs="Arial" w:eastAsia="Arial" w:hAnsi="Arial"/>
          <w:sz w:val="19"/>
          <w:szCs w:val="19"/>
          <w:color w:val="auto"/>
        </w:rPr>
        <w:t>As of November 23, 2015, the Member Notes totaling $17.1 million, including paid-in-kind interest, were payable to our Members. The Member Notes are subordinate to the New Credit Facility and bear interest at a rate of 5% paid-in-kind per annum, payable semi-annually on June 15 and December 15, beginning on June 15, 2013. Due to the below-market interest rate, interest was imputed on the Member Notes at an estimated market rate of 23%. At issuance in November 2012, a discount in the amount of $8.6 million was recorded on the Member Notes with the offset to Members’ equity based on the present value of expected cash flows. The discount was being amortized as interest expense over the expected life of the notes using the effective interest method. Each of the Member Notes is subject to voluntary prepayment, in whole and part, without premium or penalty and mature on May 16, 2018. The obligations under the Member Notes are unsecured and are not guaranteed by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267335</wp:posOffset>
            </wp:positionV>
            <wp:extent cx="554863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0" w:name="page171"/>
    <w:bookmarkEnd w:id="170"/>
    <w:p>
      <w:pPr>
        <w:ind w:left="160"/>
        <w:spacing w:after="0"/>
        <w:rPr>
          <w:sz w:val="20"/>
          <w:szCs w:val="20"/>
          <w:color w:val="auto"/>
        </w:rPr>
      </w:pPr>
      <w:r>
        <w:rPr>
          <w:rFonts w:ascii="Arial" w:cs="Arial" w:eastAsia="Arial" w:hAnsi="Arial"/>
          <w:sz w:val="22"/>
          <w:szCs w:val="22"/>
          <w:b w:val="1"/>
          <w:bCs w:val="1"/>
          <w:color w:val="auto"/>
        </w:rPr>
        <w:t>Note 7. Related Parties</w:t>
      </w:r>
    </w:p>
    <w:p>
      <w:pPr>
        <w:spacing w:after="0" w:line="240" w:lineRule="exact"/>
        <w:rPr>
          <w:sz w:val="20"/>
          <w:szCs w:val="20"/>
          <w:color w:val="auto"/>
        </w:rPr>
      </w:pPr>
    </w:p>
    <w:p>
      <w:pPr>
        <w:ind w:left="160" w:right="319" w:firstLine="648"/>
        <w:spacing w:after="0" w:line="287" w:lineRule="auto"/>
        <w:rPr>
          <w:sz w:val="20"/>
          <w:szCs w:val="20"/>
          <w:color w:val="auto"/>
        </w:rPr>
      </w:pPr>
      <w:r>
        <w:rPr>
          <w:rFonts w:ascii="Arial" w:cs="Arial" w:eastAsia="Arial" w:hAnsi="Arial"/>
          <w:sz w:val="19"/>
          <w:szCs w:val="19"/>
          <w:color w:val="auto"/>
        </w:rPr>
        <w:t>An affiliate of each of the Members owns and operates a casino attached and adjacent to Silver Legacy. Our Members may be deemed to be in a conflict of interest position with respect to decisions they make relating to the Partnership as a result of the interests their affiliates have in the Eldorado Hotel &amp; Casino and Circus Circus Hotel &amp; Casino-Reno, respectively.</w:t>
      </w:r>
    </w:p>
    <w:p>
      <w:pPr>
        <w:spacing w:after="0" w:line="170" w:lineRule="exact"/>
        <w:rPr>
          <w:sz w:val="20"/>
          <w:szCs w:val="20"/>
          <w:color w:val="auto"/>
        </w:rPr>
      </w:pPr>
    </w:p>
    <w:p>
      <w:pPr>
        <w:ind w:left="160" w:right="619" w:firstLine="648"/>
        <w:spacing w:after="0" w:line="328" w:lineRule="auto"/>
        <w:rPr>
          <w:sz w:val="20"/>
          <w:szCs w:val="20"/>
          <w:color w:val="auto"/>
        </w:rPr>
      </w:pPr>
      <w:r>
        <w:rPr>
          <w:rFonts w:ascii="Arial" w:cs="Arial" w:eastAsia="Arial" w:hAnsi="Arial"/>
          <w:sz w:val="19"/>
          <w:szCs w:val="19"/>
          <w:color w:val="auto"/>
        </w:rPr>
        <w:t>The Partnership believes all of the transactions mentioned below are on terms at least as favorable to the Partnership as would have been obtained from an unrelated party.</w:t>
      </w:r>
    </w:p>
    <w:p>
      <w:pPr>
        <w:spacing w:after="0" w:line="132" w:lineRule="exact"/>
        <w:rPr>
          <w:sz w:val="20"/>
          <w:szCs w:val="20"/>
          <w:color w:val="auto"/>
        </w:rPr>
      </w:pPr>
    </w:p>
    <w:p>
      <w:pPr>
        <w:ind w:left="160" w:right="239" w:firstLine="648"/>
        <w:spacing w:after="0" w:line="275" w:lineRule="auto"/>
        <w:rPr>
          <w:sz w:val="20"/>
          <w:szCs w:val="20"/>
          <w:color w:val="auto"/>
        </w:rPr>
      </w:pPr>
      <w:r>
        <w:rPr>
          <w:rFonts w:ascii="Arial" w:cs="Arial" w:eastAsia="Arial" w:hAnsi="Arial"/>
          <w:sz w:val="19"/>
          <w:szCs w:val="19"/>
          <w:color w:val="auto"/>
        </w:rPr>
        <w:t>Silver Legacy’s marketing and sales departments have utilized a yacht owned by Sierra Adventure Equipment, Inc. (“Sierra Equipment”) at a flat rate per trip of $3,000 ($2,500 if the trip was shared with our Member, ELLC) for various promotional events. The payments made by the Partnership to Sierra Equipment for the use of the yacht totaled $10,000 for the period of January 1, 2015 to November 23, 2015. Although there is no agreement obligating the Partnership to utilize the yacht or entitling it to do so, it is anticipated that the Partnership will continue to utilize this service from time to time in the future on terms mutually acceptable to the parties. Sierra Equipment is a limited liability company beneficially owned by REI.</w:t>
      </w:r>
    </w:p>
    <w:p>
      <w:pPr>
        <w:spacing w:after="0" w:line="91" w:lineRule="exact"/>
        <w:rPr>
          <w:sz w:val="20"/>
          <w:szCs w:val="20"/>
          <w:color w:val="auto"/>
        </w:rPr>
      </w:pPr>
    </w:p>
    <w:p>
      <w:pPr>
        <w:ind w:left="160" w:right="279" w:firstLine="648"/>
        <w:spacing w:after="0" w:line="234" w:lineRule="auto"/>
        <w:rPr>
          <w:sz w:val="20"/>
          <w:szCs w:val="20"/>
          <w:color w:val="auto"/>
        </w:rPr>
      </w:pPr>
      <w:r>
        <w:rPr>
          <w:rFonts w:ascii="Arial" w:cs="Arial" w:eastAsia="Arial" w:hAnsi="Arial"/>
          <w:sz w:val="22"/>
          <w:szCs w:val="22"/>
          <w:color w:val="auto"/>
        </w:rPr>
        <w:t>Resorts owns the skywalk that connects Silver Legacy with the Eldorado Hotel &amp; Casino. The charges from the service provider for the utilities associated with this skywalk are billed to the Partnership together with the charges for the utilities associated with Silver Legacy. Such charges are paid to the service provider by the Partnership, and the Partnership is reimbursed by Resorts for the portion of the charges allocable to the utilities provided to the skywalk. The charges for the utilities provided to the skywalk for the period of January 1, 2015 to November 23, 2015 was $59,000.</w:t>
      </w:r>
    </w:p>
    <w:p>
      <w:pPr>
        <w:spacing w:after="0" w:line="218" w:lineRule="exact"/>
        <w:rPr>
          <w:sz w:val="20"/>
          <w:szCs w:val="20"/>
          <w:color w:val="auto"/>
        </w:rPr>
      </w:pPr>
    </w:p>
    <w:p>
      <w:pPr>
        <w:ind w:left="160" w:right="399" w:firstLine="648"/>
        <w:spacing w:after="0" w:line="282" w:lineRule="auto"/>
        <w:rPr>
          <w:sz w:val="20"/>
          <w:szCs w:val="20"/>
          <w:color w:val="auto"/>
        </w:rPr>
      </w:pPr>
      <w:r>
        <w:rPr>
          <w:rFonts w:ascii="Arial" w:cs="Arial" w:eastAsia="Arial" w:hAnsi="Arial"/>
          <w:sz w:val="19"/>
          <w:szCs w:val="19"/>
          <w:color w:val="auto"/>
        </w:rPr>
        <w:t>The Partnership purchases from Eldorado Hotel &amp; Casino homemade pasta and other products for use in the restaurants at Silver Legacy and it is anticipated that the Partnership will continue to make similar purchases in the future. For purchases of these products for the period of January 1, 2015 to November 23, 2015, which are billed to the Partnership at cost plus associated labor, the Partnership paid Eldorado Hotel &amp; Casino $65,600.</w:t>
      </w:r>
    </w:p>
    <w:p>
      <w:pPr>
        <w:spacing w:after="0" w:line="175" w:lineRule="exact"/>
        <w:rPr>
          <w:sz w:val="20"/>
          <w:szCs w:val="20"/>
          <w:color w:val="auto"/>
        </w:rPr>
      </w:pPr>
    </w:p>
    <w:p>
      <w:pPr>
        <w:ind w:left="160" w:right="199" w:firstLine="648"/>
        <w:spacing w:after="0" w:line="235" w:lineRule="auto"/>
        <w:rPr>
          <w:sz w:val="20"/>
          <w:szCs w:val="20"/>
          <w:color w:val="auto"/>
        </w:rPr>
      </w:pPr>
      <w:r>
        <w:rPr>
          <w:rFonts w:ascii="Arial" w:cs="Arial" w:eastAsia="Arial" w:hAnsi="Arial"/>
          <w:sz w:val="22"/>
          <w:szCs w:val="22"/>
          <w:color w:val="auto"/>
        </w:rPr>
        <w:t>The Partnership provides on-site laundry services for Eldorado Hotel &amp; Casino related to the cleaning of certain types of linens. Although there is no agreement obligating Eldorado Hotel &amp; Casino to utilize this service, it is anticipated that the Partnership will continue to provide these laundry services in the future. The Partnership charges Eldorado Hotel &amp; Casino for labor and laundry supplies on a per unit basis which totaled $140,900 for the period of January 1, 2015 to November 23, 2015.</w:t>
      </w:r>
    </w:p>
    <w:p>
      <w:pPr>
        <w:spacing w:after="0" w:line="215" w:lineRule="exact"/>
        <w:rPr>
          <w:sz w:val="20"/>
          <w:szCs w:val="20"/>
          <w:color w:val="auto"/>
        </w:rPr>
      </w:pPr>
    </w:p>
    <w:p>
      <w:pPr>
        <w:ind w:left="160" w:right="379" w:firstLine="648"/>
        <w:spacing w:after="0" w:line="269" w:lineRule="auto"/>
        <w:rPr>
          <w:sz w:val="20"/>
          <w:szCs w:val="20"/>
          <w:color w:val="auto"/>
        </w:rPr>
      </w:pPr>
      <w:r>
        <w:rPr>
          <w:rFonts w:ascii="Arial" w:cs="Arial" w:eastAsia="Arial" w:hAnsi="Arial"/>
          <w:sz w:val="19"/>
          <w:szCs w:val="19"/>
          <w:color w:val="auto"/>
        </w:rPr>
        <w:t>The Partnership and related parties combined certain back-of-the-house and administrative departmental operations, including purchasing, advertising, information systems, surveillance, engineering, and various shared management positions in an effort to achieve payroll cost savings synergies at multiple properties. Payroll costs associated with the combined operations are shared equally and are billed at cost plus an estimated allocation for related benefits and taxes. For the period of January 1, 2015 to November 23, 2015 the Partnership reimbursed related parties $1,051,500 for the Partnership’s allocable portion of the shared administrative services costs associated with the operations performed at the properties. For the period of January 1, 2015 to November 23, 2015 related parties reimbursed the Partnership $769,500, respectively, for</w:t>
      </w:r>
    </w:p>
    <w:p>
      <w:pPr>
        <w:spacing w:after="0" w:line="2" w:lineRule="exact"/>
        <w:rPr>
          <w:sz w:val="20"/>
          <w:szCs w:val="20"/>
          <w:color w:val="auto"/>
        </w:rPr>
      </w:pPr>
    </w:p>
    <w:p>
      <w:pPr>
        <w:ind w:left="160" w:right="619"/>
        <w:spacing w:after="0" w:line="237" w:lineRule="auto"/>
        <w:rPr>
          <w:sz w:val="20"/>
          <w:szCs w:val="20"/>
          <w:color w:val="auto"/>
        </w:rPr>
      </w:pPr>
      <w:r>
        <w:rPr>
          <w:rFonts w:ascii="Arial" w:cs="Arial" w:eastAsia="Arial" w:hAnsi="Arial"/>
          <w:sz w:val="22"/>
          <w:szCs w:val="22"/>
          <w:color w:val="auto"/>
        </w:rPr>
        <w:t>their allocable portion of the shared administrative services costs associated with the operations performed at Silver Legacy.</w:t>
      </w:r>
    </w:p>
    <w:p>
      <w:pPr>
        <w:spacing w:after="0" w:line="212" w:lineRule="exact"/>
        <w:rPr>
          <w:sz w:val="20"/>
          <w:szCs w:val="20"/>
          <w:color w:val="auto"/>
        </w:rPr>
      </w:pPr>
    </w:p>
    <w:p>
      <w:pPr>
        <w:ind w:left="160" w:right="259" w:firstLine="648"/>
        <w:spacing w:after="0" w:line="275" w:lineRule="auto"/>
        <w:rPr>
          <w:sz w:val="20"/>
          <w:szCs w:val="20"/>
          <w:color w:val="auto"/>
        </w:rPr>
      </w:pPr>
      <w:r>
        <w:rPr>
          <w:rFonts w:ascii="Arial" w:cs="Arial" w:eastAsia="Arial" w:hAnsi="Arial"/>
          <w:sz w:val="19"/>
          <w:szCs w:val="19"/>
          <w:color w:val="auto"/>
        </w:rPr>
        <w:t>The Partnership utilizes 235 spaces in the parking garage at Circus Circus Hotel and Casino to provide parking for employees of Silver Legacy. In consideration for its use of the spaces, the Partnership pays Circus Circus Hotel and Casino rent in the amount of $5,000 per month. The Partnership also utilizes an uncovered parking lot adjacent to Circus Circus Hotel and Casino for oversize vehicles. In consideration for its use of the space, the Partnership pays Circus Circus Hotel and Casino rent in the amount of $800 per month. Although there is no agreement obligating the Partnership to continue utilizing the spaces or entitling it to do so, it is anticipated that the Partnership will continue this agreement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268605</wp:posOffset>
            </wp:positionV>
            <wp:extent cx="554863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1" w:name="page172"/>
    <w:bookmarkEnd w:id="171"/>
    <w:p>
      <w:pPr>
        <w:ind w:left="160" w:right="339" w:firstLine="648"/>
        <w:spacing w:after="0" w:line="238" w:lineRule="auto"/>
        <w:rPr>
          <w:sz w:val="20"/>
          <w:szCs w:val="20"/>
          <w:color w:val="auto"/>
        </w:rPr>
      </w:pPr>
      <w:r>
        <w:rPr>
          <w:rFonts w:ascii="Arial" w:cs="Arial" w:eastAsia="Arial" w:hAnsi="Arial"/>
          <w:sz w:val="22"/>
          <w:szCs w:val="22"/>
          <w:color w:val="auto"/>
        </w:rPr>
        <w:t>As of November 23, 2015, the Partnership’s related parties receivable was $0.5 million and payable was $0.7 million. Related parties receivable and payable are included in “Accounts receivable, net” and “Accounts payable,” respectively, on the Partnership’s consolidated balance sheets.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8. Employee Retirement Plans</w:t>
      </w:r>
    </w:p>
    <w:p>
      <w:pPr>
        <w:spacing w:after="0" w:line="239" w:lineRule="exact"/>
        <w:rPr>
          <w:sz w:val="20"/>
          <w:szCs w:val="20"/>
          <w:color w:val="auto"/>
        </w:rPr>
      </w:pPr>
    </w:p>
    <w:p>
      <w:pPr>
        <w:ind w:left="160" w:right="279" w:firstLine="648"/>
        <w:spacing w:after="0" w:line="274" w:lineRule="auto"/>
        <w:rPr>
          <w:sz w:val="20"/>
          <w:szCs w:val="20"/>
          <w:color w:val="auto"/>
        </w:rPr>
      </w:pPr>
      <w:r>
        <w:rPr>
          <w:rFonts w:ascii="Arial" w:cs="Arial" w:eastAsia="Arial" w:hAnsi="Arial"/>
          <w:sz w:val="19"/>
          <w:szCs w:val="19"/>
          <w:color w:val="auto"/>
        </w:rPr>
        <w:t>The Partnership instituted a defined contribution 401(k) plan in September 1995 which covers all employees who meet certain age and length of service requirements and allowed for an employer contribution up to 25 percent of the first six percent of each participating employee’s compensation. Plan participants can elect to defer before tax compensation through payroll deductions. Those deferrals are regulated under Section 401(k) of the Internal Revenue Code. In conjunction with implemented cost savings programs, the Partnership discontinued the employer matching contribution in February 2009. Effective February 1, 2014, the Partnership reinstated an employer matching contribution up to 25 percent of the first four percent of each participating employee’s compensation. Matching contributions for the period January 1, 2015 to November 23, 2015 was $0.2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9. Commitments and Contingencies</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Operating Leases</w:t>
      </w:r>
    </w:p>
    <w:p>
      <w:pPr>
        <w:spacing w:after="0" w:line="233" w:lineRule="exact"/>
        <w:rPr>
          <w:sz w:val="20"/>
          <w:szCs w:val="20"/>
          <w:color w:val="auto"/>
        </w:rPr>
      </w:pPr>
    </w:p>
    <w:p>
      <w:pPr>
        <w:ind w:left="160" w:right="319" w:firstLine="648"/>
        <w:spacing w:after="0"/>
        <w:rPr>
          <w:sz w:val="20"/>
          <w:szCs w:val="20"/>
          <w:color w:val="auto"/>
        </w:rPr>
      </w:pPr>
      <w:r>
        <w:rPr>
          <w:rFonts w:ascii="Arial" w:cs="Arial" w:eastAsia="Arial" w:hAnsi="Arial"/>
          <w:sz w:val="22"/>
          <w:szCs w:val="22"/>
          <w:color w:val="auto"/>
        </w:rPr>
        <w:t>The Partnership leases land and equipment under operating leases. Future minimum payments under noncancellable operating leases with initial terms of one year or more consisted of the following as of November 23, 2015 (in thousands):</w:t>
      </w:r>
    </w:p>
    <w:p>
      <w:pPr>
        <w:spacing w:after="0" w:line="370" w:lineRule="exact"/>
        <w:rPr>
          <w:sz w:val="20"/>
          <w:szCs w:val="20"/>
          <w:color w:val="auto"/>
        </w:rPr>
      </w:pPr>
    </w:p>
    <w:tbl>
      <w:tblPr>
        <w:tblLayout w:type="fixed"/>
        <w:tblInd w:w="140" w:type="dxa"/>
        <w:tblCellMar>
          <w:top w:w="0" w:type="dxa"/>
          <w:left w:w="0" w:type="dxa"/>
          <w:bottom w:w="0" w:type="dxa"/>
          <w:right w:w="0" w:type="dxa"/>
        </w:tblCellMar>
      </w:tblPr>
      <w:tr>
        <w:trPr>
          <w:trHeight w:val="311"/>
        </w:trPr>
        <w:tc>
          <w:tcPr>
            <w:tcW w:w="12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2015</w:t>
            </w:r>
          </w:p>
        </w:tc>
        <w:tc>
          <w:tcPr>
            <w:tcW w:w="54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C0C0C0"/>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81"/>
        </w:trPr>
        <w:tc>
          <w:tcPr>
            <w:tcW w:w="1280" w:type="dxa"/>
            <w:vAlign w:val="bottom"/>
            <w:shd w:val="clear" w:color="auto" w:fill="C0C0C0"/>
          </w:tcPr>
          <w:p>
            <w:pPr>
              <w:spacing w:after="0"/>
              <w:rPr>
                <w:sz w:val="7"/>
                <w:szCs w:val="7"/>
                <w:color w:val="auto"/>
              </w:rPr>
            </w:pPr>
          </w:p>
        </w:tc>
        <w:tc>
          <w:tcPr>
            <w:tcW w:w="540" w:type="dxa"/>
            <w:vAlign w:val="bottom"/>
            <w:vMerge w:val="continue"/>
            <w:shd w:val="clear" w:color="auto" w:fill="C0C0C0"/>
          </w:tcPr>
          <w:p>
            <w:pPr>
              <w:spacing w:after="0"/>
              <w:rPr>
                <w:sz w:val="7"/>
                <w:szCs w:val="7"/>
                <w:color w:val="auto"/>
              </w:rPr>
            </w:pPr>
          </w:p>
        </w:tc>
        <w:tc>
          <w:tcPr>
            <w:tcW w:w="1460" w:type="dxa"/>
            <w:vAlign w:val="bottom"/>
            <w:gridSpan w:val="2"/>
            <w:vMerge w:val="continue"/>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280" w:type="dxa"/>
            <w:vAlign w:val="bottom"/>
          </w:tcPr>
          <w:p>
            <w:pPr>
              <w:ind w:left="10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4"/>
                <w:szCs w:val="24"/>
                <w:color w:val="auto"/>
              </w:rPr>
            </w:pPr>
          </w:p>
        </w:tc>
        <w:tc>
          <w:tcPr>
            <w:tcW w:w="1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2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2017</w:t>
            </w:r>
          </w:p>
        </w:tc>
        <w:tc>
          <w:tcPr>
            <w:tcW w:w="540" w:type="dxa"/>
            <w:vAlign w:val="bottom"/>
            <w:shd w:val="clear" w:color="auto" w:fill="C0C0C0"/>
          </w:tcPr>
          <w:p>
            <w:pPr>
              <w:spacing w:after="0"/>
              <w:rPr>
                <w:sz w:val="24"/>
                <w:szCs w:val="24"/>
                <w:color w:val="auto"/>
              </w:rPr>
            </w:pPr>
          </w:p>
        </w:tc>
        <w:tc>
          <w:tcPr>
            <w:tcW w:w="1460" w:type="dxa"/>
            <w:vAlign w:val="bottom"/>
            <w:gridSpan w:val="2"/>
            <w:vMerge w:val="restart"/>
            <w:shd w:val="clear" w:color="auto" w:fill="C0C0C0"/>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81"/>
        </w:trPr>
        <w:tc>
          <w:tcPr>
            <w:tcW w:w="1280" w:type="dxa"/>
            <w:vAlign w:val="bottom"/>
            <w:shd w:val="clear" w:color="auto" w:fill="C0C0C0"/>
          </w:tcPr>
          <w:p>
            <w:pPr>
              <w:spacing w:after="0"/>
              <w:rPr>
                <w:sz w:val="7"/>
                <w:szCs w:val="7"/>
                <w:color w:val="auto"/>
              </w:rPr>
            </w:pPr>
          </w:p>
        </w:tc>
        <w:tc>
          <w:tcPr>
            <w:tcW w:w="540" w:type="dxa"/>
            <w:vAlign w:val="bottom"/>
            <w:shd w:val="clear" w:color="auto" w:fill="C0C0C0"/>
          </w:tcPr>
          <w:p>
            <w:pPr>
              <w:spacing w:after="0"/>
              <w:rPr>
                <w:sz w:val="7"/>
                <w:szCs w:val="7"/>
                <w:color w:val="auto"/>
              </w:rPr>
            </w:pPr>
          </w:p>
        </w:tc>
        <w:tc>
          <w:tcPr>
            <w:tcW w:w="1460" w:type="dxa"/>
            <w:vAlign w:val="bottom"/>
            <w:gridSpan w:val="2"/>
            <w:vMerge w:val="continue"/>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280" w:type="dxa"/>
            <w:vAlign w:val="bottom"/>
          </w:tcPr>
          <w:p>
            <w:pPr>
              <w:ind w:left="10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4"/>
                <w:szCs w:val="24"/>
                <w:color w:val="auto"/>
              </w:rPr>
            </w:pPr>
          </w:p>
        </w:tc>
        <w:tc>
          <w:tcPr>
            <w:tcW w:w="14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2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Thereafter</w:t>
            </w:r>
          </w:p>
        </w:tc>
        <w:tc>
          <w:tcPr>
            <w:tcW w:w="540" w:type="dxa"/>
            <w:vAlign w:val="bottom"/>
            <w:shd w:val="clear" w:color="auto" w:fill="C0C0C0"/>
          </w:tcPr>
          <w:p>
            <w:pPr>
              <w:spacing w:after="0"/>
              <w:rPr>
                <w:sz w:val="24"/>
                <w:szCs w:val="24"/>
                <w:color w:val="auto"/>
              </w:rPr>
            </w:pPr>
          </w:p>
        </w:tc>
        <w:tc>
          <w:tcPr>
            <w:tcW w:w="1460" w:type="dxa"/>
            <w:vAlign w:val="bottom"/>
            <w:gridSpan w:val="2"/>
            <w:vMerge w:val="restart"/>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280" w:type="dxa"/>
            <w:vAlign w:val="bottom"/>
            <w:shd w:val="clear" w:color="auto" w:fill="C0C0C0"/>
          </w:tcPr>
          <w:p>
            <w:pPr>
              <w:spacing w:after="0"/>
              <w:rPr>
                <w:sz w:val="7"/>
                <w:szCs w:val="7"/>
                <w:color w:val="auto"/>
              </w:rPr>
            </w:pPr>
          </w:p>
        </w:tc>
        <w:tc>
          <w:tcPr>
            <w:tcW w:w="540" w:type="dxa"/>
            <w:vAlign w:val="bottom"/>
            <w:shd w:val="clear" w:color="auto" w:fill="C0C0C0"/>
          </w:tcPr>
          <w:p>
            <w:pPr>
              <w:spacing w:after="0"/>
              <w:rPr>
                <w:sz w:val="7"/>
                <w:szCs w:val="7"/>
                <w:color w:val="auto"/>
              </w:rPr>
            </w:pPr>
          </w:p>
        </w:tc>
        <w:tc>
          <w:tcPr>
            <w:tcW w:w="1460" w:type="dxa"/>
            <w:vAlign w:val="bottom"/>
            <w:gridSpan w:val="2"/>
            <w:vMerge w:val="continue"/>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6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60" w:right="239" w:firstLine="648"/>
        <w:spacing w:after="0"/>
        <w:rPr>
          <w:sz w:val="20"/>
          <w:szCs w:val="20"/>
          <w:color w:val="auto"/>
        </w:rPr>
      </w:pPr>
      <w:r>
        <w:rPr>
          <w:rFonts w:ascii="Arial" w:cs="Arial" w:eastAsia="Arial" w:hAnsi="Arial"/>
          <w:sz w:val="22"/>
          <w:szCs w:val="22"/>
          <w:color w:val="auto"/>
        </w:rPr>
        <w:t>Total rental expense under operating leases was $0.4 million for the period January 1, 2015 to November 23, 2015 and $0.5 million, which include rental payments associated with cancellable operating leases with terms less than one year.</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Litigation</w:t>
      </w:r>
    </w:p>
    <w:p>
      <w:pPr>
        <w:spacing w:after="0" w:line="233" w:lineRule="exact"/>
        <w:rPr>
          <w:sz w:val="20"/>
          <w:szCs w:val="20"/>
          <w:color w:val="auto"/>
        </w:rPr>
      </w:pPr>
    </w:p>
    <w:p>
      <w:pPr>
        <w:ind w:left="160" w:right="379" w:firstLine="648"/>
        <w:spacing w:after="0" w:line="297" w:lineRule="auto"/>
        <w:rPr>
          <w:sz w:val="20"/>
          <w:szCs w:val="20"/>
          <w:color w:val="auto"/>
        </w:rPr>
      </w:pPr>
      <w:r>
        <w:rPr>
          <w:rFonts w:ascii="Arial" w:cs="Arial" w:eastAsia="Arial" w:hAnsi="Arial"/>
          <w:sz w:val="19"/>
          <w:szCs w:val="19"/>
          <w:color w:val="auto"/>
        </w:rPr>
        <w:t>The Partnership is party to various litigation arising in the normal course of business. Management is of the opinion that the ultimate resolution of these matters will not have a material effect on the financial position or the results of operations of the Partnership.</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Sales and Use Tax</w:t>
      </w:r>
    </w:p>
    <w:p>
      <w:pPr>
        <w:spacing w:after="0" w:line="233" w:lineRule="exact"/>
        <w:rPr>
          <w:sz w:val="20"/>
          <w:szCs w:val="20"/>
          <w:color w:val="auto"/>
        </w:rPr>
      </w:pPr>
    </w:p>
    <w:p>
      <w:pPr>
        <w:ind w:left="160" w:right="139" w:firstLine="648"/>
        <w:spacing w:after="0" w:line="272" w:lineRule="auto"/>
        <w:rPr>
          <w:sz w:val="20"/>
          <w:szCs w:val="20"/>
          <w:color w:val="auto"/>
        </w:rPr>
      </w:pPr>
      <w:r>
        <w:rPr>
          <w:rFonts w:ascii="Arial" w:cs="Arial" w:eastAsia="Arial" w:hAnsi="Arial"/>
          <w:sz w:val="19"/>
          <w:szCs w:val="19"/>
          <w:color w:val="auto"/>
        </w:rPr>
        <w:t>In March 2008, the Nevada Supreme Court ruled, in a case involving another gaming company, that food and non-alcoholic beverages purchased for use in providing complimentary meals to customers and to employees were exempt from use tax. The Partnership had previously paid use tax on these items and had generally filed for refunds totaling approximately $1.5 million for the periods from February 2000 to February 2008 related to this matter, which refunds had not been paid. The Partnership claimed the exemption on sales and use tax returns for periods after February 2008 in light of this Supreme Court decision and had not accrued or paid any sales or use tax for those periods. In February 2012, the Nevada Department of Taxation asserted that customer complimentary meals and employee meals are subject to sales tax on a prospective basis commencing February 15, 2012. In July 2012, the Nevada Department of Taxation announced that sales taxes applicable to such meals were due and payable without penalty or interest at the earlier of certain regulatory, judicial or legislative events or September 30, 2013. The Nevada Department of Taxation’s position stemmed from a Nevada Tax Commission decision concerning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113665</wp:posOffset>
            </wp:positionV>
            <wp:extent cx="554863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876" w:gutter="0" w:footer="0" w:header="0"/>
        </w:sectPr>
      </w:pPr>
    </w:p>
    <w:bookmarkStart w:id="172" w:name="page173"/>
    <w:bookmarkEnd w:id="172"/>
    <w:p>
      <w:pPr>
        <w:ind w:left="160" w:right="279"/>
        <w:spacing w:after="0" w:line="235" w:lineRule="auto"/>
        <w:rPr>
          <w:sz w:val="20"/>
          <w:szCs w:val="20"/>
          <w:color w:val="auto"/>
        </w:rPr>
      </w:pPr>
      <w:r>
        <w:rPr>
          <w:rFonts w:ascii="Arial" w:cs="Arial" w:eastAsia="Arial" w:hAnsi="Arial"/>
          <w:sz w:val="22"/>
          <w:szCs w:val="22"/>
          <w:color w:val="auto"/>
        </w:rPr>
        <w:t>another gaming company which stated that complimentary meals provided to customers are subject to sales tax at the retail value of the meal and employee meals are subject to sales tax at the cost of the meal. The Clark County District Court subsequently issued a ruling in such case that held that complimentary meals provided to customers were subject to sales tax, while meals provided to employees were not subject to sales tax. This decision had been appealed to the Nevada Supreme Court.</w:t>
      </w:r>
    </w:p>
    <w:p>
      <w:pPr>
        <w:spacing w:after="0" w:line="216" w:lineRule="exact"/>
        <w:rPr>
          <w:sz w:val="20"/>
          <w:szCs w:val="20"/>
          <w:color w:val="auto"/>
        </w:rPr>
      </w:pPr>
    </w:p>
    <w:p>
      <w:pPr>
        <w:ind w:left="160" w:right="139" w:firstLine="648"/>
        <w:spacing w:after="0" w:line="244" w:lineRule="auto"/>
        <w:rPr>
          <w:sz w:val="20"/>
          <w:szCs w:val="20"/>
          <w:color w:val="auto"/>
        </w:rPr>
      </w:pPr>
      <w:r>
        <w:rPr>
          <w:rFonts w:ascii="Arial" w:cs="Arial" w:eastAsia="Arial" w:hAnsi="Arial"/>
          <w:sz w:val="21"/>
          <w:szCs w:val="21"/>
          <w:color w:val="auto"/>
        </w:rPr>
        <w:t>In June 2013, the Partnership and other similarly situated companies entered into a global settlement agreement with the Nevada Department of Taxation that, when combined with the contemporaneous passage of legislation governing the prospective treatment of complimentary meals (“AB 506”), resolved all matters concerning the prior and future taxability of such meals. AB 506 provides that complimentary meals provided to customers and employees after the effective date of the bill are not subject to either sales or use tax. Under the terms of the global settlement, the Partnership agreed to withdraw the refund request and the Nevada Department of Taxation agreed to drop its assertion that sales tax was due on such meals up to the effective date of AB 506. Since the Partnership did not previously accrue either the claims for refund of use taxes or any liability for sales taxes that the Nevada Department of Taxation may have asserted prior to entering the global settlement agreement, there is no financial statement impact of entering into the settlement agreement.</w:t>
      </w:r>
    </w:p>
    <w:p>
      <w:pPr>
        <w:spacing w:after="0" w:line="214" w:lineRule="exact"/>
        <w:rPr>
          <w:sz w:val="20"/>
          <w:szCs w:val="20"/>
          <w:color w:val="auto"/>
        </w:rPr>
      </w:pPr>
    </w:p>
    <w:p>
      <w:pPr>
        <w:ind w:left="160" w:right="179" w:firstLine="648"/>
        <w:spacing w:after="0" w:line="273" w:lineRule="auto"/>
        <w:rPr>
          <w:sz w:val="20"/>
          <w:szCs w:val="20"/>
          <w:color w:val="auto"/>
        </w:rPr>
      </w:pPr>
      <w:r>
        <w:rPr>
          <w:rFonts w:ascii="Arial" w:cs="Arial" w:eastAsia="Arial" w:hAnsi="Arial"/>
          <w:sz w:val="19"/>
          <w:szCs w:val="19"/>
          <w:color w:val="auto"/>
        </w:rPr>
        <w:t>In conjunction with filing the refund claim, the Partnership entered into a professional services agreement with an advisory consultant on a contingency fee basis. In August 2013, the Partnership received a letter from the advisory consultant seeking payment for contingency fees based on unsubstantiated services rendered in connection with the aforementioned global settlement agreement. The Partnership received a credit refund from the State of Nevada in September 2013 in accordance with the settlement agreement and has paid the advisory consultant $39,800 representing the agreed upon contingency fee. The Partnership denies any additional obligations under the contingent fee basis claim as no additional amounts were ever recovered by the Partnership under the terms of the agreement. However, as of November 23, 2015, the Partnership has accrued $0.3 million based on the estimated cost of settlement.</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Note 10. Limited Liability Company Agreement</w:t>
      </w:r>
    </w:p>
    <w:p>
      <w:pPr>
        <w:spacing w:after="0" w:line="239" w:lineRule="exact"/>
        <w:rPr>
          <w:sz w:val="20"/>
          <w:szCs w:val="20"/>
          <w:color w:val="auto"/>
        </w:rPr>
      </w:pPr>
    </w:p>
    <w:p>
      <w:pPr>
        <w:ind w:left="160" w:right="199" w:firstLine="648"/>
        <w:spacing w:after="0" w:line="287" w:lineRule="auto"/>
        <w:rPr>
          <w:sz w:val="20"/>
          <w:szCs w:val="20"/>
          <w:color w:val="auto"/>
        </w:rPr>
      </w:pPr>
      <w:r>
        <w:rPr>
          <w:rFonts w:ascii="Arial" w:cs="Arial" w:eastAsia="Arial" w:hAnsi="Arial"/>
          <w:sz w:val="19"/>
          <w:szCs w:val="19"/>
          <w:color w:val="auto"/>
        </w:rPr>
        <w:t>The Partnership’s limited liability company agreement provides for, among other items, profits and losses to be allocated to the Members in proportion to their percentage interests, separate capital accounts to be maintained for each Member, provisions for management of the Partnership and payment of distributions and bankruptcy and/or dissolution of the Partnership.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There were no distributions during the period January 1, 2015 to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144780</wp:posOffset>
            </wp:positionV>
            <wp:extent cx="554863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lowerRoman"/>
      <w:start w:val="2"/>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3"/>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1)"/>
      <w:numFmt w:val="decimal"/>
      <w:start w:val="5"/>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1"/>
    </w:lvl>
    <w:lvl w:ilvl="1">
      <w:lvlJc w:val="left"/>
      <w:lvlText w:val="(%2)"/>
      <w:numFmt w:val="lowerLetter"/>
      <w:start w:val="1"/>
    </w:lvl>
  </w:abstractNum>
  <w:abstractNum w:abstractNumId="50">
    <w:nsid w:val="6590700B"/>
    <w:multiLevelType w:val="hybridMultilevel"/>
    <w:lvl w:ilvl="0">
      <w:lvlJc w:val="left"/>
      <w:lvlText w:val="%1."/>
      <w:numFmt w:val="decimal"/>
      <w:start w:val="1"/>
    </w:lvl>
    <w:lvl w:ilvl="1">
      <w:lvlJc w:val="left"/>
      <w:lvlText w:val="(%2)"/>
      <w:numFmt w:val="lowerLetter"/>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1)"/>
      <w:numFmt w:val="decimal"/>
      <w:start w:val="7"/>
    </w:lvl>
  </w:abstractNum>
  <w:abstractNum w:abstractNumId="63">
    <w:nsid w:val="51D9C564"/>
    <w:multiLevelType w:val="hybridMultilevel"/>
    <w:lvl w:ilvl="0">
      <w:lvlJc w:val="left"/>
      <w:lvlText w:val="(%1)"/>
      <w:numFmt w:val="decimal"/>
      <w:start w:val="10"/>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
      <w:numFmt w:val="bullet"/>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1)"/>
      <w:numFmt w:val="decimal"/>
      <w:start w:val="40"/>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2020-01-19T21:04:09Z</dcterms:created>
  <dcterms:modified xsi:type="dcterms:W3CDTF">2020-01-19T21:04:09Z</dcterms:modified>
</cp:coreProperties>
</file>